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03B3" w:rsidRPr="000B0805" w:rsidRDefault="00D25A4B" w:rsidP="0071322B">
      <w:pPr>
        <w:pStyle w:val="NoSpacing"/>
        <w:jc w:val="both"/>
        <w:rPr>
          <w:b/>
          <w:sz w:val="24"/>
          <w:szCs w:val="24"/>
          <w:lang w:val="en-US"/>
        </w:rPr>
      </w:pPr>
      <w:bookmarkStart w:id="0" w:name="_GoBack"/>
      <w:bookmarkEnd w:id="0"/>
      <w:r w:rsidRPr="000B0805">
        <w:rPr>
          <w:b/>
          <w:sz w:val="24"/>
          <w:szCs w:val="24"/>
          <w:lang w:val="en-US"/>
        </w:rPr>
        <w:t>ZONDO SYNDICATE</w:t>
      </w:r>
    </w:p>
    <w:p w:rsidR="00D25A4B" w:rsidRPr="000B0805" w:rsidRDefault="00D25A4B" w:rsidP="0071322B">
      <w:pPr>
        <w:pStyle w:val="NoSpacing"/>
        <w:jc w:val="both"/>
        <w:rPr>
          <w:b/>
          <w:sz w:val="24"/>
          <w:szCs w:val="24"/>
          <w:lang w:val="en-US"/>
        </w:rPr>
      </w:pPr>
    </w:p>
    <w:p w:rsidR="00D25A4B" w:rsidRPr="000B0805" w:rsidRDefault="00D25A4B" w:rsidP="0071322B">
      <w:pPr>
        <w:pStyle w:val="NoSpacing"/>
        <w:jc w:val="both"/>
        <w:rPr>
          <w:b/>
          <w:sz w:val="24"/>
          <w:szCs w:val="24"/>
          <w:lang w:val="en-US"/>
        </w:rPr>
      </w:pPr>
      <w:r w:rsidRPr="000B0805">
        <w:rPr>
          <w:b/>
          <w:sz w:val="24"/>
          <w:szCs w:val="24"/>
          <w:lang w:val="en-US"/>
        </w:rPr>
        <w:t>Versus</w:t>
      </w:r>
    </w:p>
    <w:p w:rsidR="00D25A4B" w:rsidRPr="000B0805" w:rsidRDefault="00D25A4B" w:rsidP="0071322B">
      <w:pPr>
        <w:pStyle w:val="NoSpacing"/>
        <w:jc w:val="both"/>
        <w:rPr>
          <w:b/>
          <w:sz w:val="24"/>
          <w:szCs w:val="24"/>
          <w:lang w:val="en-US"/>
        </w:rPr>
      </w:pPr>
    </w:p>
    <w:p w:rsidR="00D25A4B" w:rsidRPr="000B0805" w:rsidRDefault="00D25A4B" w:rsidP="0071322B">
      <w:pPr>
        <w:pStyle w:val="NoSpacing"/>
        <w:jc w:val="both"/>
        <w:rPr>
          <w:b/>
          <w:sz w:val="24"/>
          <w:szCs w:val="24"/>
          <w:lang w:val="en-US"/>
        </w:rPr>
      </w:pPr>
      <w:r w:rsidRPr="000B0805">
        <w:rPr>
          <w:b/>
          <w:sz w:val="24"/>
          <w:szCs w:val="24"/>
          <w:lang w:val="en-US"/>
        </w:rPr>
        <w:t>PROVINCIAL MINING DIRECTOR</w:t>
      </w:r>
    </w:p>
    <w:p w:rsidR="00D25A4B" w:rsidRPr="000B0805" w:rsidRDefault="00D25A4B" w:rsidP="0071322B">
      <w:pPr>
        <w:pStyle w:val="NoSpacing"/>
        <w:jc w:val="both"/>
        <w:rPr>
          <w:b/>
          <w:sz w:val="24"/>
          <w:szCs w:val="24"/>
          <w:lang w:val="en-US"/>
        </w:rPr>
      </w:pPr>
      <w:r w:rsidRPr="000B0805">
        <w:rPr>
          <w:b/>
          <w:sz w:val="24"/>
          <w:szCs w:val="24"/>
          <w:lang w:val="en-US"/>
        </w:rPr>
        <w:t>MATABELELAND NORTH PROVINCE</w:t>
      </w:r>
    </w:p>
    <w:p w:rsidR="00D25A4B" w:rsidRPr="000B0805" w:rsidRDefault="00D25A4B" w:rsidP="0071322B">
      <w:pPr>
        <w:pStyle w:val="NoSpacing"/>
        <w:jc w:val="both"/>
        <w:rPr>
          <w:b/>
          <w:sz w:val="24"/>
          <w:szCs w:val="24"/>
          <w:lang w:val="en-US"/>
        </w:rPr>
      </w:pPr>
    </w:p>
    <w:p w:rsidR="00D25A4B" w:rsidRPr="000B0805" w:rsidRDefault="00D25A4B" w:rsidP="0071322B">
      <w:pPr>
        <w:pStyle w:val="NoSpacing"/>
        <w:jc w:val="both"/>
        <w:rPr>
          <w:b/>
          <w:sz w:val="24"/>
          <w:szCs w:val="24"/>
          <w:lang w:val="en-US"/>
        </w:rPr>
      </w:pPr>
      <w:r w:rsidRPr="000B0805">
        <w:rPr>
          <w:b/>
          <w:sz w:val="24"/>
          <w:szCs w:val="24"/>
          <w:lang w:val="en-US"/>
        </w:rPr>
        <w:t>And</w:t>
      </w:r>
    </w:p>
    <w:p w:rsidR="00D25A4B" w:rsidRPr="000B0805" w:rsidRDefault="00D25A4B" w:rsidP="0071322B">
      <w:pPr>
        <w:pStyle w:val="NoSpacing"/>
        <w:jc w:val="both"/>
        <w:rPr>
          <w:b/>
          <w:sz w:val="24"/>
          <w:szCs w:val="24"/>
          <w:lang w:val="en-US"/>
        </w:rPr>
      </w:pPr>
    </w:p>
    <w:p w:rsidR="00D25A4B" w:rsidRPr="000B0805" w:rsidRDefault="00D25A4B" w:rsidP="0071322B">
      <w:pPr>
        <w:pStyle w:val="NoSpacing"/>
        <w:jc w:val="both"/>
        <w:rPr>
          <w:b/>
          <w:sz w:val="24"/>
          <w:szCs w:val="24"/>
          <w:lang w:val="en-US"/>
        </w:rPr>
      </w:pPr>
      <w:r w:rsidRPr="000B0805">
        <w:rPr>
          <w:b/>
          <w:sz w:val="24"/>
          <w:szCs w:val="24"/>
          <w:lang w:val="en-US"/>
        </w:rPr>
        <w:t>SECRETARY FOR MINES &amp; MINING DEVELOPMENT</w:t>
      </w:r>
    </w:p>
    <w:p w:rsidR="00D25A4B" w:rsidRPr="000B0805" w:rsidRDefault="00D25A4B" w:rsidP="0071322B">
      <w:pPr>
        <w:pStyle w:val="NoSpacing"/>
        <w:jc w:val="both"/>
        <w:rPr>
          <w:b/>
          <w:sz w:val="24"/>
          <w:szCs w:val="24"/>
          <w:lang w:val="en-US"/>
        </w:rPr>
      </w:pPr>
    </w:p>
    <w:p w:rsidR="00D25A4B" w:rsidRPr="000B0805" w:rsidRDefault="00D25A4B" w:rsidP="0071322B">
      <w:pPr>
        <w:pStyle w:val="NoSpacing"/>
        <w:jc w:val="both"/>
        <w:rPr>
          <w:b/>
          <w:sz w:val="24"/>
          <w:szCs w:val="24"/>
          <w:lang w:val="en-US"/>
        </w:rPr>
      </w:pPr>
      <w:r w:rsidRPr="000B0805">
        <w:rPr>
          <w:b/>
          <w:sz w:val="24"/>
          <w:szCs w:val="24"/>
          <w:lang w:val="en-US"/>
        </w:rPr>
        <w:t>And</w:t>
      </w:r>
    </w:p>
    <w:p w:rsidR="00D25A4B" w:rsidRPr="000B0805" w:rsidRDefault="00D25A4B" w:rsidP="0071322B">
      <w:pPr>
        <w:pStyle w:val="NoSpacing"/>
        <w:jc w:val="both"/>
        <w:rPr>
          <w:b/>
          <w:sz w:val="24"/>
          <w:szCs w:val="24"/>
          <w:lang w:val="en-US"/>
        </w:rPr>
      </w:pPr>
    </w:p>
    <w:p w:rsidR="00D25A4B" w:rsidRPr="000B0805" w:rsidRDefault="00D25A4B" w:rsidP="0071322B">
      <w:pPr>
        <w:pStyle w:val="NoSpacing"/>
        <w:jc w:val="both"/>
        <w:rPr>
          <w:b/>
          <w:sz w:val="24"/>
          <w:szCs w:val="24"/>
          <w:lang w:val="en-US"/>
        </w:rPr>
      </w:pPr>
      <w:r w:rsidRPr="000B0805">
        <w:rPr>
          <w:b/>
          <w:sz w:val="24"/>
          <w:szCs w:val="24"/>
          <w:lang w:val="en-US"/>
        </w:rPr>
        <w:t>FUNDISI PARK (PVT) LTD</w:t>
      </w:r>
    </w:p>
    <w:p w:rsidR="00D25A4B" w:rsidRPr="000B0805" w:rsidRDefault="00D25A4B" w:rsidP="0071322B">
      <w:pPr>
        <w:pStyle w:val="NoSpacing"/>
        <w:jc w:val="both"/>
        <w:rPr>
          <w:b/>
          <w:sz w:val="24"/>
          <w:szCs w:val="24"/>
          <w:lang w:val="en-US"/>
        </w:rPr>
      </w:pPr>
    </w:p>
    <w:p w:rsidR="00D25A4B" w:rsidRPr="000B0805" w:rsidRDefault="00D25A4B" w:rsidP="0071322B">
      <w:pPr>
        <w:pStyle w:val="NoSpacing"/>
        <w:jc w:val="both"/>
        <w:rPr>
          <w:sz w:val="24"/>
          <w:szCs w:val="24"/>
          <w:lang w:val="en-US"/>
        </w:rPr>
      </w:pPr>
      <w:r w:rsidRPr="000B0805">
        <w:rPr>
          <w:sz w:val="24"/>
          <w:szCs w:val="24"/>
          <w:lang w:val="en-US"/>
        </w:rPr>
        <w:t>IN THE HIGH COURT OF ZIMBABWE</w:t>
      </w:r>
    </w:p>
    <w:p w:rsidR="00D25A4B" w:rsidRPr="000B0805" w:rsidRDefault="00D25A4B" w:rsidP="0071322B">
      <w:pPr>
        <w:pStyle w:val="NoSpacing"/>
        <w:jc w:val="both"/>
        <w:rPr>
          <w:sz w:val="24"/>
          <w:szCs w:val="24"/>
          <w:lang w:val="en-US"/>
        </w:rPr>
      </w:pPr>
      <w:r w:rsidRPr="000B0805">
        <w:rPr>
          <w:sz w:val="24"/>
          <w:szCs w:val="24"/>
          <w:lang w:val="en-US"/>
        </w:rPr>
        <w:t>MAKONESE J</w:t>
      </w:r>
    </w:p>
    <w:p w:rsidR="00D25A4B" w:rsidRPr="000B0805" w:rsidRDefault="00D25A4B" w:rsidP="0071322B">
      <w:pPr>
        <w:pStyle w:val="NoSpacing"/>
        <w:jc w:val="both"/>
        <w:rPr>
          <w:sz w:val="24"/>
          <w:szCs w:val="24"/>
          <w:lang w:val="en-US"/>
        </w:rPr>
      </w:pPr>
      <w:r w:rsidRPr="000B0805">
        <w:rPr>
          <w:sz w:val="24"/>
          <w:szCs w:val="24"/>
          <w:lang w:val="en-US"/>
        </w:rPr>
        <w:t>BULAWAYO 4 &amp; 2</w:t>
      </w:r>
      <w:r w:rsidR="000B0805" w:rsidRPr="000B0805">
        <w:rPr>
          <w:sz w:val="24"/>
          <w:szCs w:val="24"/>
          <w:lang w:val="en-US"/>
        </w:rPr>
        <w:t>8</w:t>
      </w:r>
      <w:r w:rsidRPr="000B0805">
        <w:rPr>
          <w:sz w:val="24"/>
          <w:szCs w:val="24"/>
          <w:lang w:val="en-US"/>
        </w:rPr>
        <w:t xml:space="preserve"> JULY 2022</w:t>
      </w:r>
    </w:p>
    <w:p w:rsidR="00D25A4B" w:rsidRPr="000B0805" w:rsidRDefault="00D25A4B" w:rsidP="0071322B">
      <w:pPr>
        <w:pStyle w:val="NoSpacing"/>
        <w:jc w:val="both"/>
        <w:rPr>
          <w:sz w:val="24"/>
          <w:szCs w:val="24"/>
          <w:lang w:val="en-US"/>
        </w:rPr>
      </w:pPr>
    </w:p>
    <w:p w:rsidR="00D25A4B" w:rsidRPr="000B0805" w:rsidRDefault="00D25A4B" w:rsidP="0071322B">
      <w:pPr>
        <w:pStyle w:val="NoSpacing"/>
        <w:jc w:val="both"/>
        <w:rPr>
          <w:b/>
          <w:sz w:val="24"/>
          <w:szCs w:val="24"/>
          <w:lang w:val="en-US"/>
        </w:rPr>
      </w:pPr>
      <w:r w:rsidRPr="000B0805">
        <w:rPr>
          <w:b/>
          <w:sz w:val="24"/>
          <w:szCs w:val="24"/>
          <w:lang w:val="en-US"/>
        </w:rPr>
        <w:t>Opposed Application</w:t>
      </w:r>
    </w:p>
    <w:p w:rsidR="00D25A4B" w:rsidRPr="000B0805" w:rsidRDefault="00D25A4B" w:rsidP="0071322B">
      <w:pPr>
        <w:pStyle w:val="NoSpacing"/>
        <w:jc w:val="both"/>
        <w:rPr>
          <w:b/>
          <w:sz w:val="24"/>
          <w:szCs w:val="24"/>
          <w:lang w:val="en-US"/>
        </w:rPr>
      </w:pPr>
    </w:p>
    <w:p w:rsidR="0071322B" w:rsidRPr="000B0805" w:rsidRDefault="00D25A4B" w:rsidP="0071322B">
      <w:pPr>
        <w:pStyle w:val="NoSpacing"/>
        <w:jc w:val="both"/>
        <w:rPr>
          <w:sz w:val="24"/>
          <w:szCs w:val="24"/>
          <w:lang w:val="en-US"/>
        </w:rPr>
      </w:pPr>
      <w:r w:rsidRPr="000B0805">
        <w:rPr>
          <w:i/>
          <w:sz w:val="24"/>
          <w:szCs w:val="24"/>
          <w:lang w:val="en-US"/>
        </w:rPr>
        <w:t>T. Tavengwa</w:t>
      </w:r>
      <w:r w:rsidRPr="000B0805">
        <w:rPr>
          <w:sz w:val="24"/>
          <w:szCs w:val="24"/>
          <w:lang w:val="en-US"/>
        </w:rPr>
        <w:t xml:space="preserve"> for the applicant</w:t>
      </w:r>
    </w:p>
    <w:p w:rsidR="00D25A4B" w:rsidRPr="000B0805" w:rsidRDefault="00D25A4B" w:rsidP="0071322B">
      <w:pPr>
        <w:pStyle w:val="NoSpacing"/>
        <w:jc w:val="both"/>
        <w:rPr>
          <w:sz w:val="24"/>
          <w:szCs w:val="24"/>
          <w:lang w:val="en-US"/>
        </w:rPr>
      </w:pPr>
      <w:r w:rsidRPr="000B0805">
        <w:rPr>
          <w:i/>
          <w:sz w:val="24"/>
          <w:szCs w:val="24"/>
          <w:lang w:val="en-US"/>
        </w:rPr>
        <w:t xml:space="preserve">Advocate K. </w:t>
      </w:r>
      <w:r w:rsidR="00E23EA5" w:rsidRPr="000B0805">
        <w:rPr>
          <w:i/>
          <w:sz w:val="24"/>
          <w:szCs w:val="24"/>
          <w:lang w:val="en-US"/>
        </w:rPr>
        <w:t>I</w:t>
      </w:r>
      <w:r w:rsidRPr="000B0805">
        <w:rPr>
          <w:i/>
          <w:sz w:val="24"/>
          <w:szCs w:val="24"/>
          <w:lang w:val="en-US"/>
        </w:rPr>
        <w:t>. Phulu</w:t>
      </w:r>
      <w:r w:rsidRPr="000B0805">
        <w:rPr>
          <w:sz w:val="24"/>
          <w:szCs w:val="24"/>
          <w:lang w:val="en-US"/>
        </w:rPr>
        <w:t xml:space="preserve"> f</w:t>
      </w:r>
      <w:r w:rsidR="00E23EA5" w:rsidRPr="000B0805">
        <w:rPr>
          <w:sz w:val="24"/>
          <w:szCs w:val="24"/>
          <w:lang w:val="en-US"/>
        </w:rPr>
        <w:t>o</w:t>
      </w:r>
      <w:r w:rsidRPr="000B0805">
        <w:rPr>
          <w:sz w:val="24"/>
          <w:szCs w:val="24"/>
          <w:lang w:val="en-US"/>
        </w:rPr>
        <w:t xml:space="preserve">r </w:t>
      </w:r>
      <w:r w:rsidR="0071322B" w:rsidRPr="000B0805">
        <w:rPr>
          <w:sz w:val="24"/>
          <w:szCs w:val="24"/>
          <w:lang w:val="en-US"/>
        </w:rPr>
        <w:t>3rd</w:t>
      </w:r>
      <w:r w:rsidRPr="000B0805">
        <w:rPr>
          <w:sz w:val="24"/>
          <w:szCs w:val="24"/>
          <w:lang w:val="en-US"/>
        </w:rPr>
        <w:t xml:space="preserve"> respon</w:t>
      </w:r>
      <w:r w:rsidR="00E23EA5" w:rsidRPr="000B0805">
        <w:rPr>
          <w:sz w:val="24"/>
          <w:szCs w:val="24"/>
          <w:lang w:val="en-US"/>
        </w:rPr>
        <w:t>d</w:t>
      </w:r>
      <w:r w:rsidRPr="000B0805">
        <w:rPr>
          <w:sz w:val="24"/>
          <w:szCs w:val="24"/>
          <w:lang w:val="en-US"/>
        </w:rPr>
        <w:t>ent</w:t>
      </w:r>
    </w:p>
    <w:p w:rsidR="00E23EA5" w:rsidRPr="000B0805" w:rsidRDefault="00E23EA5" w:rsidP="0071322B">
      <w:pPr>
        <w:pStyle w:val="NoSpacing"/>
        <w:jc w:val="both"/>
        <w:rPr>
          <w:sz w:val="24"/>
          <w:szCs w:val="24"/>
          <w:lang w:val="en-US"/>
        </w:rPr>
      </w:pPr>
    </w:p>
    <w:p w:rsidR="00E23EA5" w:rsidRPr="000B0805" w:rsidRDefault="00E23EA5" w:rsidP="0071322B">
      <w:pPr>
        <w:jc w:val="both"/>
        <w:rPr>
          <w:sz w:val="24"/>
          <w:szCs w:val="24"/>
          <w:lang w:val="en-US"/>
        </w:rPr>
      </w:pPr>
      <w:r w:rsidRPr="000B0805">
        <w:rPr>
          <w:sz w:val="24"/>
          <w:szCs w:val="24"/>
          <w:lang w:val="en-US"/>
        </w:rPr>
        <w:tab/>
      </w:r>
      <w:r w:rsidRPr="000B0805">
        <w:rPr>
          <w:b/>
          <w:sz w:val="24"/>
          <w:szCs w:val="24"/>
          <w:lang w:val="en-US"/>
        </w:rPr>
        <w:t>MAKONESE J:</w:t>
      </w:r>
      <w:r w:rsidRPr="000B0805">
        <w:rPr>
          <w:b/>
          <w:sz w:val="24"/>
          <w:szCs w:val="24"/>
          <w:lang w:val="en-US"/>
        </w:rPr>
        <w:tab/>
      </w:r>
      <w:r w:rsidRPr="000B0805">
        <w:rPr>
          <w:sz w:val="24"/>
          <w:szCs w:val="24"/>
          <w:lang w:val="en-US"/>
        </w:rPr>
        <w:t>This is an application for review instituted in terms of Rule 62 of the High Court Rules, 2021.  The applicant is a mining syndicate with mining rights over a mining location known as Fundisi</w:t>
      </w:r>
      <w:r w:rsidR="006E7248" w:rsidRPr="000B0805">
        <w:rPr>
          <w:sz w:val="24"/>
          <w:szCs w:val="24"/>
          <w:lang w:val="en-US"/>
        </w:rPr>
        <w:t xml:space="preserve"> ‘H’</w:t>
      </w:r>
      <w:r w:rsidRPr="000B0805">
        <w:rPr>
          <w:sz w:val="24"/>
          <w:szCs w:val="24"/>
          <w:lang w:val="en-US"/>
        </w:rPr>
        <w:t xml:space="preserve"> Mining Block.</w:t>
      </w:r>
    </w:p>
    <w:p w:rsidR="00E23EA5" w:rsidRPr="000B0805" w:rsidRDefault="00E23EA5" w:rsidP="0071322B">
      <w:pPr>
        <w:jc w:val="both"/>
        <w:rPr>
          <w:sz w:val="24"/>
          <w:szCs w:val="24"/>
          <w:lang w:val="en-US"/>
        </w:rPr>
      </w:pPr>
      <w:r w:rsidRPr="000B0805">
        <w:rPr>
          <w:sz w:val="24"/>
          <w:szCs w:val="24"/>
          <w:lang w:val="en-US"/>
        </w:rPr>
        <w:tab/>
        <w:t>The order sought is in the following terms:</w:t>
      </w:r>
    </w:p>
    <w:p w:rsidR="00E23EA5" w:rsidRPr="000B0805" w:rsidRDefault="00E23EA5" w:rsidP="0071322B">
      <w:pPr>
        <w:pStyle w:val="NoSpacing"/>
        <w:ind w:left="1440" w:hanging="720"/>
        <w:jc w:val="both"/>
        <w:rPr>
          <w:sz w:val="24"/>
          <w:szCs w:val="24"/>
          <w:lang w:val="en-US"/>
        </w:rPr>
      </w:pPr>
      <w:r w:rsidRPr="000B0805">
        <w:rPr>
          <w:sz w:val="24"/>
          <w:szCs w:val="24"/>
          <w:lang w:val="en-US"/>
        </w:rPr>
        <w:t>“1.</w:t>
      </w:r>
      <w:r w:rsidRPr="000B0805">
        <w:rPr>
          <w:sz w:val="24"/>
          <w:szCs w:val="24"/>
          <w:lang w:val="en-US"/>
        </w:rPr>
        <w:tab/>
        <w:t>The decision by 1</w:t>
      </w:r>
      <w:r w:rsidRPr="000B0805">
        <w:rPr>
          <w:sz w:val="24"/>
          <w:szCs w:val="24"/>
          <w:vertAlign w:val="superscript"/>
          <w:lang w:val="en-US"/>
        </w:rPr>
        <w:t>st</w:t>
      </w:r>
      <w:r w:rsidRPr="000B0805">
        <w:rPr>
          <w:sz w:val="24"/>
          <w:szCs w:val="24"/>
          <w:lang w:val="en-US"/>
        </w:rPr>
        <w:t xml:space="preserve"> and /or 2</w:t>
      </w:r>
      <w:r w:rsidRPr="000B0805">
        <w:rPr>
          <w:sz w:val="24"/>
          <w:szCs w:val="24"/>
          <w:vertAlign w:val="superscript"/>
          <w:lang w:val="en-US"/>
        </w:rPr>
        <w:t>nd</w:t>
      </w:r>
      <w:r w:rsidR="00A973BF" w:rsidRPr="000B0805">
        <w:rPr>
          <w:sz w:val="24"/>
          <w:szCs w:val="24"/>
          <w:lang w:val="en-US"/>
        </w:rPr>
        <w:t xml:space="preserve"> respondent</w:t>
      </w:r>
      <w:r w:rsidRPr="000B0805">
        <w:rPr>
          <w:sz w:val="24"/>
          <w:szCs w:val="24"/>
          <w:lang w:val="en-US"/>
        </w:rPr>
        <w:t xml:space="preserve"> to suspend mining operations at Fundisi ‘</w:t>
      </w:r>
      <w:r w:rsidR="002C1A77" w:rsidRPr="000B0805">
        <w:rPr>
          <w:sz w:val="24"/>
          <w:szCs w:val="24"/>
          <w:lang w:val="en-US"/>
        </w:rPr>
        <w:t>H</w:t>
      </w:r>
      <w:r w:rsidRPr="000B0805">
        <w:rPr>
          <w:sz w:val="24"/>
          <w:szCs w:val="24"/>
          <w:lang w:val="en-US"/>
        </w:rPr>
        <w:t>” mining claim against the applicant on 20</w:t>
      </w:r>
      <w:r w:rsidRPr="000B0805">
        <w:rPr>
          <w:sz w:val="24"/>
          <w:szCs w:val="24"/>
          <w:vertAlign w:val="superscript"/>
          <w:lang w:val="en-US"/>
        </w:rPr>
        <w:t>th</w:t>
      </w:r>
      <w:r w:rsidRPr="000B0805">
        <w:rPr>
          <w:sz w:val="24"/>
          <w:szCs w:val="24"/>
          <w:lang w:val="en-US"/>
        </w:rPr>
        <w:t xml:space="preserve"> September 2021 be and is hereby set aside for want of compliance with section 354 (2) of the Mines and Minerals Act, section 3(2) of the Administrative Justice Act and sections 68 (1) and 69 of the Constitution of Zimbabwe.</w:t>
      </w:r>
    </w:p>
    <w:p w:rsidR="006E7248" w:rsidRPr="000B0805" w:rsidRDefault="006E7248" w:rsidP="0071322B">
      <w:pPr>
        <w:pStyle w:val="NoSpacing"/>
        <w:ind w:left="1440" w:hanging="720"/>
        <w:jc w:val="both"/>
        <w:rPr>
          <w:sz w:val="24"/>
          <w:szCs w:val="24"/>
          <w:lang w:val="en-US"/>
        </w:rPr>
      </w:pPr>
    </w:p>
    <w:p w:rsidR="00E23EA5" w:rsidRPr="000B0805" w:rsidRDefault="00E23EA5" w:rsidP="0071322B">
      <w:pPr>
        <w:pStyle w:val="NoSpacing"/>
        <w:ind w:left="1440" w:hanging="720"/>
        <w:jc w:val="both"/>
        <w:rPr>
          <w:sz w:val="24"/>
          <w:szCs w:val="24"/>
          <w:lang w:val="en-US"/>
        </w:rPr>
      </w:pPr>
      <w:r w:rsidRPr="000B0805">
        <w:rPr>
          <w:sz w:val="24"/>
          <w:szCs w:val="24"/>
          <w:lang w:val="en-US"/>
        </w:rPr>
        <w:t>2.</w:t>
      </w:r>
      <w:r w:rsidRPr="000B0805">
        <w:rPr>
          <w:sz w:val="24"/>
          <w:szCs w:val="24"/>
          <w:lang w:val="en-US"/>
        </w:rPr>
        <w:tab/>
        <w:t>For the avoidance of doubt,</w:t>
      </w:r>
      <w:r w:rsidR="00A973BF" w:rsidRPr="000B0805">
        <w:rPr>
          <w:sz w:val="24"/>
          <w:szCs w:val="24"/>
          <w:lang w:val="en-US"/>
        </w:rPr>
        <w:t xml:space="preserve"> pursuant to the provisions of section 354 (7) of the Mines and Minerals Act the decision of 1</w:t>
      </w:r>
      <w:r w:rsidR="00A973BF" w:rsidRPr="000B0805">
        <w:rPr>
          <w:sz w:val="24"/>
          <w:szCs w:val="24"/>
          <w:vertAlign w:val="superscript"/>
          <w:lang w:val="en-US"/>
        </w:rPr>
        <w:t>st</w:t>
      </w:r>
      <w:r w:rsidR="00A973BF" w:rsidRPr="000B0805">
        <w:rPr>
          <w:sz w:val="24"/>
          <w:szCs w:val="24"/>
          <w:lang w:val="en-US"/>
        </w:rPr>
        <w:t xml:space="preserve"> and/or 2</w:t>
      </w:r>
      <w:r w:rsidR="00A973BF" w:rsidRPr="000B0805">
        <w:rPr>
          <w:sz w:val="24"/>
          <w:szCs w:val="24"/>
          <w:vertAlign w:val="superscript"/>
          <w:lang w:val="en-US"/>
        </w:rPr>
        <w:t>nd</w:t>
      </w:r>
      <w:r w:rsidR="00A973BF" w:rsidRPr="000B0805">
        <w:rPr>
          <w:sz w:val="24"/>
          <w:szCs w:val="24"/>
          <w:lang w:val="en-US"/>
        </w:rPr>
        <w:t xml:space="preserve"> respondent as against applicant dated 28 September 2021 be and is hereby discharged/set aside.</w:t>
      </w:r>
    </w:p>
    <w:p w:rsidR="006E7248" w:rsidRPr="000B0805" w:rsidRDefault="006E7248" w:rsidP="0071322B">
      <w:pPr>
        <w:pStyle w:val="NoSpacing"/>
        <w:ind w:left="1440" w:hanging="720"/>
        <w:jc w:val="both"/>
        <w:rPr>
          <w:sz w:val="24"/>
          <w:szCs w:val="24"/>
          <w:lang w:val="en-US"/>
        </w:rPr>
      </w:pPr>
    </w:p>
    <w:p w:rsidR="00A973BF" w:rsidRPr="000B0805" w:rsidRDefault="00A973BF" w:rsidP="0071322B">
      <w:pPr>
        <w:pStyle w:val="NoSpacing"/>
        <w:ind w:left="1440" w:hanging="720"/>
        <w:jc w:val="both"/>
        <w:rPr>
          <w:sz w:val="24"/>
          <w:szCs w:val="24"/>
          <w:lang w:val="en-US"/>
        </w:rPr>
      </w:pPr>
      <w:r w:rsidRPr="000B0805">
        <w:rPr>
          <w:sz w:val="24"/>
          <w:szCs w:val="24"/>
          <w:lang w:val="en-US"/>
        </w:rPr>
        <w:t>3.</w:t>
      </w:r>
      <w:r w:rsidRPr="000B0805">
        <w:rPr>
          <w:sz w:val="24"/>
          <w:szCs w:val="24"/>
          <w:lang w:val="en-US"/>
        </w:rPr>
        <w:tab/>
        <w:t>Respondent to bear the costs of suit.”</w:t>
      </w:r>
    </w:p>
    <w:p w:rsidR="00A973BF" w:rsidRPr="000B0805" w:rsidRDefault="00A973BF" w:rsidP="0071322B">
      <w:pPr>
        <w:jc w:val="both"/>
        <w:rPr>
          <w:sz w:val="24"/>
          <w:szCs w:val="24"/>
          <w:lang w:val="en-US"/>
        </w:rPr>
      </w:pPr>
    </w:p>
    <w:p w:rsidR="00A973BF" w:rsidRPr="000B0805" w:rsidRDefault="00A973BF" w:rsidP="0071322B">
      <w:pPr>
        <w:jc w:val="both"/>
        <w:rPr>
          <w:sz w:val="24"/>
          <w:szCs w:val="24"/>
          <w:lang w:val="en-US"/>
        </w:rPr>
      </w:pPr>
      <w:r w:rsidRPr="000B0805">
        <w:rPr>
          <w:sz w:val="24"/>
          <w:szCs w:val="24"/>
          <w:lang w:val="en-US"/>
        </w:rPr>
        <w:tab/>
        <w:t>On 30</w:t>
      </w:r>
      <w:r w:rsidRPr="000B0805">
        <w:rPr>
          <w:sz w:val="24"/>
          <w:szCs w:val="24"/>
          <w:vertAlign w:val="superscript"/>
          <w:lang w:val="en-US"/>
        </w:rPr>
        <w:t>th</w:t>
      </w:r>
      <w:r w:rsidRPr="000B0805">
        <w:rPr>
          <w:sz w:val="24"/>
          <w:szCs w:val="24"/>
          <w:lang w:val="en-US"/>
        </w:rPr>
        <w:t xml:space="preserve"> November 2021 3</w:t>
      </w:r>
      <w:r w:rsidRPr="000B0805">
        <w:rPr>
          <w:sz w:val="24"/>
          <w:szCs w:val="24"/>
          <w:vertAlign w:val="superscript"/>
          <w:lang w:val="en-US"/>
        </w:rPr>
        <w:t>rd</w:t>
      </w:r>
      <w:r w:rsidRPr="000B0805">
        <w:rPr>
          <w:sz w:val="24"/>
          <w:szCs w:val="24"/>
          <w:lang w:val="en-US"/>
        </w:rPr>
        <w:t xml:space="preserve"> respondent duly filed its notice of opposition.  3</w:t>
      </w:r>
      <w:r w:rsidRPr="000B0805">
        <w:rPr>
          <w:sz w:val="24"/>
          <w:szCs w:val="24"/>
          <w:vertAlign w:val="superscript"/>
          <w:lang w:val="en-US"/>
        </w:rPr>
        <w:t>rd</w:t>
      </w:r>
      <w:r w:rsidRPr="000B0805">
        <w:rPr>
          <w:sz w:val="24"/>
          <w:szCs w:val="24"/>
          <w:lang w:val="en-US"/>
        </w:rPr>
        <w:t xml:space="preserve"> respondent was then being represented by Messrs Mashayamombe and Company Attorneys.  It would appear that after the applicant field and</w:t>
      </w:r>
      <w:r w:rsidR="00D949BC" w:rsidRPr="000B0805">
        <w:rPr>
          <w:sz w:val="24"/>
          <w:szCs w:val="24"/>
          <w:lang w:val="en-US"/>
        </w:rPr>
        <w:t xml:space="preserve"> served an answering affidavit, these parties </w:t>
      </w:r>
      <w:r w:rsidR="00D949BC" w:rsidRPr="000B0805">
        <w:rPr>
          <w:sz w:val="24"/>
          <w:szCs w:val="24"/>
          <w:lang w:val="en-US"/>
        </w:rPr>
        <w:lastRenderedPageBreak/>
        <w:t>entere</w:t>
      </w:r>
      <w:r w:rsidR="000A0CFB" w:rsidRPr="000B0805">
        <w:rPr>
          <w:sz w:val="24"/>
          <w:szCs w:val="24"/>
          <w:lang w:val="en-US"/>
        </w:rPr>
        <w:t>d into negotiations regarding</w:t>
      </w:r>
      <w:r w:rsidR="00D949BC" w:rsidRPr="000B0805">
        <w:rPr>
          <w:sz w:val="24"/>
          <w:szCs w:val="24"/>
          <w:lang w:val="en-US"/>
        </w:rPr>
        <w:t xml:space="preserve"> a possible settlement in an endeavor to resolve the matter.  It is pertinent to note that on the 13</w:t>
      </w:r>
      <w:r w:rsidR="00D949BC" w:rsidRPr="000B0805">
        <w:rPr>
          <w:sz w:val="24"/>
          <w:szCs w:val="24"/>
          <w:vertAlign w:val="superscript"/>
          <w:lang w:val="en-US"/>
        </w:rPr>
        <w:t>th</w:t>
      </w:r>
      <w:r w:rsidR="00D949BC" w:rsidRPr="000B0805">
        <w:rPr>
          <w:sz w:val="24"/>
          <w:szCs w:val="24"/>
          <w:lang w:val="en-US"/>
        </w:rPr>
        <w:t xml:space="preserve"> January 2022, Messrs Mashayamombe and Attorneys renounced agency in the matter.  In the</w:t>
      </w:r>
      <w:r w:rsidR="00E915EC" w:rsidRPr="000B0805">
        <w:rPr>
          <w:sz w:val="24"/>
          <w:szCs w:val="24"/>
          <w:lang w:val="en-US"/>
        </w:rPr>
        <w:t xml:space="preserve"> same notice</w:t>
      </w:r>
      <w:r w:rsidR="00141DFC" w:rsidRPr="000B0805">
        <w:rPr>
          <w:sz w:val="24"/>
          <w:szCs w:val="24"/>
          <w:lang w:val="en-US"/>
        </w:rPr>
        <w:t>,</w:t>
      </w:r>
      <w:r w:rsidR="00E915EC" w:rsidRPr="000B0805">
        <w:rPr>
          <w:sz w:val="24"/>
          <w:szCs w:val="24"/>
          <w:lang w:val="en-US"/>
        </w:rPr>
        <w:t xml:space="preserve"> the legal practitioners indicated that 3</w:t>
      </w:r>
      <w:r w:rsidR="00E915EC" w:rsidRPr="000B0805">
        <w:rPr>
          <w:sz w:val="24"/>
          <w:szCs w:val="24"/>
          <w:vertAlign w:val="superscript"/>
          <w:lang w:val="en-US"/>
        </w:rPr>
        <w:t>rd</w:t>
      </w:r>
      <w:r w:rsidR="00E915EC" w:rsidRPr="000B0805">
        <w:rPr>
          <w:sz w:val="24"/>
          <w:szCs w:val="24"/>
          <w:lang w:val="en-US"/>
        </w:rPr>
        <w:t xml:space="preserve"> respondent’s last known address was Messrs Mathons</w:t>
      </w:r>
      <w:r w:rsidR="0071322B" w:rsidRPr="000B0805">
        <w:rPr>
          <w:sz w:val="24"/>
          <w:szCs w:val="24"/>
          <w:lang w:val="en-US"/>
        </w:rPr>
        <w:t>i</w:t>
      </w:r>
      <w:r w:rsidR="00E915EC" w:rsidRPr="000B0805">
        <w:rPr>
          <w:sz w:val="24"/>
          <w:szCs w:val="24"/>
          <w:lang w:val="en-US"/>
        </w:rPr>
        <w:t>-Ncube Law Chambers, legal practitioners operating in Bulawayo.  On the 26</w:t>
      </w:r>
      <w:r w:rsidR="00E915EC" w:rsidRPr="000B0805">
        <w:rPr>
          <w:sz w:val="24"/>
          <w:szCs w:val="24"/>
          <w:vertAlign w:val="superscript"/>
          <w:lang w:val="en-US"/>
        </w:rPr>
        <w:t>th</w:t>
      </w:r>
      <w:r w:rsidR="00E915EC" w:rsidRPr="000B0805">
        <w:rPr>
          <w:sz w:val="24"/>
          <w:szCs w:val="24"/>
          <w:lang w:val="en-US"/>
        </w:rPr>
        <w:t xml:space="preserve"> January 2022, Messrs Mashayamombe and Company Attorneys, without assuming agency purpo</w:t>
      </w:r>
      <w:r w:rsidR="0071322B" w:rsidRPr="000B0805">
        <w:rPr>
          <w:sz w:val="24"/>
          <w:szCs w:val="24"/>
          <w:lang w:val="en-US"/>
        </w:rPr>
        <w:t>r</w:t>
      </w:r>
      <w:r w:rsidR="00E915EC" w:rsidRPr="000B0805">
        <w:rPr>
          <w:sz w:val="24"/>
          <w:szCs w:val="24"/>
          <w:lang w:val="en-US"/>
        </w:rPr>
        <w:t>ted to file 3</w:t>
      </w:r>
      <w:r w:rsidR="00E915EC" w:rsidRPr="000B0805">
        <w:rPr>
          <w:sz w:val="24"/>
          <w:szCs w:val="24"/>
          <w:vertAlign w:val="superscript"/>
          <w:lang w:val="en-US"/>
        </w:rPr>
        <w:t>rd</w:t>
      </w:r>
      <w:r w:rsidR="00E915EC" w:rsidRPr="000B0805">
        <w:rPr>
          <w:sz w:val="24"/>
          <w:szCs w:val="24"/>
          <w:lang w:val="en-US"/>
        </w:rPr>
        <w:t xml:space="preserve"> respondent’s heads of argument.  Rule 59 (21) of the</w:t>
      </w:r>
      <w:r w:rsidR="000F5C67" w:rsidRPr="000B0805">
        <w:rPr>
          <w:sz w:val="24"/>
          <w:szCs w:val="24"/>
          <w:lang w:val="en-US"/>
        </w:rPr>
        <w:t xml:space="preserve"> High Court Rules, 2021 provides</w:t>
      </w:r>
      <w:r w:rsidR="00E915EC" w:rsidRPr="000B0805">
        <w:rPr>
          <w:sz w:val="24"/>
          <w:szCs w:val="24"/>
          <w:lang w:val="en-US"/>
        </w:rPr>
        <w:t xml:space="preserve"> that:</w:t>
      </w:r>
    </w:p>
    <w:p w:rsidR="00E915EC" w:rsidRPr="000B0805" w:rsidRDefault="00E915EC" w:rsidP="0071322B">
      <w:pPr>
        <w:pStyle w:val="NoSpacing"/>
        <w:ind w:left="720"/>
        <w:jc w:val="both"/>
        <w:rPr>
          <w:sz w:val="24"/>
          <w:szCs w:val="24"/>
          <w:lang w:val="en-US"/>
        </w:rPr>
      </w:pPr>
      <w:r w:rsidRPr="000B0805">
        <w:rPr>
          <w:sz w:val="24"/>
          <w:szCs w:val="24"/>
          <w:lang w:val="en-US"/>
        </w:rPr>
        <w:t>“Heads of argument referred to in sub</w:t>
      </w:r>
      <w:r w:rsidR="0071322B" w:rsidRPr="000B0805">
        <w:rPr>
          <w:sz w:val="24"/>
          <w:szCs w:val="24"/>
          <w:lang w:val="en-US"/>
        </w:rPr>
        <w:t>-</w:t>
      </w:r>
      <w:r w:rsidRPr="000B0805">
        <w:rPr>
          <w:sz w:val="24"/>
          <w:szCs w:val="24"/>
          <w:lang w:val="en-US"/>
        </w:rPr>
        <w:t>rule (20) shall be filed by the respondent’</w:t>
      </w:r>
      <w:r w:rsidR="00862CEE" w:rsidRPr="000B0805">
        <w:rPr>
          <w:sz w:val="24"/>
          <w:szCs w:val="24"/>
          <w:lang w:val="en-US"/>
        </w:rPr>
        <w:t>s legal practitioners</w:t>
      </w:r>
      <w:r w:rsidRPr="000B0805">
        <w:rPr>
          <w:sz w:val="24"/>
          <w:szCs w:val="24"/>
          <w:lang w:val="en-US"/>
        </w:rPr>
        <w:t xml:space="preserve"> not more than ten days after heads of argument of the applicant or </w:t>
      </w:r>
      <w:r w:rsidR="0071322B" w:rsidRPr="000B0805">
        <w:rPr>
          <w:sz w:val="24"/>
          <w:szCs w:val="24"/>
          <w:lang w:val="en-US"/>
        </w:rPr>
        <w:t>excipients</w:t>
      </w:r>
      <w:r w:rsidRPr="000B0805">
        <w:rPr>
          <w:sz w:val="24"/>
          <w:szCs w:val="24"/>
          <w:lang w:val="en-US"/>
        </w:rPr>
        <w:t>, as the case may be, were delivered by the respondent …”</w:t>
      </w:r>
    </w:p>
    <w:p w:rsidR="00E915EC" w:rsidRPr="000B0805" w:rsidRDefault="00E915EC" w:rsidP="0071322B">
      <w:pPr>
        <w:jc w:val="both"/>
        <w:rPr>
          <w:sz w:val="24"/>
          <w:szCs w:val="24"/>
          <w:lang w:val="en-US"/>
        </w:rPr>
      </w:pPr>
    </w:p>
    <w:p w:rsidR="00E915EC" w:rsidRPr="000B0805" w:rsidRDefault="00E915EC" w:rsidP="0071322B">
      <w:pPr>
        <w:jc w:val="both"/>
        <w:rPr>
          <w:sz w:val="24"/>
          <w:szCs w:val="24"/>
          <w:lang w:val="en-US"/>
        </w:rPr>
      </w:pPr>
      <w:r w:rsidRPr="000B0805">
        <w:rPr>
          <w:sz w:val="24"/>
          <w:szCs w:val="24"/>
          <w:lang w:val="en-US"/>
        </w:rPr>
        <w:tab/>
        <w:t>In this matter the heads of argument were not filed by 3</w:t>
      </w:r>
      <w:r w:rsidRPr="000B0805">
        <w:rPr>
          <w:sz w:val="24"/>
          <w:szCs w:val="24"/>
          <w:vertAlign w:val="superscript"/>
          <w:lang w:val="en-US"/>
        </w:rPr>
        <w:t>rd</w:t>
      </w:r>
      <w:r w:rsidRPr="000B0805">
        <w:rPr>
          <w:sz w:val="24"/>
          <w:szCs w:val="24"/>
          <w:lang w:val="en-US"/>
        </w:rPr>
        <w:t xml:space="preserve"> respondent’s legal practitioners of record.  The heads of argument</w:t>
      </w:r>
      <w:r w:rsidR="00862CEE" w:rsidRPr="000B0805">
        <w:rPr>
          <w:sz w:val="24"/>
          <w:szCs w:val="24"/>
          <w:lang w:val="en-US"/>
        </w:rPr>
        <w:t xml:space="preserve"> </w:t>
      </w:r>
      <w:r w:rsidRPr="000B0805">
        <w:rPr>
          <w:sz w:val="24"/>
          <w:szCs w:val="24"/>
          <w:lang w:val="en-US"/>
        </w:rPr>
        <w:t>were filed by the erstwh</w:t>
      </w:r>
      <w:r w:rsidR="00E41101" w:rsidRPr="000B0805">
        <w:rPr>
          <w:sz w:val="24"/>
          <w:szCs w:val="24"/>
          <w:lang w:val="en-US"/>
        </w:rPr>
        <w:t>ile legal practitioners of the 3</w:t>
      </w:r>
      <w:r w:rsidRPr="000B0805">
        <w:rPr>
          <w:sz w:val="24"/>
          <w:szCs w:val="24"/>
          <w:lang w:val="en-US"/>
        </w:rPr>
        <w:t>rd respondent,</w:t>
      </w:r>
      <w:r w:rsidR="00862CEE" w:rsidRPr="000B0805">
        <w:rPr>
          <w:sz w:val="24"/>
          <w:szCs w:val="24"/>
          <w:lang w:val="en-US"/>
        </w:rPr>
        <w:t xml:space="preserve"> </w:t>
      </w:r>
      <w:r w:rsidRPr="000B0805">
        <w:rPr>
          <w:sz w:val="24"/>
          <w:szCs w:val="24"/>
          <w:lang w:val="en-US"/>
        </w:rPr>
        <w:t>who it could be argued were on a frolic of their own.  Their filing of the heads of argument is therefore a nullity.  To buttress this point on 7</w:t>
      </w:r>
      <w:r w:rsidRPr="000B0805">
        <w:rPr>
          <w:sz w:val="24"/>
          <w:szCs w:val="24"/>
          <w:vertAlign w:val="superscript"/>
          <w:lang w:val="en-US"/>
        </w:rPr>
        <w:t>th</w:t>
      </w:r>
      <w:r w:rsidRPr="000B0805">
        <w:rPr>
          <w:sz w:val="24"/>
          <w:szCs w:val="24"/>
          <w:lang w:val="en-US"/>
        </w:rPr>
        <w:t xml:space="preserve"> March 2022 Messrs Ncube and Partners, 3</w:t>
      </w:r>
      <w:r w:rsidRPr="000B0805">
        <w:rPr>
          <w:sz w:val="24"/>
          <w:szCs w:val="24"/>
          <w:vertAlign w:val="superscript"/>
          <w:lang w:val="en-US"/>
        </w:rPr>
        <w:t>rd</w:t>
      </w:r>
      <w:r w:rsidRPr="000B0805">
        <w:rPr>
          <w:sz w:val="24"/>
          <w:szCs w:val="24"/>
          <w:lang w:val="en-US"/>
        </w:rPr>
        <w:t xml:space="preserve"> respondent’s current legal practitioners of record filed a notice of assumption of agency in this matter.  The notice was served on the applicant’s legal practitioners on the 8</w:t>
      </w:r>
      <w:r w:rsidRPr="000B0805">
        <w:rPr>
          <w:sz w:val="24"/>
          <w:szCs w:val="24"/>
          <w:vertAlign w:val="superscript"/>
          <w:lang w:val="en-US"/>
        </w:rPr>
        <w:t>th</w:t>
      </w:r>
      <w:r w:rsidRPr="000B0805">
        <w:rPr>
          <w:sz w:val="24"/>
          <w:szCs w:val="24"/>
          <w:lang w:val="en-US"/>
        </w:rPr>
        <w:t xml:space="preserve"> of March 2022.  On 30</w:t>
      </w:r>
      <w:r w:rsidRPr="000B0805">
        <w:rPr>
          <w:sz w:val="24"/>
          <w:szCs w:val="24"/>
          <w:vertAlign w:val="superscript"/>
          <w:lang w:val="en-US"/>
        </w:rPr>
        <w:t>th</w:t>
      </w:r>
      <w:r w:rsidRPr="000B0805">
        <w:rPr>
          <w:sz w:val="24"/>
          <w:szCs w:val="24"/>
          <w:lang w:val="en-US"/>
        </w:rPr>
        <w:t xml:space="preserve"> March 2022 the parties filed a Deed of Settlement which is before the court.</w:t>
      </w:r>
      <w:r w:rsidR="00862CEE" w:rsidRPr="000B0805">
        <w:rPr>
          <w:sz w:val="24"/>
          <w:szCs w:val="24"/>
          <w:lang w:val="en-US"/>
        </w:rPr>
        <w:t xml:space="preserve">  At th</w:t>
      </w:r>
      <w:r w:rsidR="002A4345" w:rsidRPr="000B0805">
        <w:rPr>
          <w:sz w:val="24"/>
          <w:szCs w:val="24"/>
          <w:lang w:val="en-US"/>
        </w:rPr>
        <w:t>e hearing of this matter,</w:t>
      </w:r>
      <w:r w:rsidR="00862CEE" w:rsidRPr="000B0805">
        <w:rPr>
          <w:sz w:val="24"/>
          <w:szCs w:val="24"/>
          <w:lang w:val="en-US"/>
        </w:rPr>
        <w:t xml:space="preserve"> </w:t>
      </w:r>
      <w:r w:rsidR="00862CEE" w:rsidRPr="000B0805">
        <w:rPr>
          <w:i/>
          <w:sz w:val="24"/>
          <w:szCs w:val="24"/>
          <w:lang w:val="en-US"/>
        </w:rPr>
        <w:t>Advocate Phulu</w:t>
      </w:r>
      <w:r w:rsidR="00862CEE" w:rsidRPr="000B0805">
        <w:rPr>
          <w:sz w:val="24"/>
          <w:szCs w:val="24"/>
          <w:lang w:val="en-US"/>
        </w:rPr>
        <w:t xml:space="preserve"> appearing for the 3</w:t>
      </w:r>
      <w:r w:rsidR="00862CEE" w:rsidRPr="000B0805">
        <w:rPr>
          <w:sz w:val="24"/>
          <w:szCs w:val="24"/>
          <w:vertAlign w:val="superscript"/>
          <w:lang w:val="en-US"/>
        </w:rPr>
        <w:t>rd</w:t>
      </w:r>
      <w:r w:rsidR="00862CEE" w:rsidRPr="000B0805">
        <w:rPr>
          <w:sz w:val="24"/>
          <w:szCs w:val="24"/>
          <w:lang w:val="en-US"/>
        </w:rPr>
        <w:t xml:space="preserve"> respondent indicated that the Deed of Settlement was not consummated because the applicant had not complied with certain obligations.</w:t>
      </w:r>
    </w:p>
    <w:p w:rsidR="00862CEE" w:rsidRPr="000B0805" w:rsidRDefault="0071322B" w:rsidP="0071322B">
      <w:pPr>
        <w:jc w:val="both"/>
        <w:rPr>
          <w:sz w:val="24"/>
          <w:szCs w:val="24"/>
          <w:lang w:val="en-US"/>
        </w:rPr>
      </w:pPr>
      <w:r w:rsidRPr="000B0805">
        <w:rPr>
          <w:sz w:val="24"/>
          <w:szCs w:val="24"/>
          <w:lang w:val="en-US"/>
        </w:rPr>
        <w:tab/>
      </w:r>
      <w:r w:rsidR="00862CEE" w:rsidRPr="000B0805">
        <w:rPr>
          <w:i/>
          <w:sz w:val="24"/>
          <w:szCs w:val="24"/>
          <w:lang w:val="en-US"/>
        </w:rPr>
        <w:t>Mr T. Tavengwa</w:t>
      </w:r>
      <w:r w:rsidR="00862CEE" w:rsidRPr="000B0805">
        <w:rPr>
          <w:sz w:val="24"/>
          <w:szCs w:val="24"/>
          <w:lang w:val="en-US"/>
        </w:rPr>
        <w:t>, appearing for the applicant argued that the matter was not properly before the court.  At the time the 2</w:t>
      </w:r>
      <w:r w:rsidR="00862CEE" w:rsidRPr="000B0805">
        <w:rPr>
          <w:sz w:val="24"/>
          <w:szCs w:val="24"/>
          <w:vertAlign w:val="superscript"/>
          <w:lang w:val="en-US"/>
        </w:rPr>
        <w:t>nd</w:t>
      </w:r>
      <w:r w:rsidR="00862CEE" w:rsidRPr="000B0805">
        <w:rPr>
          <w:sz w:val="24"/>
          <w:szCs w:val="24"/>
          <w:lang w:val="en-US"/>
        </w:rPr>
        <w:t xml:space="preserve"> respondent filed heads of argument they were not being represented by Messrs Mashayamombe and Company Attorneys.  The legal practitioners had no mandate to purport to represent the 3</w:t>
      </w:r>
      <w:r w:rsidR="00862CEE" w:rsidRPr="000B0805">
        <w:rPr>
          <w:sz w:val="24"/>
          <w:szCs w:val="24"/>
          <w:vertAlign w:val="superscript"/>
          <w:lang w:val="en-US"/>
        </w:rPr>
        <w:t>rd</w:t>
      </w:r>
      <w:r w:rsidR="00862CEE" w:rsidRPr="000B0805">
        <w:rPr>
          <w:sz w:val="24"/>
          <w:szCs w:val="24"/>
          <w:lang w:val="en-US"/>
        </w:rPr>
        <w:t xml:space="preserve"> respondent.  In any event</w:t>
      </w:r>
      <w:r w:rsidR="009014DD" w:rsidRPr="000B0805">
        <w:rPr>
          <w:sz w:val="24"/>
          <w:szCs w:val="24"/>
          <w:lang w:val="en-US"/>
        </w:rPr>
        <w:t>,</w:t>
      </w:r>
      <w:r w:rsidR="00862CEE" w:rsidRPr="000B0805">
        <w:rPr>
          <w:sz w:val="24"/>
          <w:szCs w:val="24"/>
          <w:lang w:val="en-US"/>
        </w:rPr>
        <w:t xml:space="preserve"> no application was made for condonation for the non-compliance with the rules.  The 3</w:t>
      </w:r>
      <w:r w:rsidR="00862CEE" w:rsidRPr="000B0805">
        <w:rPr>
          <w:sz w:val="24"/>
          <w:szCs w:val="24"/>
          <w:vertAlign w:val="superscript"/>
          <w:lang w:val="en-US"/>
        </w:rPr>
        <w:t>rd</w:t>
      </w:r>
      <w:r w:rsidR="00862CEE" w:rsidRPr="000B0805">
        <w:rPr>
          <w:sz w:val="24"/>
          <w:szCs w:val="24"/>
          <w:lang w:val="en-US"/>
        </w:rPr>
        <w:t xml:space="preserve"> respondent acted as if the heads were filed in accordance with the rules.  I appreciate that Advocate Phulu had just taken instructions on the matter</w:t>
      </w:r>
      <w:r w:rsidR="00551756" w:rsidRPr="000B0805">
        <w:rPr>
          <w:sz w:val="24"/>
          <w:szCs w:val="24"/>
          <w:lang w:val="en-US"/>
        </w:rPr>
        <w:t xml:space="preserve"> and did not anticipate the issues raised by applicant’s legal practitioner.  In the case of </w:t>
      </w:r>
      <w:r w:rsidR="00551756" w:rsidRPr="000B0805">
        <w:rPr>
          <w:i/>
          <w:sz w:val="24"/>
          <w:szCs w:val="24"/>
          <w:lang w:val="en-US"/>
        </w:rPr>
        <w:t>Hais</w:t>
      </w:r>
      <w:r w:rsidRPr="000B0805">
        <w:rPr>
          <w:i/>
          <w:sz w:val="24"/>
          <w:szCs w:val="24"/>
          <w:lang w:val="en-US"/>
        </w:rPr>
        <w:t>h</w:t>
      </w:r>
      <w:r w:rsidR="00551756" w:rsidRPr="000B0805">
        <w:rPr>
          <w:i/>
          <w:sz w:val="24"/>
          <w:szCs w:val="24"/>
          <w:lang w:val="en-US"/>
        </w:rPr>
        <w:t>id</w:t>
      </w:r>
      <w:r w:rsidR="00551756" w:rsidRPr="000B0805">
        <w:rPr>
          <w:sz w:val="24"/>
          <w:szCs w:val="24"/>
          <w:lang w:val="en-US"/>
        </w:rPr>
        <w:t xml:space="preserve"> v </w:t>
      </w:r>
      <w:r w:rsidR="00551756" w:rsidRPr="000B0805">
        <w:rPr>
          <w:i/>
          <w:sz w:val="24"/>
          <w:szCs w:val="24"/>
          <w:lang w:val="en-US"/>
        </w:rPr>
        <w:t xml:space="preserve">Masomela and Ors </w:t>
      </w:r>
      <w:r w:rsidR="00551756" w:rsidRPr="000B0805">
        <w:rPr>
          <w:sz w:val="24"/>
          <w:szCs w:val="24"/>
          <w:lang w:val="en-US"/>
        </w:rPr>
        <w:t>HH-255-22, the court held that Rule 6 of the repealed rules enjoined a legal practitioner who had renounced agency to give reasonable notice to his client, the</w:t>
      </w:r>
      <w:r w:rsidR="002C1A77" w:rsidRPr="000B0805">
        <w:rPr>
          <w:sz w:val="24"/>
          <w:szCs w:val="24"/>
          <w:lang w:val="en-US"/>
        </w:rPr>
        <w:t xml:space="preserve"> registrar and other parties to the proceedings.</w:t>
      </w:r>
    </w:p>
    <w:p w:rsidR="002C1A77" w:rsidRPr="000B0805" w:rsidRDefault="002C1A77" w:rsidP="0071322B">
      <w:pPr>
        <w:jc w:val="both"/>
        <w:rPr>
          <w:sz w:val="24"/>
          <w:szCs w:val="24"/>
          <w:lang w:val="en-US"/>
        </w:rPr>
      </w:pPr>
      <w:r w:rsidRPr="000B0805">
        <w:rPr>
          <w:sz w:val="24"/>
          <w:szCs w:val="24"/>
          <w:lang w:val="en-US"/>
        </w:rPr>
        <w:lastRenderedPageBreak/>
        <w:tab/>
        <w:t>In this matter it is clear that there are no heads of argument properly filed for the 3</w:t>
      </w:r>
      <w:r w:rsidRPr="000B0805">
        <w:rPr>
          <w:sz w:val="24"/>
          <w:szCs w:val="24"/>
          <w:vertAlign w:val="superscript"/>
          <w:lang w:val="en-US"/>
        </w:rPr>
        <w:t>rd</w:t>
      </w:r>
      <w:r w:rsidRPr="000B0805">
        <w:rPr>
          <w:sz w:val="24"/>
          <w:szCs w:val="24"/>
          <w:lang w:val="en-US"/>
        </w:rPr>
        <w:t xml:space="preserve"> respondent.  Whatever Messrs Mashayamombe &amp; Company </w:t>
      </w:r>
      <w:r w:rsidR="0071322B" w:rsidRPr="000B0805">
        <w:rPr>
          <w:sz w:val="24"/>
          <w:szCs w:val="24"/>
          <w:lang w:val="en-US"/>
        </w:rPr>
        <w:t>A</w:t>
      </w:r>
      <w:r w:rsidRPr="000B0805">
        <w:rPr>
          <w:sz w:val="24"/>
          <w:szCs w:val="24"/>
          <w:lang w:val="en-US"/>
        </w:rPr>
        <w:t xml:space="preserve">ttorneys purported to do in the matter after they renounced agency is of no force and effect.  If they intended to resume agency they should have filed an appropriate notice of assumption of agency in terms of the rules.  I have to agree with </w:t>
      </w:r>
      <w:r w:rsidRPr="000B0805">
        <w:rPr>
          <w:i/>
          <w:sz w:val="24"/>
          <w:szCs w:val="24"/>
          <w:lang w:val="en-US"/>
        </w:rPr>
        <w:t>Mr Tavengwa,</w:t>
      </w:r>
      <w:r w:rsidRPr="000B0805">
        <w:rPr>
          <w:sz w:val="24"/>
          <w:szCs w:val="24"/>
          <w:lang w:val="en-US"/>
        </w:rPr>
        <w:t xml:space="preserve"> that there are no heads of argument for the 3</w:t>
      </w:r>
      <w:r w:rsidRPr="000B0805">
        <w:rPr>
          <w:sz w:val="24"/>
          <w:szCs w:val="24"/>
          <w:vertAlign w:val="superscript"/>
          <w:lang w:val="en-US"/>
        </w:rPr>
        <w:t>rd</w:t>
      </w:r>
      <w:r w:rsidRPr="000B0805">
        <w:rPr>
          <w:sz w:val="24"/>
          <w:szCs w:val="24"/>
          <w:lang w:val="en-US"/>
        </w:rPr>
        <w:t xml:space="preserve"> respondent properly filed of record.  The heads of argument purportedly filed on behalf of 3</w:t>
      </w:r>
      <w:r w:rsidRPr="000B0805">
        <w:rPr>
          <w:sz w:val="24"/>
          <w:szCs w:val="24"/>
          <w:vertAlign w:val="superscript"/>
          <w:lang w:val="en-US"/>
        </w:rPr>
        <w:t>rd</w:t>
      </w:r>
      <w:r w:rsidRPr="000B0805">
        <w:rPr>
          <w:sz w:val="24"/>
          <w:szCs w:val="24"/>
          <w:lang w:val="en-US"/>
        </w:rPr>
        <w:t xml:space="preserve"> respondent are hereby expunged from the record for non-compliance with the rules of this court.</w:t>
      </w:r>
    </w:p>
    <w:p w:rsidR="002C1A77" w:rsidRPr="000B0805" w:rsidRDefault="002C1A77" w:rsidP="0071322B">
      <w:pPr>
        <w:jc w:val="both"/>
        <w:rPr>
          <w:sz w:val="24"/>
          <w:szCs w:val="24"/>
          <w:lang w:val="en-US"/>
        </w:rPr>
      </w:pPr>
      <w:r w:rsidRPr="000B0805">
        <w:rPr>
          <w:sz w:val="24"/>
          <w:szCs w:val="24"/>
          <w:lang w:val="en-US"/>
        </w:rPr>
        <w:tab/>
        <w:t>For these reasons, and accordingly, the following order is made:</w:t>
      </w:r>
    </w:p>
    <w:p w:rsidR="002C1A77" w:rsidRPr="000B0805" w:rsidRDefault="002C1A77" w:rsidP="0071322B">
      <w:pPr>
        <w:pStyle w:val="ListParagraph"/>
        <w:numPr>
          <w:ilvl w:val="0"/>
          <w:numId w:val="1"/>
        </w:numPr>
        <w:jc w:val="both"/>
        <w:rPr>
          <w:sz w:val="24"/>
          <w:szCs w:val="24"/>
          <w:lang w:val="en-US"/>
        </w:rPr>
      </w:pPr>
      <w:r w:rsidRPr="000B0805">
        <w:rPr>
          <w:sz w:val="24"/>
          <w:szCs w:val="24"/>
          <w:lang w:val="en-US"/>
        </w:rPr>
        <w:t>The application be and is hereby granted.</w:t>
      </w:r>
    </w:p>
    <w:p w:rsidR="002C1A77" w:rsidRPr="000B0805" w:rsidRDefault="002C1A77" w:rsidP="0071322B">
      <w:pPr>
        <w:pStyle w:val="NoSpacing"/>
        <w:numPr>
          <w:ilvl w:val="0"/>
          <w:numId w:val="1"/>
        </w:numPr>
        <w:jc w:val="both"/>
        <w:rPr>
          <w:sz w:val="24"/>
          <w:szCs w:val="24"/>
          <w:lang w:val="en-US"/>
        </w:rPr>
      </w:pPr>
      <w:r w:rsidRPr="000B0805">
        <w:rPr>
          <w:sz w:val="24"/>
          <w:szCs w:val="24"/>
          <w:lang w:val="en-US"/>
        </w:rPr>
        <w:t>The decision by 1</w:t>
      </w:r>
      <w:r w:rsidRPr="000B0805">
        <w:rPr>
          <w:sz w:val="24"/>
          <w:szCs w:val="24"/>
          <w:vertAlign w:val="superscript"/>
          <w:lang w:val="en-US"/>
        </w:rPr>
        <w:t>st</w:t>
      </w:r>
      <w:r w:rsidRPr="000B0805">
        <w:rPr>
          <w:sz w:val="24"/>
          <w:szCs w:val="24"/>
          <w:lang w:val="en-US"/>
        </w:rPr>
        <w:t xml:space="preserve"> and /or 2</w:t>
      </w:r>
      <w:r w:rsidRPr="000B0805">
        <w:rPr>
          <w:sz w:val="24"/>
          <w:szCs w:val="24"/>
          <w:vertAlign w:val="superscript"/>
          <w:lang w:val="en-US"/>
        </w:rPr>
        <w:t>nd</w:t>
      </w:r>
      <w:r w:rsidRPr="000B0805">
        <w:rPr>
          <w:sz w:val="24"/>
          <w:szCs w:val="24"/>
          <w:lang w:val="en-US"/>
        </w:rPr>
        <w:t xml:space="preserve"> respondent to suspend mining operations at Fundisi ‘H” mining claim against the applicant on 20</w:t>
      </w:r>
      <w:r w:rsidRPr="000B0805">
        <w:rPr>
          <w:sz w:val="24"/>
          <w:szCs w:val="24"/>
          <w:vertAlign w:val="superscript"/>
          <w:lang w:val="en-US"/>
        </w:rPr>
        <w:t>th</w:t>
      </w:r>
      <w:r w:rsidRPr="000B0805">
        <w:rPr>
          <w:sz w:val="24"/>
          <w:szCs w:val="24"/>
          <w:lang w:val="en-US"/>
        </w:rPr>
        <w:t xml:space="preserve"> September 2021 be and is hereby set aside for want of compliance with section 354 (2) of the Mines and Minerals Act, section 3(2) of the Administrative Justice Act and sections 68 (1) and 69 of the Constitution of Zimbabwe.</w:t>
      </w:r>
    </w:p>
    <w:p w:rsidR="00207507" w:rsidRPr="000B0805" w:rsidRDefault="00207507" w:rsidP="00207507">
      <w:pPr>
        <w:pStyle w:val="NoSpacing"/>
        <w:ind w:left="720"/>
        <w:jc w:val="both"/>
        <w:rPr>
          <w:sz w:val="24"/>
          <w:szCs w:val="24"/>
          <w:lang w:val="en-US"/>
        </w:rPr>
      </w:pPr>
    </w:p>
    <w:p w:rsidR="002C1A77" w:rsidRPr="000B0805" w:rsidRDefault="002C1A77" w:rsidP="0071322B">
      <w:pPr>
        <w:pStyle w:val="NoSpacing"/>
        <w:numPr>
          <w:ilvl w:val="0"/>
          <w:numId w:val="1"/>
        </w:numPr>
        <w:jc w:val="both"/>
        <w:rPr>
          <w:sz w:val="24"/>
          <w:szCs w:val="24"/>
          <w:lang w:val="en-US"/>
        </w:rPr>
      </w:pPr>
      <w:r w:rsidRPr="000B0805">
        <w:rPr>
          <w:sz w:val="24"/>
          <w:szCs w:val="24"/>
          <w:lang w:val="en-US"/>
        </w:rPr>
        <w:t>For the avoidance of doubt, pursuant to the provisions of section 354 (7) of the Mines and Minerals Act the decision of 1</w:t>
      </w:r>
      <w:r w:rsidRPr="000B0805">
        <w:rPr>
          <w:sz w:val="24"/>
          <w:szCs w:val="24"/>
          <w:vertAlign w:val="superscript"/>
          <w:lang w:val="en-US"/>
        </w:rPr>
        <w:t>st</w:t>
      </w:r>
      <w:r w:rsidRPr="000B0805">
        <w:rPr>
          <w:sz w:val="24"/>
          <w:szCs w:val="24"/>
          <w:lang w:val="en-US"/>
        </w:rPr>
        <w:t xml:space="preserve"> and/or 2</w:t>
      </w:r>
      <w:r w:rsidRPr="000B0805">
        <w:rPr>
          <w:sz w:val="24"/>
          <w:szCs w:val="24"/>
          <w:vertAlign w:val="superscript"/>
          <w:lang w:val="en-US"/>
        </w:rPr>
        <w:t>nd</w:t>
      </w:r>
      <w:r w:rsidRPr="000B0805">
        <w:rPr>
          <w:sz w:val="24"/>
          <w:szCs w:val="24"/>
          <w:lang w:val="en-US"/>
        </w:rPr>
        <w:t xml:space="preserve"> respondent as against applicant dated 28 September 2021 be and is hereby discharged</w:t>
      </w:r>
      <w:r w:rsidR="0071322B" w:rsidRPr="000B0805">
        <w:rPr>
          <w:sz w:val="24"/>
          <w:szCs w:val="24"/>
          <w:lang w:val="en-US"/>
        </w:rPr>
        <w:t xml:space="preserve"> and </w:t>
      </w:r>
      <w:r w:rsidRPr="000B0805">
        <w:rPr>
          <w:sz w:val="24"/>
          <w:szCs w:val="24"/>
          <w:lang w:val="en-US"/>
        </w:rPr>
        <w:t>set aside.</w:t>
      </w:r>
    </w:p>
    <w:p w:rsidR="00207507" w:rsidRPr="000B0805" w:rsidRDefault="00207507" w:rsidP="00207507">
      <w:pPr>
        <w:pStyle w:val="NoSpacing"/>
        <w:ind w:left="720"/>
        <w:jc w:val="both"/>
        <w:rPr>
          <w:sz w:val="24"/>
          <w:szCs w:val="24"/>
          <w:lang w:val="en-US"/>
        </w:rPr>
      </w:pPr>
    </w:p>
    <w:p w:rsidR="00207507" w:rsidRPr="000B0805" w:rsidRDefault="0071322B" w:rsidP="0071322B">
      <w:pPr>
        <w:pStyle w:val="ListParagraph"/>
        <w:numPr>
          <w:ilvl w:val="0"/>
          <w:numId w:val="1"/>
        </w:numPr>
        <w:jc w:val="both"/>
        <w:rPr>
          <w:sz w:val="24"/>
          <w:szCs w:val="24"/>
          <w:lang w:val="en-US"/>
        </w:rPr>
      </w:pPr>
      <w:r w:rsidRPr="000B0805">
        <w:rPr>
          <w:sz w:val="24"/>
          <w:szCs w:val="24"/>
          <w:lang w:val="en-US"/>
        </w:rPr>
        <w:t>The 3</w:t>
      </w:r>
      <w:r w:rsidRPr="000B0805">
        <w:rPr>
          <w:sz w:val="24"/>
          <w:szCs w:val="24"/>
          <w:vertAlign w:val="superscript"/>
          <w:lang w:val="en-US"/>
        </w:rPr>
        <w:t>rd</w:t>
      </w:r>
      <w:r w:rsidRPr="000B0805">
        <w:rPr>
          <w:sz w:val="24"/>
          <w:szCs w:val="24"/>
          <w:lang w:val="en-US"/>
        </w:rPr>
        <w:t xml:space="preserve"> respondent to pay the costs of suit</w:t>
      </w:r>
      <w:r w:rsidR="00207507" w:rsidRPr="000B0805">
        <w:rPr>
          <w:sz w:val="24"/>
          <w:szCs w:val="24"/>
          <w:lang w:val="en-US"/>
        </w:rPr>
        <w:t>.</w:t>
      </w:r>
    </w:p>
    <w:p w:rsidR="0071322B" w:rsidRPr="000B0805" w:rsidRDefault="0071322B" w:rsidP="00207507">
      <w:pPr>
        <w:ind w:left="360"/>
        <w:jc w:val="both"/>
        <w:rPr>
          <w:sz w:val="24"/>
          <w:szCs w:val="24"/>
          <w:lang w:val="en-US"/>
        </w:rPr>
      </w:pPr>
    </w:p>
    <w:p w:rsidR="0071322B" w:rsidRPr="000B0805" w:rsidRDefault="0071322B" w:rsidP="0071322B">
      <w:pPr>
        <w:jc w:val="both"/>
        <w:rPr>
          <w:sz w:val="24"/>
          <w:szCs w:val="24"/>
          <w:lang w:val="en-US"/>
        </w:rPr>
      </w:pPr>
    </w:p>
    <w:p w:rsidR="0071322B" w:rsidRPr="000B0805" w:rsidRDefault="0071322B" w:rsidP="0071322B">
      <w:pPr>
        <w:pStyle w:val="NoSpacing"/>
        <w:jc w:val="both"/>
        <w:rPr>
          <w:sz w:val="24"/>
          <w:szCs w:val="24"/>
          <w:lang w:val="en-US"/>
        </w:rPr>
      </w:pPr>
      <w:r w:rsidRPr="000B0805">
        <w:rPr>
          <w:i/>
          <w:sz w:val="24"/>
          <w:szCs w:val="24"/>
          <w:lang w:val="en-US"/>
        </w:rPr>
        <w:t>Mutuso, Taruvinga &amp; Mhiribidi</w:t>
      </w:r>
      <w:r w:rsidRPr="000B0805">
        <w:rPr>
          <w:sz w:val="24"/>
          <w:szCs w:val="24"/>
          <w:lang w:val="en-US"/>
        </w:rPr>
        <w:t>, applicant’s legal practitioners</w:t>
      </w:r>
    </w:p>
    <w:p w:rsidR="0071322B" w:rsidRPr="000B0805" w:rsidRDefault="0071322B" w:rsidP="0071322B">
      <w:pPr>
        <w:pStyle w:val="NoSpacing"/>
        <w:jc w:val="both"/>
        <w:rPr>
          <w:sz w:val="24"/>
          <w:szCs w:val="24"/>
          <w:lang w:val="en-US"/>
        </w:rPr>
      </w:pPr>
    </w:p>
    <w:p w:rsidR="00E23EA5" w:rsidRPr="000B0805" w:rsidRDefault="00E23EA5" w:rsidP="0071322B">
      <w:pPr>
        <w:jc w:val="both"/>
        <w:rPr>
          <w:sz w:val="24"/>
          <w:szCs w:val="24"/>
          <w:lang w:val="en-US"/>
        </w:rPr>
      </w:pPr>
    </w:p>
    <w:p w:rsidR="00D25A4B" w:rsidRPr="000B0805" w:rsidRDefault="00D25A4B" w:rsidP="0071322B">
      <w:pPr>
        <w:jc w:val="both"/>
        <w:rPr>
          <w:b/>
          <w:sz w:val="24"/>
          <w:szCs w:val="24"/>
          <w:lang w:val="en-US"/>
        </w:rPr>
      </w:pPr>
    </w:p>
    <w:p w:rsidR="00D25A4B" w:rsidRPr="000B0805" w:rsidRDefault="00D25A4B" w:rsidP="0071322B">
      <w:pPr>
        <w:jc w:val="both"/>
        <w:rPr>
          <w:b/>
          <w:sz w:val="24"/>
          <w:szCs w:val="24"/>
          <w:lang w:val="en-US"/>
        </w:rPr>
      </w:pPr>
    </w:p>
    <w:sectPr w:rsidR="00D25A4B" w:rsidRPr="000B080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34C8" w:rsidRDefault="004034C8" w:rsidP="0071322B">
      <w:pPr>
        <w:spacing w:after="0" w:line="240" w:lineRule="auto"/>
      </w:pPr>
      <w:r>
        <w:separator/>
      </w:r>
    </w:p>
  </w:endnote>
  <w:endnote w:type="continuationSeparator" w:id="0">
    <w:p w:rsidR="004034C8" w:rsidRDefault="004034C8" w:rsidP="007132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34C8" w:rsidRDefault="004034C8" w:rsidP="0071322B">
      <w:pPr>
        <w:spacing w:after="0" w:line="240" w:lineRule="auto"/>
      </w:pPr>
      <w:r>
        <w:separator/>
      </w:r>
    </w:p>
  </w:footnote>
  <w:footnote w:type="continuationSeparator" w:id="0">
    <w:p w:rsidR="004034C8" w:rsidRDefault="004034C8" w:rsidP="007132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7292633"/>
      <w:docPartObj>
        <w:docPartGallery w:val="Page Numbers (Top of Page)"/>
        <w:docPartUnique/>
      </w:docPartObj>
    </w:sdtPr>
    <w:sdtEndPr>
      <w:rPr>
        <w:noProof/>
      </w:rPr>
    </w:sdtEndPr>
    <w:sdtContent>
      <w:p w:rsidR="0071322B" w:rsidRDefault="0071322B">
        <w:pPr>
          <w:pStyle w:val="Header"/>
          <w:jc w:val="right"/>
          <w:rPr>
            <w:noProof/>
          </w:rPr>
        </w:pPr>
        <w:r>
          <w:fldChar w:fldCharType="begin"/>
        </w:r>
        <w:r>
          <w:instrText xml:space="preserve"> PAGE   \* MERGEFORMAT </w:instrText>
        </w:r>
        <w:r>
          <w:fldChar w:fldCharType="separate"/>
        </w:r>
        <w:r w:rsidR="000B0805">
          <w:rPr>
            <w:noProof/>
          </w:rPr>
          <w:t>3</w:t>
        </w:r>
        <w:r>
          <w:rPr>
            <w:noProof/>
          </w:rPr>
          <w:fldChar w:fldCharType="end"/>
        </w:r>
      </w:p>
      <w:p w:rsidR="0071322B" w:rsidRDefault="0071322B">
        <w:pPr>
          <w:pStyle w:val="Header"/>
          <w:jc w:val="right"/>
          <w:rPr>
            <w:noProof/>
          </w:rPr>
        </w:pPr>
        <w:r>
          <w:rPr>
            <w:noProof/>
          </w:rPr>
          <w:t xml:space="preserve">HB </w:t>
        </w:r>
        <w:r w:rsidR="000B0805">
          <w:rPr>
            <w:noProof/>
          </w:rPr>
          <w:t>201</w:t>
        </w:r>
        <w:r>
          <w:rPr>
            <w:noProof/>
          </w:rPr>
          <w:t>/22</w:t>
        </w:r>
      </w:p>
      <w:p w:rsidR="0071322B" w:rsidRDefault="0071322B">
        <w:pPr>
          <w:pStyle w:val="Header"/>
          <w:jc w:val="right"/>
        </w:pPr>
        <w:r>
          <w:rPr>
            <w:noProof/>
          </w:rPr>
          <w:t>HC 1734/21</w:t>
        </w:r>
      </w:p>
    </w:sdtContent>
  </w:sdt>
  <w:p w:rsidR="0071322B" w:rsidRDefault="007132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CB338B"/>
    <w:multiLevelType w:val="hybridMultilevel"/>
    <w:tmpl w:val="A762EB4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A4B"/>
    <w:rsid w:val="000A0CFB"/>
    <w:rsid w:val="000B0805"/>
    <w:rsid w:val="000F5C67"/>
    <w:rsid w:val="00141DFC"/>
    <w:rsid w:val="00207507"/>
    <w:rsid w:val="002A4345"/>
    <w:rsid w:val="002C1A77"/>
    <w:rsid w:val="004034C8"/>
    <w:rsid w:val="00551756"/>
    <w:rsid w:val="006E7248"/>
    <w:rsid w:val="0071322B"/>
    <w:rsid w:val="008003B3"/>
    <w:rsid w:val="00862CEE"/>
    <w:rsid w:val="009014DD"/>
    <w:rsid w:val="00A973BF"/>
    <w:rsid w:val="00BB0124"/>
    <w:rsid w:val="00D25A4B"/>
    <w:rsid w:val="00D949BC"/>
    <w:rsid w:val="00E11058"/>
    <w:rsid w:val="00E23EA5"/>
    <w:rsid w:val="00E41101"/>
    <w:rsid w:val="00E463D3"/>
    <w:rsid w:val="00E915EC"/>
    <w:rsid w:val="00F5530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1A6A6B-1BCA-4D6C-A6ED-A61677BEC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3EA5"/>
    <w:pPr>
      <w:spacing w:line="36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25A4B"/>
    <w:pPr>
      <w:spacing w:after="0" w:line="240" w:lineRule="auto"/>
    </w:pPr>
    <w:rPr>
      <w:rFonts w:ascii="Times New Roman" w:hAnsi="Times New Roman"/>
      <w:sz w:val="28"/>
    </w:rPr>
  </w:style>
  <w:style w:type="paragraph" w:styleId="ListParagraph">
    <w:name w:val="List Paragraph"/>
    <w:basedOn w:val="Normal"/>
    <w:uiPriority w:val="34"/>
    <w:qFormat/>
    <w:rsid w:val="002C1A77"/>
    <w:pPr>
      <w:ind w:left="720"/>
      <w:contextualSpacing/>
    </w:pPr>
  </w:style>
  <w:style w:type="paragraph" w:styleId="Header">
    <w:name w:val="header"/>
    <w:basedOn w:val="Normal"/>
    <w:link w:val="HeaderChar"/>
    <w:uiPriority w:val="99"/>
    <w:unhideWhenUsed/>
    <w:rsid w:val="007132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322B"/>
    <w:rPr>
      <w:rFonts w:ascii="Times New Roman" w:hAnsi="Times New Roman"/>
      <w:sz w:val="28"/>
    </w:rPr>
  </w:style>
  <w:style w:type="paragraph" w:styleId="Footer">
    <w:name w:val="footer"/>
    <w:basedOn w:val="Normal"/>
    <w:link w:val="FooterChar"/>
    <w:uiPriority w:val="99"/>
    <w:unhideWhenUsed/>
    <w:rsid w:val="007132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322B"/>
    <w:rPr>
      <w:rFonts w:ascii="Times New Roman" w:hAnsi="Times New Roman"/>
      <w:sz w:val="28"/>
    </w:rPr>
  </w:style>
  <w:style w:type="paragraph" w:styleId="BalloonText">
    <w:name w:val="Balloon Text"/>
    <w:basedOn w:val="Normal"/>
    <w:link w:val="BalloonTextChar"/>
    <w:uiPriority w:val="99"/>
    <w:semiHidden/>
    <w:unhideWhenUsed/>
    <w:rsid w:val="000B08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08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3</Pages>
  <Words>828</Words>
  <Characters>4720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15</cp:revision>
  <cp:lastPrinted>2022-07-22T08:05:00Z</cp:lastPrinted>
  <dcterms:created xsi:type="dcterms:W3CDTF">2022-07-21T11:54:00Z</dcterms:created>
  <dcterms:modified xsi:type="dcterms:W3CDTF">2022-07-22T08:07:00Z</dcterms:modified>
</cp:coreProperties>
</file>