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014AB9" w:rsidP="005E2853">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ZIVANAI KURARAMA</w:t>
      </w:r>
    </w:p>
    <w:p w:rsidR="00014AB9" w:rsidRDefault="00014AB9" w:rsidP="005E2853">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014AB9" w:rsidRDefault="00014AB9" w:rsidP="005E2853">
      <w:pPr>
        <w:spacing w:after="0" w:line="240" w:lineRule="auto"/>
        <w:jc w:val="both"/>
        <w:rPr>
          <w:rFonts w:ascii="Times New Roman" w:hAnsi="Times New Roman"/>
          <w:sz w:val="24"/>
          <w:szCs w:val="24"/>
        </w:rPr>
      </w:pPr>
      <w:r>
        <w:rPr>
          <w:rFonts w:ascii="Times New Roman" w:hAnsi="Times New Roman"/>
          <w:sz w:val="24"/>
          <w:szCs w:val="24"/>
        </w:rPr>
        <w:t>THE STATE</w:t>
      </w:r>
    </w:p>
    <w:p w:rsidR="00014AB9" w:rsidRDefault="00014AB9" w:rsidP="005E2853">
      <w:pPr>
        <w:spacing w:after="0" w:line="240" w:lineRule="auto"/>
        <w:jc w:val="both"/>
        <w:rPr>
          <w:rFonts w:ascii="Times New Roman" w:hAnsi="Times New Roman"/>
          <w:sz w:val="24"/>
          <w:szCs w:val="24"/>
        </w:rPr>
      </w:pPr>
    </w:p>
    <w:p w:rsidR="00014AB9" w:rsidRDefault="00014AB9" w:rsidP="005E2853">
      <w:pPr>
        <w:spacing w:after="0" w:line="240" w:lineRule="auto"/>
        <w:jc w:val="both"/>
        <w:rPr>
          <w:rFonts w:ascii="Times New Roman" w:hAnsi="Times New Roman"/>
          <w:sz w:val="24"/>
          <w:szCs w:val="24"/>
        </w:rPr>
      </w:pPr>
    </w:p>
    <w:p w:rsidR="00014AB9" w:rsidRDefault="00014AB9" w:rsidP="005E2853">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014AB9" w:rsidRDefault="00014AB9" w:rsidP="005E2853">
      <w:pPr>
        <w:spacing w:after="0" w:line="240" w:lineRule="auto"/>
        <w:jc w:val="both"/>
        <w:rPr>
          <w:rFonts w:ascii="Times New Roman" w:hAnsi="Times New Roman"/>
          <w:sz w:val="24"/>
          <w:szCs w:val="24"/>
        </w:rPr>
      </w:pPr>
      <w:r>
        <w:rPr>
          <w:rFonts w:ascii="Times New Roman" w:hAnsi="Times New Roman"/>
          <w:sz w:val="24"/>
          <w:szCs w:val="24"/>
        </w:rPr>
        <w:t>MAVANGIRA J</w:t>
      </w:r>
    </w:p>
    <w:p w:rsidR="00014AB9" w:rsidRPr="00014AB9" w:rsidRDefault="00014AB9" w:rsidP="005E2853">
      <w:pPr>
        <w:spacing w:after="0" w:line="240" w:lineRule="auto"/>
        <w:jc w:val="both"/>
        <w:rPr>
          <w:rFonts w:ascii="Times New Roman" w:hAnsi="Times New Roman"/>
          <w:sz w:val="24"/>
          <w:szCs w:val="24"/>
        </w:rPr>
      </w:pPr>
      <w:r>
        <w:rPr>
          <w:rFonts w:ascii="Times New Roman" w:hAnsi="Times New Roman"/>
          <w:sz w:val="24"/>
          <w:szCs w:val="24"/>
        </w:rPr>
        <w:t>HARARE, 24 April 2013</w:t>
      </w:r>
      <w:r w:rsidR="009F70AD">
        <w:rPr>
          <w:rFonts w:ascii="Times New Roman" w:hAnsi="Times New Roman"/>
          <w:sz w:val="24"/>
          <w:szCs w:val="24"/>
        </w:rPr>
        <w:t xml:space="preserve"> &amp; 15 May 2013</w:t>
      </w:r>
    </w:p>
    <w:p w:rsidR="00014AB9" w:rsidRDefault="00014AB9" w:rsidP="005E2853">
      <w:pPr>
        <w:spacing w:after="0" w:line="240" w:lineRule="auto"/>
        <w:jc w:val="both"/>
        <w:rPr>
          <w:rFonts w:ascii="Times New Roman" w:hAnsi="Times New Roman"/>
          <w:sz w:val="24"/>
          <w:szCs w:val="24"/>
        </w:rPr>
      </w:pPr>
    </w:p>
    <w:p w:rsidR="00014AB9" w:rsidRDefault="00014AB9" w:rsidP="005E2853">
      <w:pPr>
        <w:spacing w:after="0" w:line="240" w:lineRule="auto"/>
        <w:jc w:val="both"/>
        <w:rPr>
          <w:rFonts w:ascii="Times New Roman" w:hAnsi="Times New Roman"/>
          <w:sz w:val="24"/>
          <w:szCs w:val="24"/>
        </w:rPr>
      </w:pPr>
    </w:p>
    <w:p w:rsidR="00014AB9" w:rsidRDefault="00014AB9" w:rsidP="005E2853">
      <w:pPr>
        <w:spacing w:after="0" w:line="240" w:lineRule="auto"/>
        <w:jc w:val="both"/>
        <w:rPr>
          <w:rFonts w:ascii="Times New Roman" w:hAnsi="Times New Roman"/>
          <w:b/>
          <w:sz w:val="24"/>
          <w:szCs w:val="24"/>
        </w:rPr>
      </w:pPr>
      <w:r w:rsidRPr="00014AB9">
        <w:rPr>
          <w:rFonts w:ascii="Times New Roman" w:hAnsi="Times New Roman"/>
          <w:b/>
          <w:sz w:val="24"/>
          <w:szCs w:val="24"/>
        </w:rPr>
        <w:t>IN CHAMBERS IN TERMS OF S 35 OF THE HIGH COURT OF ZIMBABWE ACT, [</w:t>
      </w:r>
      <w:r w:rsidRPr="00014AB9">
        <w:rPr>
          <w:rFonts w:ascii="Times New Roman" w:hAnsi="Times New Roman"/>
          <w:b/>
          <w:i/>
          <w:sz w:val="24"/>
          <w:szCs w:val="24"/>
        </w:rPr>
        <w:t>CAP 7:06</w:t>
      </w:r>
      <w:r w:rsidRPr="00014AB9">
        <w:rPr>
          <w:rFonts w:ascii="Times New Roman" w:hAnsi="Times New Roman"/>
          <w:b/>
          <w:sz w:val="24"/>
          <w:szCs w:val="24"/>
        </w:rPr>
        <w:t xml:space="preserve">] </w:t>
      </w:r>
    </w:p>
    <w:p w:rsidR="00BB6426" w:rsidRDefault="00BB6426" w:rsidP="005E2853">
      <w:pPr>
        <w:spacing w:after="0" w:line="240" w:lineRule="auto"/>
        <w:jc w:val="both"/>
        <w:rPr>
          <w:rFonts w:ascii="Times New Roman" w:hAnsi="Times New Roman"/>
          <w:b/>
          <w:sz w:val="24"/>
          <w:szCs w:val="24"/>
        </w:rPr>
      </w:pPr>
    </w:p>
    <w:p w:rsidR="00E06825" w:rsidRDefault="00E06825" w:rsidP="005E2853">
      <w:pPr>
        <w:spacing w:after="0" w:line="240" w:lineRule="auto"/>
        <w:jc w:val="both"/>
        <w:rPr>
          <w:rFonts w:ascii="Times New Roman" w:hAnsi="Times New Roman"/>
          <w:b/>
          <w:sz w:val="24"/>
          <w:szCs w:val="24"/>
        </w:rPr>
      </w:pPr>
    </w:p>
    <w:p w:rsidR="00553E43" w:rsidRDefault="00E06825" w:rsidP="008967C9">
      <w:pPr>
        <w:spacing w:after="0" w:line="360" w:lineRule="auto"/>
        <w:ind w:firstLine="720"/>
        <w:jc w:val="both"/>
        <w:rPr>
          <w:rFonts w:ascii="Times New Roman" w:hAnsi="Times New Roman"/>
          <w:sz w:val="24"/>
          <w:szCs w:val="24"/>
        </w:rPr>
      </w:pPr>
      <w:r>
        <w:rPr>
          <w:rFonts w:ascii="Times New Roman" w:hAnsi="Times New Roman"/>
          <w:sz w:val="24"/>
          <w:szCs w:val="24"/>
        </w:rPr>
        <w:t xml:space="preserve">MAVANGIRA J: </w:t>
      </w:r>
      <w:r w:rsidR="00BB6426" w:rsidRPr="00BB6426">
        <w:rPr>
          <w:rFonts w:ascii="Times New Roman" w:hAnsi="Times New Roman"/>
          <w:sz w:val="24"/>
          <w:szCs w:val="24"/>
        </w:rPr>
        <w:t>T</w:t>
      </w:r>
      <w:r w:rsidR="00BB6426">
        <w:rPr>
          <w:rFonts w:ascii="Times New Roman" w:hAnsi="Times New Roman"/>
          <w:sz w:val="24"/>
          <w:szCs w:val="24"/>
        </w:rPr>
        <w:t xml:space="preserve">he accused was arraigned before the magistrate at </w:t>
      </w:r>
      <w:proofErr w:type="spellStart"/>
      <w:r w:rsidR="00BB6426">
        <w:rPr>
          <w:rFonts w:ascii="Times New Roman" w:hAnsi="Times New Roman"/>
          <w:sz w:val="24"/>
          <w:szCs w:val="24"/>
        </w:rPr>
        <w:t>Kadoma</w:t>
      </w:r>
      <w:proofErr w:type="spellEnd"/>
      <w:r w:rsidR="00BB6426">
        <w:rPr>
          <w:rFonts w:ascii="Times New Roman" w:hAnsi="Times New Roman"/>
          <w:sz w:val="24"/>
          <w:szCs w:val="24"/>
        </w:rPr>
        <w:t xml:space="preserve"> on a charge of culpable homicide as defined in s 49 of the Criminal Law (Codification and Reform) Act</w:t>
      </w:r>
      <w:r w:rsidR="00385FDF">
        <w:rPr>
          <w:rFonts w:ascii="Times New Roman" w:hAnsi="Times New Roman"/>
          <w:sz w:val="24"/>
          <w:szCs w:val="24"/>
        </w:rPr>
        <w:t>, [</w:t>
      </w:r>
      <w:r w:rsidR="00385FDF" w:rsidRPr="00EB1FCC">
        <w:rPr>
          <w:rFonts w:ascii="Times New Roman" w:hAnsi="Times New Roman"/>
          <w:i/>
          <w:sz w:val="24"/>
          <w:szCs w:val="24"/>
        </w:rPr>
        <w:t>Cap 9:</w:t>
      </w:r>
      <w:r w:rsidR="00EB1FCC" w:rsidRPr="00EB1FCC">
        <w:rPr>
          <w:rFonts w:ascii="Times New Roman" w:hAnsi="Times New Roman"/>
          <w:i/>
          <w:sz w:val="24"/>
          <w:szCs w:val="24"/>
        </w:rPr>
        <w:t>23</w:t>
      </w:r>
      <w:r w:rsidR="00EB1FCC">
        <w:rPr>
          <w:rFonts w:ascii="Times New Roman" w:hAnsi="Times New Roman"/>
          <w:sz w:val="24"/>
          <w:szCs w:val="24"/>
        </w:rPr>
        <w:t>]</w:t>
      </w:r>
      <w:r w:rsidR="00BB6426">
        <w:rPr>
          <w:rFonts w:ascii="Times New Roman" w:hAnsi="Times New Roman"/>
          <w:sz w:val="24"/>
          <w:szCs w:val="24"/>
        </w:rPr>
        <w:t xml:space="preserve"> </w:t>
      </w:r>
      <w:r w:rsidR="00EB1FCC">
        <w:rPr>
          <w:rFonts w:ascii="Times New Roman" w:hAnsi="Times New Roman"/>
          <w:sz w:val="24"/>
          <w:szCs w:val="24"/>
        </w:rPr>
        <w:t xml:space="preserve">it being alleged that on 21 June 2010 at </w:t>
      </w:r>
      <w:proofErr w:type="spellStart"/>
      <w:r w:rsidR="00EB1FCC">
        <w:rPr>
          <w:rFonts w:ascii="Times New Roman" w:hAnsi="Times New Roman"/>
          <w:sz w:val="24"/>
          <w:szCs w:val="24"/>
        </w:rPr>
        <w:t>Rimaunga</w:t>
      </w:r>
      <w:proofErr w:type="spellEnd"/>
      <w:r w:rsidR="00EB1FCC">
        <w:rPr>
          <w:rFonts w:ascii="Times New Roman" w:hAnsi="Times New Roman"/>
          <w:sz w:val="24"/>
          <w:szCs w:val="24"/>
        </w:rPr>
        <w:t xml:space="preserve"> Estate, </w:t>
      </w:r>
      <w:proofErr w:type="spellStart"/>
      <w:r w:rsidR="00EB1FCC">
        <w:rPr>
          <w:rFonts w:ascii="Times New Roman" w:hAnsi="Times New Roman"/>
          <w:sz w:val="24"/>
          <w:szCs w:val="24"/>
        </w:rPr>
        <w:t>Macheke</w:t>
      </w:r>
      <w:proofErr w:type="spellEnd"/>
      <w:r w:rsidR="00EB1FCC">
        <w:rPr>
          <w:rFonts w:ascii="Times New Roman" w:hAnsi="Times New Roman"/>
          <w:sz w:val="24"/>
          <w:szCs w:val="24"/>
        </w:rPr>
        <w:t>, the appellant unlawfully caused the death of Christopher</w:t>
      </w:r>
      <w:r w:rsidR="00BB6426">
        <w:rPr>
          <w:rFonts w:ascii="Times New Roman" w:hAnsi="Times New Roman"/>
          <w:sz w:val="24"/>
          <w:szCs w:val="24"/>
        </w:rPr>
        <w:t xml:space="preserve"> </w:t>
      </w:r>
      <w:r w:rsidR="00553E43">
        <w:rPr>
          <w:rFonts w:ascii="Times New Roman" w:hAnsi="Times New Roman"/>
          <w:sz w:val="24"/>
          <w:szCs w:val="24"/>
        </w:rPr>
        <w:t xml:space="preserve">Rice either negligently failing to realise that the death might result from his conduct or, despite realising that death might result from his conduct, negligently failed to guard against that possibility.  He initially pleaded guilty but his plea was later changed to one of not guilty.  He was then convicted after a trial and sentenced to 6 ½ </w:t>
      </w:r>
      <w:proofErr w:type="spellStart"/>
      <w:r w:rsidR="00553E43">
        <w:rPr>
          <w:rFonts w:ascii="Times New Roman" w:hAnsi="Times New Roman"/>
          <w:sz w:val="24"/>
          <w:szCs w:val="24"/>
        </w:rPr>
        <w:t>years</w:t>
      </w:r>
      <w:proofErr w:type="spellEnd"/>
      <w:r w:rsidR="00553E43">
        <w:rPr>
          <w:rFonts w:ascii="Times New Roman" w:hAnsi="Times New Roman"/>
          <w:sz w:val="24"/>
          <w:szCs w:val="24"/>
        </w:rPr>
        <w:t xml:space="preserve"> imprisonment of which 3 ½ </w:t>
      </w:r>
      <w:proofErr w:type="spellStart"/>
      <w:r w:rsidR="00553E43">
        <w:rPr>
          <w:rFonts w:ascii="Times New Roman" w:hAnsi="Times New Roman"/>
          <w:sz w:val="24"/>
          <w:szCs w:val="24"/>
        </w:rPr>
        <w:t>years</w:t>
      </w:r>
      <w:proofErr w:type="spellEnd"/>
      <w:r w:rsidR="00553E43">
        <w:rPr>
          <w:rFonts w:ascii="Times New Roman" w:hAnsi="Times New Roman"/>
          <w:sz w:val="24"/>
          <w:szCs w:val="24"/>
        </w:rPr>
        <w:t xml:space="preserve"> imprisonment was suspended on condition of future good conduct.  He now appeals against both conviction and sentence.</w:t>
      </w:r>
    </w:p>
    <w:p w:rsidR="00553E43" w:rsidRDefault="00553E43" w:rsidP="005E2853">
      <w:pPr>
        <w:spacing w:after="0" w:line="360" w:lineRule="auto"/>
        <w:jc w:val="both"/>
        <w:rPr>
          <w:rFonts w:ascii="Times New Roman" w:hAnsi="Times New Roman"/>
          <w:sz w:val="24"/>
          <w:szCs w:val="24"/>
        </w:rPr>
      </w:pPr>
      <w:r>
        <w:rPr>
          <w:rFonts w:ascii="Times New Roman" w:hAnsi="Times New Roman"/>
          <w:sz w:val="24"/>
          <w:szCs w:val="24"/>
        </w:rPr>
        <w:tab/>
        <w:t>The Attorney General has filed a notice in terms of s 35 of the High Court Act, [</w:t>
      </w:r>
      <w:r w:rsidRPr="00553E43">
        <w:rPr>
          <w:rFonts w:ascii="Times New Roman" w:hAnsi="Times New Roman"/>
          <w:i/>
          <w:sz w:val="24"/>
          <w:szCs w:val="24"/>
        </w:rPr>
        <w:t>Cap 7:06</w:t>
      </w:r>
      <w:r>
        <w:rPr>
          <w:rFonts w:ascii="Times New Roman" w:hAnsi="Times New Roman"/>
          <w:sz w:val="24"/>
          <w:szCs w:val="24"/>
        </w:rPr>
        <w:t>] that he does not support the conviction for the following reasons.</w:t>
      </w:r>
    </w:p>
    <w:p w:rsidR="005169D9" w:rsidRDefault="00553E43" w:rsidP="005E2853">
      <w:pPr>
        <w:spacing w:after="0" w:line="360" w:lineRule="auto"/>
        <w:jc w:val="both"/>
        <w:rPr>
          <w:rFonts w:ascii="Times New Roman" w:hAnsi="Times New Roman"/>
          <w:sz w:val="24"/>
          <w:szCs w:val="24"/>
        </w:rPr>
      </w:pPr>
      <w:r>
        <w:rPr>
          <w:rFonts w:ascii="Times New Roman" w:hAnsi="Times New Roman"/>
          <w:sz w:val="24"/>
          <w:szCs w:val="24"/>
        </w:rPr>
        <w:tab/>
        <w:t>The charge against the appellant arose f</w:t>
      </w:r>
      <w:r w:rsidR="008967C9">
        <w:rPr>
          <w:rFonts w:ascii="Times New Roman" w:hAnsi="Times New Roman"/>
          <w:sz w:val="24"/>
          <w:szCs w:val="24"/>
        </w:rPr>
        <w:t>r</w:t>
      </w:r>
      <w:r>
        <w:rPr>
          <w:rFonts w:ascii="Times New Roman" w:hAnsi="Times New Roman"/>
          <w:sz w:val="24"/>
          <w:szCs w:val="24"/>
        </w:rPr>
        <w:t>om a fight that occurred between the appellant and the deceased during which fight the appellant repossessed his firearm from the deceased</w:t>
      </w:r>
      <w:r w:rsidR="005169D9">
        <w:rPr>
          <w:rFonts w:ascii="Times New Roman" w:hAnsi="Times New Roman"/>
          <w:sz w:val="24"/>
          <w:szCs w:val="24"/>
        </w:rPr>
        <w:t xml:space="preserve"> and assaulted him with it on the chest whereupon the deceased fell down and was found dead the following day.  The appellant stated in his defence outline that he saw the deceased stealing wire.  The deceased assaulted him first and they stated fighting.  He asserted that the deceased was the aggressor.</w:t>
      </w:r>
    </w:p>
    <w:p w:rsidR="005169D9" w:rsidRDefault="005169D9" w:rsidP="008967C9">
      <w:pPr>
        <w:spacing w:after="0" w:line="360" w:lineRule="auto"/>
        <w:ind w:firstLine="720"/>
        <w:jc w:val="both"/>
        <w:rPr>
          <w:rFonts w:ascii="Times New Roman" w:hAnsi="Times New Roman"/>
          <w:sz w:val="24"/>
          <w:szCs w:val="24"/>
        </w:rPr>
      </w:pPr>
      <w:r>
        <w:rPr>
          <w:rFonts w:ascii="Times New Roman" w:hAnsi="Times New Roman"/>
          <w:sz w:val="24"/>
          <w:szCs w:val="24"/>
        </w:rPr>
        <w:t>Section 16 (1) (c) of the Criminal Law (Codification and Reform) Act [</w:t>
      </w:r>
      <w:r w:rsidRPr="005169D9">
        <w:rPr>
          <w:rFonts w:ascii="Times New Roman" w:hAnsi="Times New Roman"/>
          <w:i/>
          <w:sz w:val="24"/>
          <w:szCs w:val="24"/>
        </w:rPr>
        <w:t>Cap 9:23</w:t>
      </w:r>
      <w:r>
        <w:rPr>
          <w:rFonts w:ascii="Times New Roman" w:hAnsi="Times New Roman"/>
          <w:sz w:val="24"/>
          <w:szCs w:val="24"/>
        </w:rPr>
        <w:t xml:space="preserve">] provides that: </w:t>
      </w:r>
      <w:r w:rsidR="00553E43">
        <w:rPr>
          <w:rFonts w:ascii="Times New Roman" w:hAnsi="Times New Roman"/>
          <w:sz w:val="24"/>
          <w:szCs w:val="24"/>
        </w:rPr>
        <w:t xml:space="preserve">    </w:t>
      </w:r>
    </w:p>
    <w:p w:rsidR="008967C9" w:rsidRDefault="005169D9" w:rsidP="008967C9">
      <w:pPr>
        <w:spacing w:after="0" w:line="360" w:lineRule="auto"/>
        <w:ind w:firstLine="360"/>
        <w:jc w:val="both"/>
        <w:rPr>
          <w:rFonts w:ascii="Times New Roman" w:hAnsi="Times New Roman"/>
          <w:sz w:val="24"/>
          <w:szCs w:val="24"/>
        </w:rPr>
      </w:pPr>
      <w:proofErr w:type="gramStart"/>
      <w:r>
        <w:rPr>
          <w:rFonts w:ascii="Times New Roman" w:hAnsi="Times New Roman"/>
          <w:sz w:val="24"/>
          <w:szCs w:val="24"/>
        </w:rPr>
        <w:t>“(1) where negli</w:t>
      </w:r>
      <w:r w:rsidR="007D0CD1">
        <w:rPr>
          <w:rFonts w:ascii="Times New Roman" w:hAnsi="Times New Roman"/>
          <w:sz w:val="24"/>
          <w:szCs w:val="24"/>
        </w:rPr>
        <w:t xml:space="preserve">gence is an element of any </w:t>
      </w:r>
      <w:r w:rsidR="008967C9">
        <w:rPr>
          <w:rFonts w:ascii="Times New Roman" w:hAnsi="Times New Roman"/>
          <w:sz w:val="24"/>
          <w:szCs w:val="24"/>
        </w:rPr>
        <w:t>crime.</w:t>
      </w:r>
      <w:proofErr w:type="gramEnd"/>
    </w:p>
    <w:p w:rsidR="008967C9" w:rsidRDefault="008967C9" w:rsidP="008967C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w:t>
      </w:r>
    </w:p>
    <w:p w:rsidR="008967C9" w:rsidRDefault="008967C9" w:rsidP="008967C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 ----------</w:t>
      </w:r>
    </w:p>
    <w:p w:rsidR="008967C9" w:rsidRDefault="008967C9" w:rsidP="008967C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Constituted wholly or partly by a consequence resulting from the conduct of an accused person or by the existence or absence of any circumstances in which such conduct occurred the test is objective and falls in two parts.</w:t>
      </w:r>
    </w:p>
    <w:p w:rsidR="008967C9" w:rsidRDefault="008967C9" w:rsidP="008967C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Whether or not the accused failed to realise that his or her conduct might produce the relevant consequences or that the relevant circumstance might exist or be absent and </w:t>
      </w:r>
    </w:p>
    <w:p w:rsidR="008967C9" w:rsidRDefault="008967C9" w:rsidP="008967C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If the accused did fail as provided in subs (</w:t>
      </w:r>
      <w:proofErr w:type="spellStart"/>
      <w:r>
        <w:rPr>
          <w:rFonts w:ascii="Times New Roman" w:hAnsi="Times New Roman"/>
          <w:sz w:val="24"/>
          <w:szCs w:val="24"/>
        </w:rPr>
        <w:t>i</w:t>
      </w:r>
      <w:proofErr w:type="spellEnd"/>
      <w:r>
        <w:rPr>
          <w:rFonts w:ascii="Times New Roman" w:hAnsi="Times New Roman"/>
          <w:sz w:val="24"/>
          <w:szCs w:val="24"/>
        </w:rPr>
        <w:t>) whether or not the person’s failure was blameworthy in that a reasonable person in the same circumstances.</w:t>
      </w:r>
    </w:p>
    <w:p w:rsidR="008967C9" w:rsidRDefault="008967C9" w:rsidP="008967C9">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Would have realised that the relevant consequence might be produced and would have guarded against it.</w:t>
      </w:r>
    </w:p>
    <w:p w:rsidR="00BB6426" w:rsidRPr="008967C9" w:rsidRDefault="008967C9" w:rsidP="008967C9">
      <w:pPr>
        <w:pStyle w:val="ListParagraph"/>
        <w:numPr>
          <w:ilvl w:val="0"/>
          <w:numId w:val="3"/>
        </w:numPr>
        <w:spacing w:after="0" w:line="240" w:lineRule="auto"/>
        <w:jc w:val="both"/>
        <w:rPr>
          <w:rFonts w:ascii="Times New Roman" w:hAnsi="Times New Roman"/>
          <w:sz w:val="24"/>
          <w:szCs w:val="24"/>
        </w:rPr>
      </w:pPr>
      <w:r w:rsidRPr="008967C9">
        <w:rPr>
          <w:rFonts w:ascii="Times New Roman" w:hAnsi="Times New Roman"/>
          <w:sz w:val="24"/>
          <w:szCs w:val="24"/>
        </w:rPr>
        <w:t xml:space="preserve">Would have realised that the relevant fact or circumstance might exist or be absent and would </w:t>
      </w:r>
      <w:r w:rsidR="007D0CD1" w:rsidRPr="008967C9">
        <w:rPr>
          <w:rFonts w:ascii="Times New Roman" w:hAnsi="Times New Roman"/>
          <w:sz w:val="24"/>
          <w:szCs w:val="24"/>
        </w:rPr>
        <w:t>have taken steps to ascertain whether or not it did exist, as the case maybe.”</w:t>
      </w:r>
      <w:r w:rsidR="00BB6426" w:rsidRPr="008967C9">
        <w:rPr>
          <w:rFonts w:ascii="Times New Roman" w:hAnsi="Times New Roman"/>
          <w:sz w:val="24"/>
          <w:szCs w:val="24"/>
        </w:rPr>
        <w:t xml:space="preserve"> </w:t>
      </w:r>
    </w:p>
    <w:p w:rsidR="007D0CD1" w:rsidRDefault="007D0CD1" w:rsidP="005E2853">
      <w:pPr>
        <w:spacing w:after="0" w:line="240" w:lineRule="auto"/>
        <w:jc w:val="both"/>
        <w:rPr>
          <w:rFonts w:ascii="Times New Roman" w:hAnsi="Times New Roman"/>
          <w:sz w:val="24"/>
          <w:szCs w:val="24"/>
        </w:rPr>
      </w:pPr>
    </w:p>
    <w:p w:rsidR="003B7EAF" w:rsidRPr="008967C9" w:rsidRDefault="007D0CD1" w:rsidP="008967C9">
      <w:pPr>
        <w:spacing w:after="0" w:line="360" w:lineRule="auto"/>
        <w:ind w:firstLine="720"/>
        <w:jc w:val="both"/>
        <w:rPr>
          <w:rFonts w:ascii="Times New Roman" w:hAnsi="Times New Roman"/>
          <w:sz w:val="24"/>
          <w:szCs w:val="24"/>
        </w:rPr>
      </w:pPr>
      <w:r>
        <w:rPr>
          <w:rFonts w:ascii="Times New Roman" w:hAnsi="Times New Roman"/>
          <w:sz w:val="24"/>
          <w:szCs w:val="24"/>
        </w:rPr>
        <w:t xml:space="preserve">Negligence is an essential element of the offence of culpable homicide and in accordance with s 18 of the Criminal Law (Codification and Reform) Act, a court can only convict where the element of negligence is proved beyond reasonable doubt by the State.  In its reasons for judgment the court </w:t>
      </w:r>
      <w:r w:rsidRPr="00A35889">
        <w:rPr>
          <w:rFonts w:ascii="Times New Roman" w:hAnsi="Times New Roman"/>
          <w:i/>
          <w:sz w:val="24"/>
          <w:szCs w:val="24"/>
        </w:rPr>
        <w:t>a quo</w:t>
      </w:r>
      <w:r>
        <w:rPr>
          <w:rFonts w:ascii="Times New Roman" w:hAnsi="Times New Roman"/>
          <w:sz w:val="24"/>
          <w:szCs w:val="24"/>
        </w:rPr>
        <w:t xml:space="preserve"> stated that contributory negligence on the part of the deceased is no defence to a charge of culpable homicide.  However, as the appellant had not this statement by the trial court was out of place.  The court also stated that the accused should have foreseen that assaulting the deceased with the butt of a heavy gun on the chest was dangerous especially as he admitted that the chest is a delicate part of the body.  This statement did not appear to take into consideration the totality of the obtaining circumstances.  The court </w:t>
      </w:r>
      <w:r w:rsidRPr="00A35889">
        <w:rPr>
          <w:rFonts w:ascii="Times New Roman" w:hAnsi="Times New Roman"/>
          <w:i/>
          <w:sz w:val="24"/>
          <w:szCs w:val="24"/>
        </w:rPr>
        <w:t>a quo</w:t>
      </w:r>
      <w:r>
        <w:rPr>
          <w:rFonts w:ascii="Times New Roman" w:hAnsi="Times New Roman"/>
          <w:sz w:val="24"/>
          <w:szCs w:val="24"/>
        </w:rPr>
        <w:t xml:space="preserve"> ought to have </w:t>
      </w:r>
      <w:r w:rsidR="003B7EAF" w:rsidRPr="008967C9">
        <w:rPr>
          <w:rFonts w:ascii="Times New Roman" w:hAnsi="Times New Roman"/>
          <w:sz w:val="24"/>
          <w:szCs w:val="24"/>
        </w:rPr>
        <w:t>applied part 2 of the object test provided in s 16.  It should have asked whether the appellant’s conduct was blameworthy in that no reasonable person in the same circumstances would have acted the way the appellant did.  However, due to the pan city of the evidence on record, the question remained unanswered.</w:t>
      </w:r>
    </w:p>
    <w:p w:rsidR="00A35889" w:rsidRPr="008967C9" w:rsidRDefault="003B7EAF" w:rsidP="008967C9">
      <w:pPr>
        <w:spacing w:after="0" w:line="360" w:lineRule="auto"/>
        <w:ind w:firstLine="720"/>
        <w:jc w:val="both"/>
        <w:rPr>
          <w:rFonts w:ascii="Times New Roman" w:hAnsi="Times New Roman"/>
          <w:sz w:val="24"/>
          <w:szCs w:val="24"/>
        </w:rPr>
      </w:pPr>
      <w:r w:rsidRPr="008967C9">
        <w:rPr>
          <w:rFonts w:ascii="Times New Roman" w:hAnsi="Times New Roman"/>
          <w:sz w:val="24"/>
          <w:szCs w:val="24"/>
        </w:rPr>
        <w:t>I</w:t>
      </w:r>
      <w:r w:rsidR="008967C9" w:rsidRPr="008967C9">
        <w:rPr>
          <w:rFonts w:ascii="Times New Roman" w:hAnsi="Times New Roman"/>
          <w:sz w:val="24"/>
          <w:szCs w:val="24"/>
        </w:rPr>
        <w:t>t</w:t>
      </w:r>
      <w:r w:rsidRPr="008967C9">
        <w:rPr>
          <w:rFonts w:ascii="Times New Roman" w:hAnsi="Times New Roman"/>
          <w:sz w:val="24"/>
          <w:szCs w:val="24"/>
        </w:rPr>
        <w:t xml:space="preserve"> is also pertinent that the plea of </w:t>
      </w:r>
      <w:proofErr w:type="spellStart"/>
      <w:r w:rsidRPr="008967C9">
        <w:rPr>
          <w:rFonts w:ascii="Times New Roman" w:hAnsi="Times New Roman"/>
          <w:sz w:val="24"/>
          <w:szCs w:val="24"/>
        </w:rPr>
        <w:t>self defence</w:t>
      </w:r>
      <w:proofErr w:type="spellEnd"/>
      <w:r w:rsidRPr="008967C9">
        <w:rPr>
          <w:rFonts w:ascii="Times New Roman" w:hAnsi="Times New Roman"/>
          <w:sz w:val="24"/>
          <w:szCs w:val="24"/>
        </w:rPr>
        <w:t xml:space="preserve"> was not completely rebutted by the evidence adduced on behalf of the State.  In </w:t>
      </w:r>
      <w:proofErr w:type="spellStart"/>
      <w:r w:rsidRPr="008967C9">
        <w:rPr>
          <w:rFonts w:ascii="Times New Roman" w:hAnsi="Times New Roman"/>
          <w:i/>
          <w:sz w:val="24"/>
          <w:szCs w:val="24"/>
        </w:rPr>
        <w:t>Phiri</w:t>
      </w:r>
      <w:proofErr w:type="spellEnd"/>
      <w:r w:rsidRPr="008967C9">
        <w:rPr>
          <w:rFonts w:ascii="Times New Roman" w:hAnsi="Times New Roman"/>
          <w:i/>
          <w:sz w:val="24"/>
          <w:szCs w:val="24"/>
        </w:rPr>
        <w:t xml:space="preserve"> </w:t>
      </w:r>
      <w:r w:rsidRPr="008967C9">
        <w:rPr>
          <w:rFonts w:ascii="Times New Roman" w:hAnsi="Times New Roman"/>
          <w:sz w:val="24"/>
          <w:szCs w:val="24"/>
        </w:rPr>
        <w:t xml:space="preserve">v </w:t>
      </w:r>
      <w:r w:rsidRPr="008967C9">
        <w:rPr>
          <w:rFonts w:ascii="Times New Roman" w:hAnsi="Times New Roman"/>
          <w:i/>
          <w:sz w:val="24"/>
          <w:szCs w:val="24"/>
        </w:rPr>
        <w:t>The State</w:t>
      </w:r>
      <w:r w:rsidRPr="008967C9">
        <w:rPr>
          <w:rFonts w:ascii="Times New Roman" w:hAnsi="Times New Roman"/>
          <w:sz w:val="24"/>
          <w:szCs w:val="24"/>
        </w:rPr>
        <w:t xml:space="preserve">, SC 190/82, FIELDSEND CJ stated: </w:t>
      </w:r>
    </w:p>
    <w:p w:rsidR="00A35889" w:rsidRDefault="00E435CC" w:rsidP="005E2853">
      <w:pPr>
        <w:pStyle w:val="ListParagraph"/>
        <w:spacing w:after="0" w:line="240" w:lineRule="auto"/>
        <w:ind w:left="1800"/>
        <w:jc w:val="both"/>
        <w:rPr>
          <w:rFonts w:ascii="Times New Roman" w:hAnsi="Times New Roman"/>
          <w:sz w:val="24"/>
          <w:szCs w:val="24"/>
        </w:rPr>
      </w:pPr>
      <w:r>
        <w:rPr>
          <w:rFonts w:ascii="Times New Roman" w:hAnsi="Times New Roman"/>
          <w:sz w:val="24"/>
          <w:szCs w:val="24"/>
        </w:rPr>
        <w:t xml:space="preserve">“It is trite that one must assess the reasonableness of a person’s behaviour when he is acting in </w:t>
      </w:r>
      <w:proofErr w:type="spellStart"/>
      <w:r>
        <w:rPr>
          <w:rFonts w:ascii="Times New Roman" w:hAnsi="Times New Roman"/>
          <w:sz w:val="24"/>
          <w:szCs w:val="24"/>
        </w:rPr>
        <w:t>self defence</w:t>
      </w:r>
      <w:proofErr w:type="spellEnd"/>
      <w:r>
        <w:rPr>
          <w:rFonts w:ascii="Times New Roman" w:hAnsi="Times New Roman"/>
          <w:sz w:val="24"/>
          <w:szCs w:val="24"/>
        </w:rPr>
        <w:t xml:space="preserve">, not in the rather rarefied atmosphere in court, but one must look even though objectively at the situation as it </w:t>
      </w:r>
      <w:r>
        <w:rPr>
          <w:rFonts w:ascii="Times New Roman" w:hAnsi="Times New Roman"/>
          <w:sz w:val="24"/>
          <w:szCs w:val="24"/>
        </w:rPr>
        <w:lastRenderedPageBreak/>
        <w:t xml:space="preserve">existed at the time and in relation to the particular person one is considering.” </w:t>
      </w:r>
      <w:r w:rsidR="003B7EAF">
        <w:rPr>
          <w:rFonts w:ascii="Times New Roman" w:hAnsi="Times New Roman"/>
          <w:sz w:val="24"/>
          <w:szCs w:val="24"/>
        </w:rPr>
        <w:t xml:space="preserve"> </w:t>
      </w:r>
    </w:p>
    <w:p w:rsidR="007D0CD1" w:rsidRPr="007D0CD1" w:rsidRDefault="007D0CD1" w:rsidP="005E2853">
      <w:pPr>
        <w:pStyle w:val="ListParagraph"/>
        <w:spacing w:after="0" w:line="240" w:lineRule="auto"/>
        <w:ind w:left="1800"/>
        <w:jc w:val="both"/>
        <w:rPr>
          <w:rFonts w:ascii="Times New Roman" w:hAnsi="Times New Roman"/>
          <w:sz w:val="24"/>
          <w:szCs w:val="24"/>
        </w:rPr>
      </w:pPr>
      <w:r w:rsidRPr="007D0CD1">
        <w:rPr>
          <w:rFonts w:ascii="Times New Roman" w:hAnsi="Times New Roman"/>
          <w:sz w:val="24"/>
          <w:szCs w:val="24"/>
        </w:rPr>
        <w:t xml:space="preserve">   </w:t>
      </w:r>
    </w:p>
    <w:p w:rsidR="00B9553E" w:rsidRDefault="00E435CC" w:rsidP="005E2853">
      <w:pPr>
        <w:spacing w:after="0" w:line="360" w:lineRule="auto"/>
        <w:jc w:val="both"/>
        <w:rPr>
          <w:rFonts w:ascii="Times New Roman" w:hAnsi="Times New Roman"/>
          <w:sz w:val="24"/>
          <w:szCs w:val="24"/>
        </w:rPr>
      </w:pPr>
      <w:r>
        <w:rPr>
          <w:rFonts w:ascii="Times New Roman" w:hAnsi="Times New Roman"/>
          <w:b/>
          <w:sz w:val="24"/>
          <w:szCs w:val="24"/>
        </w:rPr>
        <w:tab/>
      </w:r>
      <w:r w:rsidRPr="00E435CC">
        <w:rPr>
          <w:rFonts w:ascii="Times New Roman" w:hAnsi="Times New Roman"/>
          <w:sz w:val="24"/>
          <w:szCs w:val="24"/>
        </w:rPr>
        <w:t>Refe</w:t>
      </w:r>
      <w:r>
        <w:rPr>
          <w:rFonts w:ascii="Times New Roman" w:hAnsi="Times New Roman"/>
          <w:sz w:val="24"/>
          <w:szCs w:val="24"/>
        </w:rPr>
        <w:t xml:space="preserve">rence was also made to cases </w:t>
      </w:r>
      <w:proofErr w:type="spellStart"/>
      <w:r>
        <w:rPr>
          <w:rFonts w:ascii="Times New Roman" w:hAnsi="Times New Roman"/>
          <w:sz w:val="24"/>
          <w:szCs w:val="24"/>
        </w:rPr>
        <w:t>reitering</w:t>
      </w:r>
      <w:proofErr w:type="spellEnd"/>
      <w:r>
        <w:rPr>
          <w:rFonts w:ascii="Times New Roman" w:hAnsi="Times New Roman"/>
          <w:sz w:val="24"/>
          <w:szCs w:val="24"/>
        </w:rPr>
        <w:t xml:space="preserve"> the </w:t>
      </w:r>
      <w:r w:rsidR="00671629">
        <w:rPr>
          <w:rFonts w:ascii="Times New Roman" w:hAnsi="Times New Roman"/>
          <w:sz w:val="24"/>
          <w:szCs w:val="24"/>
        </w:rPr>
        <w:t xml:space="preserve">same approach.  </w:t>
      </w:r>
      <w:proofErr w:type="gramStart"/>
      <w:r w:rsidR="00671629" w:rsidRPr="00A35889">
        <w:rPr>
          <w:rFonts w:ascii="Times New Roman" w:hAnsi="Times New Roman"/>
          <w:i/>
          <w:sz w:val="24"/>
          <w:szCs w:val="24"/>
        </w:rPr>
        <w:t>S</w:t>
      </w:r>
      <w:r w:rsidR="00671629">
        <w:rPr>
          <w:rFonts w:ascii="Times New Roman" w:hAnsi="Times New Roman"/>
          <w:sz w:val="24"/>
          <w:szCs w:val="24"/>
        </w:rPr>
        <w:t xml:space="preserve"> v </w:t>
      </w:r>
      <w:proofErr w:type="spellStart"/>
      <w:r w:rsidR="00671629" w:rsidRPr="00A35889">
        <w:rPr>
          <w:rFonts w:ascii="Times New Roman" w:hAnsi="Times New Roman"/>
          <w:i/>
          <w:sz w:val="24"/>
          <w:szCs w:val="24"/>
        </w:rPr>
        <w:t>Mukonto</w:t>
      </w:r>
      <w:proofErr w:type="spellEnd"/>
      <w:r w:rsidR="00671629">
        <w:rPr>
          <w:rFonts w:ascii="Times New Roman" w:hAnsi="Times New Roman"/>
          <w:sz w:val="24"/>
          <w:szCs w:val="24"/>
        </w:rPr>
        <w:t xml:space="preserve"> 1971 (2) SA 319 (AD) at 342 C, </w:t>
      </w:r>
      <w:r w:rsidR="00671629" w:rsidRPr="00A35889">
        <w:rPr>
          <w:rFonts w:ascii="Times New Roman" w:hAnsi="Times New Roman"/>
          <w:i/>
          <w:sz w:val="24"/>
          <w:szCs w:val="24"/>
        </w:rPr>
        <w:t>S</w:t>
      </w:r>
      <w:r w:rsidR="00671629">
        <w:rPr>
          <w:rFonts w:ascii="Times New Roman" w:hAnsi="Times New Roman"/>
          <w:sz w:val="24"/>
          <w:szCs w:val="24"/>
        </w:rPr>
        <w:t xml:space="preserve"> v </w:t>
      </w:r>
      <w:proofErr w:type="spellStart"/>
      <w:r w:rsidR="00671629" w:rsidRPr="00A35889">
        <w:rPr>
          <w:rFonts w:ascii="Times New Roman" w:hAnsi="Times New Roman"/>
          <w:i/>
          <w:sz w:val="24"/>
          <w:szCs w:val="24"/>
        </w:rPr>
        <w:t>Ntuli</w:t>
      </w:r>
      <w:proofErr w:type="spellEnd"/>
      <w:r w:rsidR="00671629" w:rsidRPr="00A35889">
        <w:rPr>
          <w:rFonts w:ascii="Times New Roman" w:hAnsi="Times New Roman"/>
          <w:i/>
          <w:sz w:val="24"/>
          <w:szCs w:val="24"/>
        </w:rPr>
        <w:t xml:space="preserve"> </w:t>
      </w:r>
      <w:r w:rsidR="00671629">
        <w:rPr>
          <w:rFonts w:ascii="Times New Roman" w:hAnsi="Times New Roman"/>
          <w:sz w:val="24"/>
          <w:szCs w:val="24"/>
        </w:rPr>
        <w:t xml:space="preserve">1975 (1) SA 429 (AD) at 437 E, </w:t>
      </w:r>
      <w:proofErr w:type="spellStart"/>
      <w:r w:rsidR="00671629" w:rsidRPr="00A35889">
        <w:rPr>
          <w:rFonts w:ascii="Times New Roman" w:hAnsi="Times New Roman"/>
          <w:i/>
          <w:sz w:val="24"/>
          <w:szCs w:val="24"/>
        </w:rPr>
        <w:t>Moyo</w:t>
      </w:r>
      <w:proofErr w:type="spellEnd"/>
      <w:r w:rsidR="00671629">
        <w:rPr>
          <w:rFonts w:ascii="Times New Roman" w:hAnsi="Times New Roman"/>
          <w:sz w:val="24"/>
          <w:szCs w:val="24"/>
        </w:rPr>
        <w:t xml:space="preserve"> v </w:t>
      </w:r>
      <w:r w:rsidR="00671629" w:rsidRPr="00A35889">
        <w:rPr>
          <w:rFonts w:ascii="Times New Roman" w:hAnsi="Times New Roman"/>
          <w:i/>
          <w:sz w:val="24"/>
          <w:szCs w:val="24"/>
        </w:rPr>
        <w:t xml:space="preserve">State </w:t>
      </w:r>
      <w:r w:rsidR="00671629">
        <w:rPr>
          <w:rFonts w:ascii="Times New Roman" w:hAnsi="Times New Roman"/>
          <w:sz w:val="24"/>
          <w:szCs w:val="24"/>
        </w:rPr>
        <w:t>SC 45/84.</w:t>
      </w:r>
      <w:proofErr w:type="gramEnd"/>
      <w:r w:rsidR="00671629">
        <w:rPr>
          <w:rFonts w:ascii="Times New Roman" w:hAnsi="Times New Roman"/>
          <w:sz w:val="24"/>
          <w:szCs w:val="24"/>
        </w:rPr>
        <w:t xml:space="preserve">  Evidence to answer following issues ought to have been led the time when the offence was allegedly committed, visibility at the time of the commission of the alleged offence, the duration of the appellant’s fight with the deceased, the deceased’s physical built as compared to the appellant’s whether the appellant also sustained injuries as a result of the fight, whether at any given point during the fight the deceased got control of the gun, the weight of the gun, the part of the gun that was folded if any, the distance between the deceased and the appellant at the time of the blow, how the deceased was attacking the appellant at the time of the fatal blow, including whether he was using his hands or any weapon – this being of importance regard being had to the fact that they were fighting on a hill and according to the appellant at the relevant time the deceased was “on the upward side of the shape and the appellant was on the down ward side.”  The evidence should also have established whether the appellant had handcuffs which would have assisted in subduing the deceased.  Evidence on all these aspects would have assisted the court to establish whether the appellant ought in those circumstances to have realised that he was exceeding the bounds of </w:t>
      </w:r>
      <w:proofErr w:type="spellStart"/>
      <w:r w:rsidR="00671629">
        <w:rPr>
          <w:rFonts w:ascii="Times New Roman" w:hAnsi="Times New Roman"/>
          <w:sz w:val="24"/>
          <w:szCs w:val="24"/>
        </w:rPr>
        <w:t>self defence</w:t>
      </w:r>
      <w:proofErr w:type="spellEnd"/>
      <w:r w:rsidR="00671629">
        <w:rPr>
          <w:rFonts w:ascii="Times New Roman" w:hAnsi="Times New Roman"/>
          <w:sz w:val="24"/>
          <w:szCs w:val="24"/>
        </w:rPr>
        <w:t>.  The trial court also ought to have, apart from the appellant’s proper can session that the chest is a delicate part of the body, applied its mind to the fluid s</w:t>
      </w:r>
      <w:r w:rsidR="00C678CE">
        <w:rPr>
          <w:rFonts w:ascii="Times New Roman" w:hAnsi="Times New Roman"/>
          <w:sz w:val="24"/>
          <w:szCs w:val="24"/>
        </w:rPr>
        <w:t>ituation that the appellant found himself in and made a value judgment of the situation obtaining.</w:t>
      </w:r>
    </w:p>
    <w:p w:rsidR="00B9553E" w:rsidRDefault="00B9553E" w:rsidP="005E2853">
      <w:pPr>
        <w:spacing w:after="0" w:line="360" w:lineRule="auto"/>
        <w:jc w:val="both"/>
        <w:rPr>
          <w:rFonts w:ascii="Times New Roman" w:hAnsi="Times New Roman"/>
          <w:sz w:val="24"/>
          <w:szCs w:val="24"/>
        </w:rPr>
      </w:pPr>
      <w:r>
        <w:rPr>
          <w:rFonts w:ascii="Times New Roman" w:hAnsi="Times New Roman"/>
          <w:sz w:val="24"/>
          <w:szCs w:val="24"/>
        </w:rPr>
        <w:tab/>
        <w:t xml:space="preserve">It is also pertinent that a perusal of the </w:t>
      </w:r>
      <w:r w:rsidRPr="00B9553E">
        <w:rPr>
          <w:rFonts w:ascii="Times New Roman" w:hAnsi="Times New Roman"/>
          <w:i/>
          <w:sz w:val="24"/>
          <w:szCs w:val="24"/>
        </w:rPr>
        <w:t>court a quo’s</w:t>
      </w:r>
      <w:r>
        <w:rPr>
          <w:rFonts w:ascii="Times New Roman" w:hAnsi="Times New Roman"/>
          <w:sz w:val="24"/>
          <w:szCs w:val="24"/>
        </w:rPr>
        <w:t xml:space="preserve"> reasons for judgment appears to suggest that the court </w:t>
      </w:r>
      <w:r w:rsidRPr="00B9553E">
        <w:rPr>
          <w:rFonts w:ascii="Times New Roman" w:hAnsi="Times New Roman"/>
          <w:i/>
          <w:sz w:val="24"/>
          <w:szCs w:val="24"/>
        </w:rPr>
        <w:t>a quo</w:t>
      </w:r>
      <w:r>
        <w:rPr>
          <w:rFonts w:ascii="Times New Roman" w:hAnsi="Times New Roman"/>
          <w:sz w:val="24"/>
          <w:szCs w:val="24"/>
        </w:rPr>
        <w:t xml:space="preserve"> accepted most of the appellant’s evidence which was in fact corroborated by other evidence.  However for some unclear reasons the court did not accept that the appellant was under serious attach by the deceased.</w:t>
      </w:r>
    </w:p>
    <w:p w:rsidR="00B9553E" w:rsidRDefault="00B9553E" w:rsidP="005E2853">
      <w:pPr>
        <w:spacing w:after="0" w:line="360" w:lineRule="auto"/>
        <w:jc w:val="both"/>
        <w:rPr>
          <w:rFonts w:ascii="Times New Roman" w:hAnsi="Times New Roman"/>
          <w:sz w:val="24"/>
          <w:szCs w:val="24"/>
        </w:rPr>
      </w:pPr>
      <w:r>
        <w:rPr>
          <w:rFonts w:ascii="Times New Roman" w:hAnsi="Times New Roman"/>
          <w:sz w:val="24"/>
          <w:szCs w:val="24"/>
        </w:rPr>
        <w:tab/>
        <w:t xml:space="preserve">On the evidence on record, doubt is further cast as to what in fact happened to the deceased between the </w:t>
      </w:r>
      <w:proofErr w:type="gramStart"/>
      <w:r>
        <w:rPr>
          <w:rFonts w:ascii="Times New Roman" w:hAnsi="Times New Roman"/>
          <w:sz w:val="24"/>
          <w:szCs w:val="24"/>
        </w:rPr>
        <w:t>time</w:t>
      </w:r>
      <w:proofErr w:type="gramEnd"/>
      <w:r>
        <w:rPr>
          <w:rFonts w:ascii="Times New Roman" w:hAnsi="Times New Roman"/>
          <w:sz w:val="24"/>
          <w:szCs w:val="24"/>
        </w:rPr>
        <w:t xml:space="preserve"> that he sought with the appellant and when he died.  The Investigating Officer suggested that there were struggle marks where the deceased’s body was found.  There was no probing as to the nature of the struggle marks </w:t>
      </w:r>
      <w:proofErr w:type="spellStart"/>
      <w:r>
        <w:rPr>
          <w:rFonts w:ascii="Times New Roman" w:hAnsi="Times New Roman"/>
          <w:sz w:val="24"/>
          <w:szCs w:val="24"/>
        </w:rPr>
        <w:t>imparticular</w:t>
      </w:r>
      <w:proofErr w:type="spellEnd"/>
      <w:r>
        <w:rPr>
          <w:rFonts w:ascii="Times New Roman" w:hAnsi="Times New Roman"/>
          <w:sz w:val="24"/>
          <w:szCs w:val="24"/>
        </w:rPr>
        <w:t xml:space="preserve"> whether they were suggestive of a possible second attack on the deceased.</w:t>
      </w:r>
    </w:p>
    <w:p w:rsidR="00B9553E" w:rsidRDefault="00B9553E" w:rsidP="005E2853">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The evidence on record fell short of proving the essential element of negligence on the part of the appellant.  It also fell short of completely rebutting the plea of </w:t>
      </w:r>
      <w:proofErr w:type="spellStart"/>
      <w:r>
        <w:rPr>
          <w:rFonts w:ascii="Times New Roman" w:hAnsi="Times New Roman"/>
          <w:sz w:val="24"/>
          <w:szCs w:val="24"/>
        </w:rPr>
        <w:t>self defence</w:t>
      </w:r>
      <w:proofErr w:type="spellEnd"/>
      <w:r>
        <w:rPr>
          <w:rFonts w:ascii="Times New Roman" w:hAnsi="Times New Roman"/>
          <w:sz w:val="24"/>
          <w:szCs w:val="24"/>
        </w:rPr>
        <w:t xml:space="preserve"> raised by the appellant.</w:t>
      </w:r>
    </w:p>
    <w:p w:rsidR="00292717" w:rsidRDefault="00B9553E" w:rsidP="005E2853">
      <w:pPr>
        <w:spacing w:after="0" w:line="360" w:lineRule="auto"/>
        <w:jc w:val="both"/>
        <w:rPr>
          <w:rFonts w:ascii="Times New Roman" w:hAnsi="Times New Roman"/>
          <w:sz w:val="24"/>
          <w:szCs w:val="24"/>
        </w:rPr>
      </w:pPr>
      <w:r>
        <w:rPr>
          <w:rFonts w:ascii="Times New Roman" w:hAnsi="Times New Roman"/>
          <w:sz w:val="24"/>
          <w:szCs w:val="24"/>
        </w:rPr>
        <w:tab/>
        <w:t>In the circumstances the Attorney General</w:t>
      </w:r>
      <w:r w:rsidR="00BB3269">
        <w:rPr>
          <w:rFonts w:ascii="Times New Roman" w:hAnsi="Times New Roman"/>
          <w:sz w:val="24"/>
          <w:szCs w:val="24"/>
        </w:rPr>
        <w:t xml:space="preserve">’s decision not to support the conviction as conveyed </w:t>
      </w:r>
      <w:r w:rsidR="00D621BE">
        <w:rPr>
          <w:rFonts w:ascii="Times New Roman" w:hAnsi="Times New Roman"/>
          <w:sz w:val="24"/>
          <w:szCs w:val="24"/>
        </w:rPr>
        <w:t>in his notice is based on sound grounds.  For that reason the conviction and sentence cannot stand</w:t>
      </w:r>
      <w:r w:rsidR="00292717">
        <w:rPr>
          <w:rFonts w:ascii="Times New Roman" w:hAnsi="Times New Roman"/>
          <w:sz w:val="24"/>
          <w:szCs w:val="24"/>
        </w:rPr>
        <w:t>.</w:t>
      </w:r>
    </w:p>
    <w:p w:rsidR="00292717" w:rsidRDefault="00292717" w:rsidP="005E2853">
      <w:pPr>
        <w:spacing w:after="0" w:line="360" w:lineRule="auto"/>
        <w:jc w:val="both"/>
        <w:rPr>
          <w:rFonts w:ascii="Times New Roman" w:hAnsi="Times New Roman"/>
          <w:sz w:val="24"/>
          <w:szCs w:val="24"/>
        </w:rPr>
      </w:pPr>
      <w:r>
        <w:rPr>
          <w:rFonts w:ascii="Times New Roman" w:hAnsi="Times New Roman"/>
          <w:sz w:val="24"/>
          <w:szCs w:val="24"/>
        </w:rPr>
        <w:tab/>
        <w:t>In the result, the conviction and sentence of the appellant be and are hereby set aside.</w:t>
      </w:r>
    </w:p>
    <w:p w:rsidR="00292717" w:rsidRDefault="00292717" w:rsidP="005E2853">
      <w:pPr>
        <w:spacing w:after="0" w:line="360" w:lineRule="auto"/>
        <w:jc w:val="both"/>
        <w:rPr>
          <w:rFonts w:ascii="Times New Roman" w:hAnsi="Times New Roman"/>
          <w:sz w:val="24"/>
          <w:szCs w:val="24"/>
        </w:rPr>
      </w:pPr>
    </w:p>
    <w:p w:rsidR="00292717" w:rsidRDefault="00292717" w:rsidP="005E2853">
      <w:pPr>
        <w:spacing w:after="0" w:line="360" w:lineRule="auto"/>
        <w:jc w:val="both"/>
        <w:rPr>
          <w:rFonts w:ascii="Times New Roman" w:hAnsi="Times New Roman"/>
          <w:sz w:val="24"/>
          <w:szCs w:val="24"/>
        </w:rPr>
      </w:pPr>
    </w:p>
    <w:p w:rsidR="00292717" w:rsidRDefault="00292717" w:rsidP="005E2853">
      <w:pPr>
        <w:spacing w:after="0" w:line="360" w:lineRule="auto"/>
        <w:jc w:val="both"/>
        <w:rPr>
          <w:rFonts w:ascii="Times New Roman" w:hAnsi="Times New Roman"/>
          <w:sz w:val="24"/>
          <w:szCs w:val="24"/>
        </w:rPr>
      </w:pPr>
    </w:p>
    <w:p w:rsidR="00292717" w:rsidRDefault="00292717" w:rsidP="005E2853">
      <w:pPr>
        <w:spacing w:after="0" w:line="360" w:lineRule="auto"/>
        <w:jc w:val="both"/>
        <w:rPr>
          <w:rFonts w:ascii="Times New Roman" w:hAnsi="Times New Roman"/>
          <w:sz w:val="24"/>
          <w:szCs w:val="24"/>
        </w:rPr>
      </w:pPr>
      <w:r>
        <w:rPr>
          <w:rFonts w:ascii="Times New Roman" w:hAnsi="Times New Roman"/>
          <w:sz w:val="24"/>
          <w:szCs w:val="24"/>
        </w:rPr>
        <w:t xml:space="preserve">HUNGWE J agrees </w:t>
      </w:r>
    </w:p>
    <w:p w:rsidR="00292717" w:rsidRDefault="00292717" w:rsidP="005E2853">
      <w:pPr>
        <w:spacing w:after="0" w:line="360" w:lineRule="auto"/>
        <w:jc w:val="both"/>
        <w:rPr>
          <w:rFonts w:ascii="Times New Roman" w:hAnsi="Times New Roman"/>
          <w:sz w:val="24"/>
          <w:szCs w:val="24"/>
        </w:rPr>
      </w:pPr>
    </w:p>
    <w:p w:rsidR="00014AB9" w:rsidRPr="00E435CC" w:rsidRDefault="00292717" w:rsidP="005E2853">
      <w:pPr>
        <w:spacing w:after="0" w:line="360" w:lineRule="auto"/>
        <w:jc w:val="both"/>
        <w:rPr>
          <w:rFonts w:ascii="Times New Roman" w:hAnsi="Times New Roman"/>
          <w:sz w:val="24"/>
          <w:szCs w:val="24"/>
        </w:rPr>
      </w:pPr>
      <w:proofErr w:type="spellStart"/>
      <w:r w:rsidRPr="00292717">
        <w:rPr>
          <w:rFonts w:ascii="Times New Roman" w:hAnsi="Times New Roman"/>
          <w:i/>
          <w:sz w:val="24"/>
          <w:szCs w:val="24"/>
        </w:rPr>
        <w:t>Musunga</w:t>
      </w:r>
      <w:proofErr w:type="spellEnd"/>
      <w:r w:rsidRPr="00292717">
        <w:rPr>
          <w:rFonts w:ascii="Times New Roman" w:hAnsi="Times New Roman"/>
          <w:i/>
          <w:sz w:val="24"/>
          <w:szCs w:val="24"/>
        </w:rPr>
        <w:t xml:space="preserve"> &amp; Associates</w:t>
      </w:r>
      <w:r>
        <w:rPr>
          <w:rFonts w:ascii="Times New Roman" w:hAnsi="Times New Roman"/>
          <w:sz w:val="24"/>
          <w:szCs w:val="24"/>
        </w:rPr>
        <w:t xml:space="preserve">, appellant’s legal practitioners. </w:t>
      </w:r>
      <w:r w:rsidR="00D621BE">
        <w:rPr>
          <w:rFonts w:ascii="Times New Roman" w:hAnsi="Times New Roman"/>
          <w:sz w:val="24"/>
          <w:szCs w:val="24"/>
        </w:rPr>
        <w:t xml:space="preserve">  </w:t>
      </w:r>
      <w:r w:rsidR="00BB3269">
        <w:rPr>
          <w:rFonts w:ascii="Times New Roman" w:hAnsi="Times New Roman"/>
          <w:sz w:val="24"/>
          <w:szCs w:val="24"/>
        </w:rPr>
        <w:t xml:space="preserve"> </w:t>
      </w:r>
      <w:r w:rsidR="00B9553E">
        <w:rPr>
          <w:rFonts w:ascii="Times New Roman" w:hAnsi="Times New Roman"/>
          <w:sz w:val="24"/>
          <w:szCs w:val="24"/>
        </w:rPr>
        <w:t xml:space="preserve">   </w:t>
      </w:r>
      <w:r w:rsidR="00671629">
        <w:rPr>
          <w:rFonts w:ascii="Times New Roman" w:hAnsi="Times New Roman"/>
          <w:sz w:val="24"/>
          <w:szCs w:val="24"/>
        </w:rPr>
        <w:t xml:space="preserve">   </w:t>
      </w:r>
    </w:p>
    <w:p w:rsidR="00014AB9" w:rsidRDefault="00014AB9" w:rsidP="005E2853">
      <w:pPr>
        <w:spacing w:after="0" w:line="240" w:lineRule="auto"/>
        <w:jc w:val="both"/>
        <w:rPr>
          <w:rFonts w:ascii="Times New Roman" w:hAnsi="Times New Roman"/>
          <w:b/>
          <w:sz w:val="24"/>
          <w:szCs w:val="24"/>
        </w:rPr>
      </w:pPr>
    </w:p>
    <w:p w:rsidR="00014AB9" w:rsidRPr="00014AB9" w:rsidRDefault="00014AB9" w:rsidP="005E2853">
      <w:pPr>
        <w:spacing w:after="0" w:line="240" w:lineRule="auto"/>
        <w:jc w:val="both"/>
        <w:rPr>
          <w:rFonts w:ascii="Times New Roman" w:hAnsi="Times New Roman"/>
          <w:b/>
          <w:sz w:val="24"/>
          <w:szCs w:val="24"/>
        </w:rPr>
      </w:pPr>
    </w:p>
    <w:sectPr w:rsidR="00014AB9" w:rsidRPr="00014AB9" w:rsidSect="00635FE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C3" w:rsidRDefault="003E3BC3" w:rsidP="00014AB9">
      <w:pPr>
        <w:spacing w:after="0" w:line="240" w:lineRule="auto"/>
      </w:pPr>
      <w:r>
        <w:separator/>
      </w:r>
    </w:p>
  </w:endnote>
  <w:endnote w:type="continuationSeparator" w:id="0">
    <w:p w:rsidR="003E3BC3" w:rsidRDefault="003E3BC3" w:rsidP="0001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C3" w:rsidRDefault="003E3BC3" w:rsidP="00014AB9">
      <w:pPr>
        <w:spacing w:after="0" w:line="240" w:lineRule="auto"/>
      </w:pPr>
      <w:r>
        <w:separator/>
      </w:r>
    </w:p>
  </w:footnote>
  <w:footnote w:type="continuationSeparator" w:id="0">
    <w:p w:rsidR="003E3BC3" w:rsidRDefault="003E3BC3" w:rsidP="00014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938"/>
      <w:docPartObj>
        <w:docPartGallery w:val="Page Numbers (Top of Page)"/>
        <w:docPartUnique/>
      </w:docPartObj>
    </w:sdtPr>
    <w:sdtEndPr/>
    <w:sdtContent>
      <w:p w:rsidR="00BB3269" w:rsidRDefault="003E3BC3">
        <w:pPr>
          <w:pStyle w:val="Header"/>
          <w:jc w:val="right"/>
        </w:pPr>
        <w:r>
          <w:fldChar w:fldCharType="begin"/>
        </w:r>
        <w:r>
          <w:instrText xml:space="preserve"> PAGE   \* MERGEFORMAT </w:instrText>
        </w:r>
        <w:r>
          <w:fldChar w:fldCharType="separate"/>
        </w:r>
        <w:r w:rsidR="00253F82">
          <w:rPr>
            <w:noProof/>
          </w:rPr>
          <w:t>1</w:t>
        </w:r>
        <w:r>
          <w:rPr>
            <w:noProof/>
          </w:rPr>
          <w:fldChar w:fldCharType="end"/>
        </w:r>
      </w:p>
      <w:p w:rsidR="006F6D48" w:rsidRDefault="006F6D48">
        <w:pPr>
          <w:pStyle w:val="Header"/>
          <w:jc w:val="right"/>
        </w:pPr>
        <w:r>
          <w:t>HH 275/13</w:t>
        </w:r>
      </w:p>
      <w:p w:rsidR="00BB3269" w:rsidRDefault="00BB3269">
        <w:pPr>
          <w:pStyle w:val="Header"/>
          <w:jc w:val="right"/>
        </w:pPr>
        <w:r>
          <w:t>CA 549/12</w:t>
        </w:r>
      </w:p>
      <w:p w:rsidR="00BB3269" w:rsidRDefault="00BB3269">
        <w:pPr>
          <w:pStyle w:val="Header"/>
          <w:jc w:val="right"/>
        </w:pPr>
        <w:r>
          <w:t>CRB NO. 1295/12</w:t>
        </w:r>
      </w:p>
    </w:sdtContent>
  </w:sdt>
  <w:p w:rsidR="00BB3269" w:rsidRDefault="00BB3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B3369"/>
    <w:multiLevelType w:val="hybridMultilevel"/>
    <w:tmpl w:val="3824397C"/>
    <w:lvl w:ilvl="0" w:tplc="9C68AF86">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1F446A0"/>
    <w:multiLevelType w:val="hybridMultilevel"/>
    <w:tmpl w:val="ECB0E050"/>
    <w:lvl w:ilvl="0" w:tplc="528C2A8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2517011"/>
    <w:multiLevelType w:val="hybridMultilevel"/>
    <w:tmpl w:val="62FA675C"/>
    <w:lvl w:ilvl="0" w:tplc="90C8D87A">
      <w:start w:val="1"/>
      <w:numFmt w:val="lowerLetter"/>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4AB9"/>
    <w:rsid w:val="00014AB9"/>
    <w:rsid w:val="00115E33"/>
    <w:rsid w:val="001376EB"/>
    <w:rsid w:val="00253F82"/>
    <w:rsid w:val="00292717"/>
    <w:rsid w:val="00342FBF"/>
    <w:rsid w:val="00385FDF"/>
    <w:rsid w:val="003B7EAF"/>
    <w:rsid w:val="003E3BC3"/>
    <w:rsid w:val="00515C64"/>
    <w:rsid w:val="005169D9"/>
    <w:rsid w:val="00553E43"/>
    <w:rsid w:val="005E2853"/>
    <w:rsid w:val="005E47C0"/>
    <w:rsid w:val="005F14F2"/>
    <w:rsid w:val="00635FE2"/>
    <w:rsid w:val="0066253F"/>
    <w:rsid w:val="00671629"/>
    <w:rsid w:val="006E55BE"/>
    <w:rsid w:val="006F6D48"/>
    <w:rsid w:val="00702C0E"/>
    <w:rsid w:val="007142E4"/>
    <w:rsid w:val="007C651B"/>
    <w:rsid w:val="007D0CD1"/>
    <w:rsid w:val="00872697"/>
    <w:rsid w:val="008967C9"/>
    <w:rsid w:val="009867B2"/>
    <w:rsid w:val="009F2CBA"/>
    <w:rsid w:val="009F70AD"/>
    <w:rsid w:val="00A35889"/>
    <w:rsid w:val="00A5504F"/>
    <w:rsid w:val="00AB2D66"/>
    <w:rsid w:val="00B9553E"/>
    <w:rsid w:val="00BB3269"/>
    <w:rsid w:val="00BB6426"/>
    <w:rsid w:val="00C678CE"/>
    <w:rsid w:val="00D621BE"/>
    <w:rsid w:val="00E06825"/>
    <w:rsid w:val="00E231DF"/>
    <w:rsid w:val="00E435CC"/>
    <w:rsid w:val="00EB1F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01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AB9"/>
    <w:rPr>
      <w:sz w:val="22"/>
      <w:szCs w:val="22"/>
      <w:lang w:eastAsia="en-US"/>
    </w:rPr>
  </w:style>
  <w:style w:type="paragraph" w:styleId="Footer">
    <w:name w:val="footer"/>
    <w:basedOn w:val="Normal"/>
    <w:link w:val="FooterChar"/>
    <w:uiPriority w:val="99"/>
    <w:semiHidden/>
    <w:unhideWhenUsed/>
    <w:rsid w:val="00014A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4AB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2013-09-10T12:14:00Z</cp:lastPrinted>
  <dcterms:created xsi:type="dcterms:W3CDTF">2013-10-01T12:34:00Z</dcterms:created>
  <dcterms:modified xsi:type="dcterms:W3CDTF">2013-10-01T12:34:00Z</dcterms:modified>
</cp:coreProperties>
</file>