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B87" w:rsidRDefault="004D5505" w:rsidP="004D5505">
      <w:pPr>
        <w:spacing w:line="360" w:lineRule="auto"/>
        <w:jc w:val="both"/>
        <w:rPr>
          <w:b/>
          <w:sz w:val="28"/>
          <w:szCs w:val="28"/>
        </w:rPr>
      </w:pPr>
      <w:r>
        <w:rPr>
          <w:b/>
          <w:sz w:val="28"/>
          <w:szCs w:val="28"/>
        </w:rPr>
        <w:t>I</w:t>
      </w:r>
      <w:r w:rsidR="00445E4F">
        <w:rPr>
          <w:b/>
          <w:sz w:val="28"/>
          <w:szCs w:val="28"/>
        </w:rPr>
        <w:t>N THE LABOUR COURT OF ZIMBABWE</w:t>
      </w:r>
      <w:r w:rsidR="00445E4F">
        <w:rPr>
          <w:b/>
          <w:sz w:val="28"/>
          <w:szCs w:val="28"/>
        </w:rPr>
        <w:tab/>
        <w:t xml:space="preserve">          </w:t>
      </w:r>
      <w:bookmarkStart w:id="0" w:name="_GoBack"/>
      <w:bookmarkEnd w:id="0"/>
      <w:r>
        <w:rPr>
          <w:b/>
          <w:sz w:val="28"/>
          <w:szCs w:val="28"/>
        </w:rPr>
        <w:t>JUDGMENT NO LC/H/</w:t>
      </w:r>
      <w:r w:rsidR="00445E4F">
        <w:rPr>
          <w:b/>
          <w:sz w:val="28"/>
          <w:szCs w:val="28"/>
        </w:rPr>
        <w:t>726</w:t>
      </w:r>
      <w:r w:rsidR="004441A8">
        <w:rPr>
          <w:b/>
          <w:sz w:val="28"/>
          <w:szCs w:val="28"/>
        </w:rPr>
        <w:t>/</w:t>
      </w:r>
      <w:r>
        <w:rPr>
          <w:b/>
          <w:sz w:val="28"/>
          <w:szCs w:val="28"/>
        </w:rPr>
        <w:t>14</w:t>
      </w:r>
    </w:p>
    <w:p w:rsidR="004D5505" w:rsidRDefault="004D5505" w:rsidP="004D5505">
      <w:pPr>
        <w:spacing w:line="360" w:lineRule="auto"/>
        <w:jc w:val="both"/>
        <w:rPr>
          <w:b/>
          <w:sz w:val="28"/>
          <w:szCs w:val="28"/>
        </w:rPr>
      </w:pPr>
      <w:r>
        <w:rPr>
          <w:b/>
          <w:sz w:val="28"/>
          <w:szCs w:val="28"/>
        </w:rPr>
        <w:t xml:space="preserve">HELD AT </w:t>
      </w:r>
      <w:proofErr w:type="gramStart"/>
      <w:r>
        <w:rPr>
          <w:b/>
          <w:sz w:val="28"/>
          <w:szCs w:val="28"/>
        </w:rPr>
        <w:t>HARARE  16</w:t>
      </w:r>
      <w:r w:rsidRPr="004D5505">
        <w:rPr>
          <w:b/>
          <w:sz w:val="28"/>
          <w:szCs w:val="28"/>
          <w:vertAlign w:val="superscript"/>
        </w:rPr>
        <w:t>TH</w:t>
      </w:r>
      <w:proofErr w:type="gramEnd"/>
      <w:r>
        <w:rPr>
          <w:b/>
          <w:sz w:val="28"/>
          <w:szCs w:val="28"/>
        </w:rPr>
        <w:t xml:space="preserve"> OCTOBER 2014 </w:t>
      </w:r>
      <w:r>
        <w:rPr>
          <w:b/>
          <w:sz w:val="28"/>
          <w:szCs w:val="28"/>
        </w:rPr>
        <w:tab/>
      </w:r>
      <w:r>
        <w:rPr>
          <w:b/>
          <w:sz w:val="28"/>
          <w:szCs w:val="28"/>
        </w:rPr>
        <w:tab/>
        <w:t>CASE NO LC/H/444/14</w:t>
      </w:r>
    </w:p>
    <w:p w:rsidR="0023443A" w:rsidRDefault="0023443A" w:rsidP="004D5505">
      <w:pPr>
        <w:spacing w:line="360" w:lineRule="auto"/>
        <w:jc w:val="both"/>
        <w:rPr>
          <w:b/>
          <w:sz w:val="28"/>
          <w:szCs w:val="28"/>
        </w:rPr>
      </w:pPr>
      <w:r>
        <w:rPr>
          <w:b/>
          <w:sz w:val="28"/>
          <w:szCs w:val="28"/>
        </w:rPr>
        <w:t>&amp; 24</w:t>
      </w:r>
      <w:r w:rsidRPr="0023443A">
        <w:rPr>
          <w:b/>
          <w:sz w:val="28"/>
          <w:szCs w:val="28"/>
          <w:vertAlign w:val="superscript"/>
        </w:rPr>
        <w:t>TH</w:t>
      </w:r>
      <w:r>
        <w:rPr>
          <w:b/>
          <w:sz w:val="28"/>
          <w:szCs w:val="28"/>
        </w:rPr>
        <w:t xml:space="preserve"> OCTOBER 2014</w:t>
      </w:r>
    </w:p>
    <w:p w:rsidR="004D5505" w:rsidRDefault="004D5505" w:rsidP="004D5505">
      <w:pPr>
        <w:spacing w:line="360" w:lineRule="auto"/>
        <w:jc w:val="both"/>
        <w:rPr>
          <w:sz w:val="28"/>
          <w:szCs w:val="28"/>
        </w:rPr>
      </w:pPr>
      <w:r>
        <w:rPr>
          <w:sz w:val="28"/>
          <w:szCs w:val="28"/>
        </w:rPr>
        <w:t>In the matter between:-</w:t>
      </w:r>
    </w:p>
    <w:p w:rsidR="004D5505" w:rsidRDefault="004D5505" w:rsidP="004D5505">
      <w:pPr>
        <w:spacing w:line="360" w:lineRule="auto"/>
        <w:jc w:val="both"/>
        <w:rPr>
          <w:b/>
          <w:sz w:val="28"/>
          <w:szCs w:val="28"/>
        </w:rPr>
      </w:pPr>
      <w:r>
        <w:rPr>
          <w:b/>
          <w:sz w:val="28"/>
          <w:szCs w:val="28"/>
        </w:rPr>
        <w:t>ZIVAI TAKURA</w:t>
      </w:r>
      <w:r>
        <w:rPr>
          <w:b/>
          <w:sz w:val="28"/>
          <w:szCs w:val="28"/>
        </w:rPr>
        <w:tab/>
      </w:r>
      <w:r>
        <w:rPr>
          <w:b/>
          <w:sz w:val="28"/>
          <w:szCs w:val="28"/>
        </w:rPr>
        <w:tab/>
      </w:r>
      <w:r>
        <w:rPr>
          <w:b/>
          <w:sz w:val="28"/>
          <w:szCs w:val="28"/>
        </w:rPr>
        <w:tab/>
      </w:r>
      <w:r>
        <w:rPr>
          <w:b/>
          <w:sz w:val="28"/>
          <w:szCs w:val="28"/>
        </w:rPr>
        <w:tab/>
      </w:r>
      <w:r w:rsidR="00445E4F">
        <w:rPr>
          <w:b/>
          <w:sz w:val="28"/>
          <w:szCs w:val="28"/>
        </w:rPr>
        <w:tab/>
        <w:t>`</w:t>
      </w:r>
      <w:r w:rsidR="00445E4F">
        <w:rPr>
          <w:b/>
          <w:sz w:val="28"/>
          <w:szCs w:val="28"/>
        </w:rPr>
        <w:tab/>
      </w:r>
      <w:r>
        <w:rPr>
          <w:b/>
          <w:sz w:val="28"/>
          <w:szCs w:val="28"/>
        </w:rPr>
        <w:t>Appellant</w:t>
      </w:r>
    </w:p>
    <w:p w:rsidR="004D5505" w:rsidRDefault="004D5505" w:rsidP="004D5505">
      <w:pPr>
        <w:spacing w:line="360" w:lineRule="auto"/>
        <w:jc w:val="both"/>
        <w:rPr>
          <w:b/>
          <w:sz w:val="28"/>
          <w:szCs w:val="28"/>
        </w:rPr>
      </w:pPr>
      <w:r>
        <w:rPr>
          <w:b/>
          <w:sz w:val="28"/>
          <w:szCs w:val="28"/>
        </w:rPr>
        <w:t>And</w:t>
      </w:r>
    </w:p>
    <w:p w:rsidR="004D5505" w:rsidRDefault="004D5505" w:rsidP="004D5505">
      <w:pPr>
        <w:spacing w:line="360" w:lineRule="auto"/>
        <w:jc w:val="both"/>
        <w:rPr>
          <w:b/>
          <w:sz w:val="28"/>
          <w:szCs w:val="28"/>
        </w:rPr>
      </w:pPr>
      <w:r>
        <w:rPr>
          <w:b/>
          <w:sz w:val="28"/>
          <w:szCs w:val="28"/>
        </w:rPr>
        <w:t>SUNUNGURAYI</w:t>
      </w:r>
      <w:r w:rsidR="00445E4F">
        <w:rPr>
          <w:b/>
          <w:sz w:val="28"/>
          <w:szCs w:val="28"/>
        </w:rPr>
        <w:t xml:space="preserve"> CHIKUKWA</w:t>
      </w:r>
      <w:r>
        <w:rPr>
          <w:b/>
          <w:sz w:val="28"/>
          <w:szCs w:val="28"/>
        </w:rPr>
        <w:tab/>
      </w:r>
      <w:r>
        <w:rPr>
          <w:b/>
          <w:sz w:val="28"/>
          <w:szCs w:val="28"/>
        </w:rPr>
        <w:tab/>
      </w:r>
      <w:r>
        <w:rPr>
          <w:b/>
          <w:sz w:val="28"/>
          <w:szCs w:val="28"/>
        </w:rPr>
        <w:tab/>
      </w:r>
      <w:r>
        <w:rPr>
          <w:b/>
          <w:sz w:val="28"/>
          <w:szCs w:val="28"/>
        </w:rPr>
        <w:tab/>
        <w:t>Respondent</w:t>
      </w:r>
    </w:p>
    <w:p w:rsidR="004D5505" w:rsidRDefault="004D5505" w:rsidP="004D5505">
      <w:pPr>
        <w:spacing w:line="360" w:lineRule="auto"/>
        <w:jc w:val="both"/>
        <w:rPr>
          <w:sz w:val="28"/>
          <w:szCs w:val="28"/>
        </w:rPr>
      </w:pPr>
      <w:r>
        <w:rPr>
          <w:sz w:val="28"/>
          <w:szCs w:val="28"/>
        </w:rPr>
        <w:t xml:space="preserve">Before The Honourable L.M. </w:t>
      </w:r>
      <w:proofErr w:type="spellStart"/>
      <w:r>
        <w:rPr>
          <w:sz w:val="28"/>
          <w:szCs w:val="28"/>
        </w:rPr>
        <w:t>Murasi</w:t>
      </w:r>
      <w:proofErr w:type="spellEnd"/>
      <w:r>
        <w:rPr>
          <w:sz w:val="28"/>
          <w:szCs w:val="28"/>
        </w:rPr>
        <w:t>, Judge</w:t>
      </w:r>
    </w:p>
    <w:p w:rsidR="004D5505" w:rsidRDefault="004D5505" w:rsidP="004D5505">
      <w:pPr>
        <w:spacing w:line="360" w:lineRule="auto"/>
        <w:jc w:val="both"/>
        <w:rPr>
          <w:b/>
          <w:sz w:val="28"/>
          <w:szCs w:val="28"/>
        </w:rPr>
      </w:pPr>
      <w:r>
        <w:rPr>
          <w:b/>
          <w:sz w:val="28"/>
          <w:szCs w:val="28"/>
        </w:rPr>
        <w:t>Appellant</w:t>
      </w:r>
      <w:r>
        <w:rPr>
          <w:b/>
          <w:sz w:val="28"/>
          <w:szCs w:val="28"/>
        </w:rPr>
        <w:tab/>
      </w:r>
      <w:r>
        <w:rPr>
          <w:b/>
          <w:sz w:val="28"/>
          <w:szCs w:val="28"/>
        </w:rPr>
        <w:tab/>
      </w:r>
      <w:r>
        <w:rPr>
          <w:b/>
          <w:sz w:val="28"/>
          <w:szCs w:val="28"/>
        </w:rPr>
        <w:tab/>
        <w:t>In person</w:t>
      </w:r>
    </w:p>
    <w:p w:rsidR="004D5505" w:rsidRDefault="004D5505" w:rsidP="004D5505">
      <w:pPr>
        <w:spacing w:line="360" w:lineRule="auto"/>
        <w:jc w:val="both"/>
        <w:rPr>
          <w:b/>
          <w:sz w:val="28"/>
          <w:szCs w:val="28"/>
        </w:rPr>
      </w:pPr>
      <w:r>
        <w:rPr>
          <w:b/>
          <w:sz w:val="28"/>
          <w:szCs w:val="28"/>
        </w:rPr>
        <w:t>For Respondent</w:t>
      </w:r>
      <w:r>
        <w:rPr>
          <w:b/>
          <w:sz w:val="28"/>
          <w:szCs w:val="28"/>
        </w:rPr>
        <w:tab/>
      </w:r>
      <w:r>
        <w:rPr>
          <w:b/>
          <w:sz w:val="28"/>
          <w:szCs w:val="28"/>
        </w:rPr>
        <w:tab/>
        <w:t xml:space="preserve">Mr H </w:t>
      </w:r>
      <w:proofErr w:type="spellStart"/>
      <w:r>
        <w:rPr>
          <w:b/>
          <w:sz w:val="28"/>
          <w:szCs w:val="28"/>
        </w:rPr>
        <w:t>Ruyi</w:t>
      </w:r>
      <w:proofErr w:type="spellEnd"/>
      <w:r>
        <w:rPr>
          <w:b/>
          <w:sz w:val="28"/>
          <w:szCs w:val="28"/>
        </w:rPr>
        <w:t xml:space="preserve"> (Trade Unionist)</w:t>
      </w:r>
    </w:p>
    <w:p w:rsidR="004D5505" w:rsidRDefault="004D5505" w:rsidP="004D5505">
      <w:pPr>
        <w:spacing w:line="360" w:lineRule="auto"/>
        <w:jc w:val="both"/>
        <w:rPr>
          <w:b/>
          <w:sz w:val="28"/>
          <w:szCs w:val="28"/>
        </w:rPr>
      </w:pPr>
    </w:p>
    <w:p w:rsidR="004D5505" w:rsidRDefault="004D5505" w:rsidP="004D5505">
      <w:pPr>
        <w:spacing w:line="360" w:lineRule="auto"/>
        <w:jc w:val="both"/>
        <w:rPr>
          <w:b/>
          <w:sz w:val="28"/>
          <w:szCs w:val="28"/>
        </w:rPr>
      </w:pPr>
      <w:r>
        <w:rPr>
          <w:b/>
          <w:sz w:val="28"/>
          <w:szCs w:val="28"/>
        </w:rPr>
        <w:t>MURASI, J:</w:t>
      </w:r>
    </w:p>
    <w:p w:rsidR="004D5505" w:rsidRDefault="004D5505" w:rsidP="004D5505">
      <w:pPr>
        <w:spacing w:line="360" w:lineRule="auto"/>
        <w:jc w:val="both"/>
        <w:rPr>
          <w:sz w:val="28"/>
          <w:szCs w:val="28"/>
        </w:rPr>
      </w:pPr>
      <w:r>
        <w:rPr>
          <w:b/>
          <w:sz w:val="28"/>
          <w:szCs w:val="28"/>
        </w:rPr>
        <w:tab/>
      </w:r>
      <w:r w:rsidRPr="004D5505">
        <w:rPr>
          <w:sz w:val="28"/>
          <w:szCs w:val="28"/>
        </w:rPr>
        <w:t>Appellant</w:t>
      </w:r>
      <w:r>
        <w:rPr>
          <w:sz w:val="28"/>
          <w:szCs w:val="28"/>
        </w:rPr>
        <w:t xml:space="preserve"> </w:t>
      </w:r>
      <w:r w:rsidR="001C6A77">
        <w:rPr>
          <w:sz w:val="28"/>
          <w:szCs w:val="28"/>
        </w:rPr>
        <w:t>employed the respondent as a domestic worker.  Following disagreements at the workplace, respondent reported her matter to the union officers culminating in the matter being referred to arbitration.  The Arbitrator found</w:t>
      </w:r>
      <w:r w:rsidR="001E25BD">
        <w:rPr>
          <w:sz w:val="28"/>
          <w:szCs w:val="28"/>
        </w:rPr>
        <w:t xml:space="preserve"> in favour of respondent.  Appellant was not satisfied with the decision and has appealed to this Court.  Appellant’s main contention are, firstly, that the Arbitrator erred in finding that appellant had unlawfully dismissed</w:t>
      </w:r>
      <w:r w:rsidR="00050ADC">
        <w:rPr>
          <w:sz w:val="28"/>
          <w:szCs w:val="28"/>
        </w:rPr>
        <w:t xml:space="preserve"> the respondent.  Secondly, that the Arbitrator erred in finding that the appellant had not granted respondent vacation leave during the period that respondent had worked for her.</w:t>
      </w:r>
    </w:p>
    <w:p w:rsidR="00050ADC" w:rsidRDefault="00050ADC" w:rsidP="004D5505">
      <w:pPr>
        <w:spacing w:line="360" w:lineRule="auto"/>
        <w:jc w:val="both"/>
        <w:rPr>
          <w:sz w:val="28"/>
          <w:szCs w:val="28"/>
        </w:rPr>
      </w:pPr>
      <w:r>
        <w:rPr>
          <w:sz w:val="28"/>
          <w:szCs w:val="28"/>
        </w:rPr>
        <w:lastRenderedPageBreak/>
        <w:tab/>
        <w:t>In her submissions, appellant s</w:t>
      </w:r>
      <w:r w:rsidR="00C473EA">
        <w:rPr>
          <w:sz w:val="28"/>
          <w:szCs w:val="28"/>
        </w:rPr>
        <w:t>tated that she did not dismiss</w:t>
      </w:r>
      <w:r>
        <w:rPr>
          <w:sz w:val="28"/>
          <w:szCs w:val="28"/>
        </w:rPr>
        <w:t xml:space="preserve"> the respondent at all as she was ill at the time and needed respondent’s assistance.  Appellant</w:t>
      </w:r>
      <w:r w:rsidR="00165016">
        <w:rPr>
          <w:sz w:val="28"/>
          <w:szCs w:val="28"/>
        </w:rPr>
        <w:t xml:space="preserve"> further stated that respondent left employment on her own volition.  Appellant submitted that respondent had asked for an increment in her salary but she had declined because she could not afford it.  It was her further submission that she had allowed respondent to look for alternative employment whilst still employed by her.  As regards the leave days, appellant stated that the Arbitrator erred in finding that respondent had not been given time to go on vacation leave.  Appellant submitted that respondent had been, over the years</w:t>
      </w:r>
      <w:r w:rsidR="00C473EA">
        <w:rPr>
          <w:sz w:val="28"/>
          <w:szCs w:val="28"/>
        </w:rPr>
        <w:t>,</w:t>
      </w:r>
      <w:r w:rsidR="00165016">
        <w:rPr>
          <w:sz w:val="28"/>
          <w:szCs w:val="28"/>
        </w:rPr>
        <w:t xml:space="preserve"> allowed to proceed on vacation leave during</w:t>
      </w:r>
      <w:r w:rsidR="003A72FC">
        <w:rPr>
          <w:sz w:val="28"/>
          <w:szCs w:val="28"/>
        </w:rPr>
        <w:t xml:space="preserve"> school holidays.  The Arbitrator, it was submitted, erred in awarding that appellant pays for the ninety (90) days cash </w:t>
      </w:r>
      <w:r w:rsidR="003A72FC">
        <w:rPr>
          <w:sz w:val="28"/>
          <w:szCs w:val="28"/>
          <w:u w:val="single"/>
        </w:rPr>
        <w:t>in lieu</w:t>
      </w:r>
      <w:r w:rsidR="003A72FC">
        <w:rPr>
          <w:sz w:val="28"/>
          <w:szCs w:val="28"/>
        </w:rPr>
        <w:t xml:space="preserve"> of leave.</w:t>
      </w:r>
    </w:p>
    <w:p w:rsidR="003A72FC" w:rsidRDefault="003A72FC" w:rsidP="004D5505">
      <w:pPr>
        <w:spacing w:line="360" w:lineRule="auto"/>
        <w:jc w:val="both"/>
        <w:rPr>
          <w:sz w:val="28"/>
          <w:szCs w:val="28"/>
        </w:rPr>
      </w:pPr>
      <w:r>
        <w:rPr>
          <w:sz w:val="28"/>
          <w:szCs w:val="28"/>
        </w:rPr>
        <w:tab/>
        <w:t xml:space="preserve">Respondent’s representative submitted that the grounds of appeal did not raise points of law and therefore the appeal should be dismissed </w:t>
      </w:r>
      <w:r w:rsidR="00C473EA">
        <w:rPr>
          <w:sz w:val="28"/>
          <w:szCs w:val="28"/>
        </w:rPr>
        <w:t>on</w:t>
      </w:r>
      <w:r>
        <w:rPr>
          <w:sz w:val="28"/>
          <w:szCs w:val="28"/>
        </w:rPr>
        <w:t xml:space="preserve"> that score.  It was further submitted on behalf of respondent that appellant was unable to show th</w:t>
      </w:r>
      <w:r w:rsidR="00C473EA">
        <w:rPr>
          <w:sz w:val="28"/>
          <w:szCs w:val="28"/>
        </w:rPr>
        <w:t>e</w:t>
      </w:r>
      <w:r>
        <w:rPr>
          <w:sz w:val="28"/>
          <w:szCs w:val="28"/>
        </w:rPr>
        <w:t xml:space="preserve"> Arbitrator that respondent had indeed proceeded on leave and therefore could not blame the Arbitrator for finding in favour of respondent.  It was generally argued that there was no misdirection on the part of the Arbitrator.</w:t>
      </w:r>
    </w:p>
    <w:p w:rsidR="003A72FC" w:rsidRDefault="003A72FC" w:rsidP="004D5505">
      <w:pPr>
        <w:spacing w:line="360" w:lineRule="auto"/>
        <w:jc w:val="both"/>
        <w:rPr>
          <w:sz w:val="28"/>
          <w:szCs w:val="28"/>
        </w:rPr>
      </w:pPr>
      <w:r>
        <w:rPr>
          <w:sz w:val="28"/>
          <w:szCs w:val="28"/>
        </w:rPr>
        <w:tab/>
        <w:t xml:space="preserve">Precedent has dictated that </w:t>
      </w:r>
      <w:proofErr w:type="gramStart"/>
      <w:r>
        <w:rPr>
          <w:sz w:val="28"/>
          <w:szCs w:val="28"/>
        </w:rPr>
        <w:t>an app</w:t>
      </w:r>
      <w:r w:rsidR="00C473EA">
        <w:rPr>
          <w:sz w:val="28"/>
          <w:szCs w:val="28"/>
        </w:rPr>
        <w:t>ellate court will</w:t>
      </w:r>
      <w:proofErr w:type="gramEnd"/>
      <w:r w:rsidR="00C473EA">
        <w:rPr>
          <w:sz w:val="28"/>
          <w:szCs w:val="28"/>
        </w:rPr>
        <w:t xml:space="preserve"> only </w:t>
      </w:r>
      <w:proofErr w:type="spellStart"/>
      <w:r w:rsidR="00C473EA">
        <w:rPr>
          <w:sz w:val="28"/>
          <w:szCs w:val="28"/>
        </w:rPr>
        <w:t>interfer</w:t>
      </w:r>
      <w:proofErr w:type="spellEnd"/>
      <w:r>
        <w:rPr>
          <w:sz w:val="28"/>
          <w:szCs w:val="28"/>
        </w:rPr>
        <w:t xml:space="preserve"> with the decision of a lower court or tribunal where there is evidence of gross misdirection.  This was stated by MALABA </w:t>
      </w:r>
      <w:proofErr w:type="gramStart"/>
      <w:r w:rsidR="00C473EA">
        <w:rPr>
          <w:sz w:val="28"/>
          <w:szCs w:val="28"/>
        </w:rPr>
        <w:t>DCJ</w:t>
      </w:r>
      <w:r>
        <w:rPr>
          <w:sz w:val="28"/>
          <w:szCs w:val="28"/>
        </w:rPr>
        <w:t xml:space="preserve">  in</w:t>
      </w:r>
      <w:proofErr w:type="gramEnd"/>
      <w:r>
        <w:rPr>
          <w:sz w:val="28"/>
          <w:szCs w:val="28"/>
        </w:rPr>
        <w:t xml:space="preserve"> </w:t>
      </w:r>
      <w:proofErr w:type="spellStart"/>
      <w:r>
        <w:rPr>
          <w:i/>
          <w:sz w:val="28"/>
          <w:szCs w:val="28"/>
        </w:rPr>
        <w:t>Innscor</w:t>
      </w:r>
      <w:proofErr w:type="spellEnd"/>
      <w:r>
        <w:rPr>
          <w:i/>
          <w:sz w:val="28"/>
          <w:szCs w:val="28"/>
        </w:rPr>
        <w:t xml:space="preserve"> Africa (Pvt) Ltd v </w:t>
      </w:r>
      <w:proofErr w:type="spellStart"/>
      <w:r>
        <w:rPr>
          <w:i/>
          <w:sz w:val="28"/>
          <w:szCs w:val="28"/>
        </w:rPr>
        <w:t>Letron</w:t>
      </w:r>
      <w:proofErr w:type="spellEnd"/>
      <w:r>
        <w:rPr>
          <w:i/>
          <w:sz w:val="28"/>
          <w:szCs w:val="28"/>
        </w:rPr>
        <w:t xml:space="preserve"> </w:t>
      </w:r>
      <w:proofErr w:type="spellStart"/>
      <w:r>
        <w:rPr>
          <w:i/>
          <w:sz w:val="28"/>
          <w:szCs w:val="28"/>
        </w:rPr>
        <w:t>Chimoto</w:t>
      </w:r>
      <w:proofErr w:type="spellEnd"/>
      <w:r>
        <w:rPr>
          <w:i/>
          <w:sz w:val="28"/>
          <w:szCs w:val="28"/>
        </w:rPr>
        <w:t xml:space="preserve"> </w:t>
      </w:r>
      <w:r>
        <w:rPr>
          <w:sz w:val="28"/>
          <w:szCs w:val="28"/>
        </w:rPr>
        <w:t xml:space="preserve"> S 6/2012 where he states at p 2 of the cyclostyled judgment:</w:t>
      </w:r>
    </w:p>
    <w:p w:rsidR="003A72FC" w:rsidRDefault="003A72FC" w:rsidP="003A72FC">
      <w:pPr>
        <w:spacing w:after="0" w:line="240" w:lineRule="auto"/>
        <w:jc w:val="both"/>
        <w:rPr>
          <w:sz w:val="24"/>
          <w:szCs w:val="24"/>
        </w:rPr>
      </w:pPr>
      <w:r>
        <w:rPr>
          <w:sz w:val="28"/>
          <w:szCs w:val="28"/>
        </w:rPr>
        <w:tab/>
      </w:r>
      <w:r>
        <w:rPr>
          <w:sz w:val="24"/>
          <w:szCs w:val="24"/>
        </w:rPr>
        <w:t xml:space="preserve">“A principle has now been firmly established to the effect an appellate court should </w:t>
      </w:r>
    </w:p>
    <w:p w:rsidR="003A72FC" w:rsidRDefault="00C473EA" w:rsidP="003A72FC">
      <w:pPr>
        <w:spacing w:after="0" w:line="240" w:lineRule="auto"/>
        <w:ind w:left="720"/>
        <w:jc w:val="both"/>
        <w:rPr>
          <w:sz w:val="24"/>
          <w:szCs w:val="24"/>
        </w:rPr>
      </w:pPr>
      <w:proofErr w:type="gramStart"/>
      <w:r>
        <w:rPr>
          <w:sz w:val="24"/>
          <w:szCs w:val="24"/>
        </w:rPr>
        <w:t>not</w:t>
      </w:r>
      <w:proofErr w:type="gramEnd"/>
      <w:r>
        <w:rPr>
          <w:sz w:val="24"/>
          <w:szCs w:val="24"/>
        </w:rPr>
        <w:t xml:space="preserve"> </w:t>
      </w:r>
      <w:proofErr w:type="spellStart"/>
      <w:r>
        <w:rPr>
          <w:sz w:val="24"/>
          <w:szCs w:val="24"/>
        </w:rPr>
        <w:t>interfer</w:t>
      </w:r>
      <w:proofErr w:type="spellEnd"/>
      <w:r w:rsidR="003A72FC">
        <w:rPr>
          <w:sz w:val="24"/>
          <w:szCs w:val="24"/>
        </w:rPr>
        <w:t xml:space="preserve"> with an exercise of discretion by a lower </w:t>
      </w:r>
      <w:r>
        <w:rPr>
          <w:sz w:val="24"/>
          <w:szCs w:val="24"/>
        </w:rPr>
        <w:t>court or tribunal unless there h</w:t>
      </w:r>
      <w:r w:rsidR="003A72FC">
        <w:rPr>
          <w:sz w:val="24"/>
          <w:szCs w:val="24"/>
        </w:rPr>
        <w:t>as been a clear misdirection on the part of the lower court.”</w:t>
      </w:r>
    </w:p>
    <w:p w:rsidR="003A72FC" w:rsidRDefault="003A72FC" w:rsidP="003A72FC">
      <w:pPr>
        <w:spacing w:after="0" w:line="240" w:lineRule="auto"/>
        <w:ind w:left="720"/>
        <w:jc w:val="both"/>
        <w:rPr>
          <w:sz w:val="24"/>
          <w:szCs w:val="24"/>
        </w:rPr>
      </w:pPr>
    </w:p>
    <w:p w:rsidR="003A72FC" w:rsidRDefault="003A72FC" w:rsidP="003A72FC">
      <w:pPr>
        <w:spacing w:after="0" w:line="360" w:lineRule="auto"/>
        <w:ind w:left="720"/>
        <w:jc w:val="both"/>
        <w:rPr>
          <w:sz w:val="28"/>
          <w:szCs w:val="28"/>
        </w:rPr>
      </w:pPr>
      <w:r>
        <w:rPr>
          <w:sz w:val="28"/>
          <w:szCs w:val="28"/>
        </w:rPr>
        <w:lastRenderedPageBreak/>
        <w:t xml:space="preserve">Appellant’s submission before the Arbitrator were that the respondent </w:t>
      </w:r>
    </w:p>
    <w:p w:rsidR="003A72FC" w:rsidRDefault="003A72FC" w:rsidP="003A72FC">
      <w:pPr>
        <w:spacing w:after="0" w:line="360" w:lineRule="auto"/>
        <w:jc w:val="both"/>
        <w:rPr>
          <w:sz w:val="28"/>
          <w:szCs w:val="28"/>
        </w:rPr>
      </w:pPr>
      <w:proofErr w:type="gramStart"/>
      <w:r>
        <w:rPr>
          <w:sz w:val="28"/>
          <w:szCs w:val="28"/>
        </w:rPr>
        <w:t>was</w:t>
      </w:r>
      <w:proofErr w:type="gramEnd"/>
      <w:r>
        <w:rPr>
          <w:sz w:val="28"/>
          <w:szCs w:val="28"/>
        </w:rPr>
        <w:t xml:space="preserve"> not an employee but a “volunteer”.  Appellant did not raise this issue before the Court.  The Court must take it that she now accepts the finding of the Arbitrator that respondent was her employee.  Appellant’s stance before the Arbitrator by stating that respondent was a volunteer is puzzling to say the least having regard to the Founding Affidavit she filed with this Court.  She states:</w:t>
      </w:r>
    </w:p>
    <w:p w:rsidR="003A72FC" w:rsidRDefault="003A72FC" w:rsidP="003A72FC">
      <w:pPr>
        <w:spacing w:after="0" w:line="240" w:lineRule="auto"/>
        <w:jc w:val="both"/>
        <w:rPr>
          <w:sz w:val="24"/>
          <w:szCs w:val="24"/>
        </w:rPr>
      </w:pPr>
      <w:r>
        <w:rPr>
          <w:sz w:val="28"/>
          <w:szCs w:val="28"/>
        </w:rPr>
        <w:tab/>
      </w:r>
      <w:r w:rsidR="00C473EA">
        <w:rPr>
          <w:sz w:val="24"/>
          <w:szCs w:val="24"/>
        </w:rPr>
        <w:t>“”I employed</w:t>
      </w:r>
      <w:r>
        <w:rPr>
          <w:sz w:val="24"/>
          <w:szCs w:val="24"/>
        </w:rPr>
        <w:t xml:space="preserve"> the respondent, </w:t>
      </w:r>
      <w:proofErr w:type="spellStart"/>
      <w:r>
        <w:rPr>
          <w:sz w:val="24"/>
          <w:szCs w:val="24"/>
        </w:rPr>
        <w:t>Sunungurai</w:t>
      </w:r>
      <w:proofErr w:type="spellEnd"/>
      <w:r>
        <w:rPr>
          <w:sz w:val="24"/>
          <w:szCs w:val="24"/>
        </w:rPr>
        <w:t xml:space="preserve"> </w:t>
      </w:r>
      <w:proofErr w:type="spellStart"/>
      <w:r>
        <w:rPr>
          <w:sz w:val="24"/>
          <w:szCs w:val="24"/>
        </w:rPr>
        <w:t>Chikukwa</w:t>
      </w:r>
      <w:proofErr w:type="spellEnd"/>
      <w:r>
        <w:rPr>
          <w:sz w:val="24"/>
          <w:szCs w:val="24"/>
        </w:rPr>
        <w:t xml:space="preserve"> in April 2009 as a domestic</w:t>
      </w:r>
      <w:r w:rsidR="00710FB9">
        <w:rPr>
          <w:sz w:val="24"/>
          <w:szCs w:val="24"/>
        </w:rPr>
        <w:t xml:space="preserve"> </w:t>
      </w:r>
    </w:p>
    <w:p w:rsidR="00710FB9" w:rsidRDefault="00710FB9" w:rsidP="00710FB9">
      <w:pPr>
        <w:spacing w:after="0" w:line="240" w:lineRule="auto"/>
        <w:ind w:left="720"/>
        <w:jc w:val="both"/>
        <w:rPr>
          <w:sz w:val="24"/>
          <w:szCs w:val="24"/>
        </w:rPr>
      </w:pPr>
      <w:proofErr w:type="gramStart"/>
      <w:r>
        <w:rPr>
          <w:sz w:val="24"/>
          <w:szCs w:val="24"/>
        </w:rPr>
        <w:t>worker</w:t>
      </w:r>
      <w:proofErr w:type="gramEnd"/>
      <w:r>
        <w:rPr>
          <w:sz w:val="24"/>
          <w:szCs w:val="24"/>
        </w:rPr>
        <w:t>.  She was engaged on the gazetted wages for the sector.  Her wages were increased subsequently to US$100.00”.</w:t>
      </w:r>
    </w:p>
    <w:p w:rsidR="00710FB9" w:rsidRDefault="00710FB9" w:rsidP="00710FB9">
      <w:pPr>
        <w:spacing w:after="0" w:line="240" w:lineRule="auto"/>
        <w:ind w:left="720"/>
        <w:jc w:val="both"/>
        <w:rPr>
          <w:sz w:val="24"/>
          <w:szCs w:val="24"/>
        </w:rPr>
      </w:pPr>
    </w:p>
    <w:p w:rsidR="00710FB9" w:rsidRDefault="00710FB9" w:rsidP="00710FB9">
      <w:pPr>
        <w:spacing w:after="0" w:line="360" w:lineRule="auto"/>
        <w:ind w:left="720"/>
        <w:jc w:val="both"/>
        <w:rPr>
          <w:sz w:val="28"/>
          <w:szCs w:val="28"/>
        </w:rPr>
      </w:pPr>
      <w:r>
        <w:rPr>
          <w:sz w:val="28"/>
          <w:szCs w:val="28"/>
        </w:rPr>
        <w:t xml:space="preserve">This means that what she submitted before the Arbitrator was incorrect </w:t>
      </w:r>
    </w:p>
    <w:p w:rsidR="00710FB9" w:rsidRDefault="00710FB9" w:rsidP="00710FB9">
      <w:pPr>
        <w:spacing w:after="0" w:line="360" w:lineRule="auto"/>
        <w:jc w:val="both"/>
        <w:rPr>
          <w:sz w:val="28"/>
          <w:szCs w:val="28"/>
        </w:rPr>
      </w:pPr>
      <w:proofErr w:type="gramStart"/>
      <w:r>
        <w:rPr>
          <w:sz w:val="28"/>
          <w:szCs w:val="28"/>
        </w:rPr>
        <w:t>not</w:t>
      </w:r>
      <w:proofErr w:type="gramEnd"/>
      <w:r>
        <w:rPr>
          <w:sz w:val="28"/>
          <w:szCs w:val="28"/>
        </w:rPr>
        <w:t xml:space="preserve"> to say false.  The question is if respondent had left employment on her own volition, why would she make a report alleging unfair dismissal?  Appellant’s affidavit states that respondent had left on a Saturday and was expected back on the following Monday but she did not turn up.  Appellant states that she was surprised to receive a call from the union office.  The appellant is obviously not being candid with the Court.</w:t>
      </w:r>
    </w:p>
    <w:p w:rsidR="00710FB9" w:rsidRDefault="00710FB9" w:rsidP="00710FB9">
      <w:pPr>
        <w:spacing w:after="0" w:line="360" w:lineRule="auto"/>
        <w:jc w:val="both"/>
        <w:rPr>
          <w:sz w:val="28"/>
          <w:szCs w:val="28"/>
        </w:rPr>
      </w:pPr>
    </w:p>
    <w:p w:rsidR="00710FB9" w:rsidRDefault="00710FB9" w:rsidP="00710FB9">
      <w:pPr>
        <w:spacing w:after="0" w:line="360" w:lineRule="auto"/>
        <w:jc w:val="both"/>
        <w:rPr>
          <w:sz w:val="28"/>
          <w:szCs w:val="28"/>
        </w:rPr>
      </w:pPr>
      <w:r>
        <w:rPr>
          <w:sz w:val="28"/>
          <w:szCs w:val="28"/>
        </w:rPr>
        <w:tab/>
        <w:t>As regard</w:t>
      </w:r>
      <w:r w:rsidR="0023443A">
        <w:rPr>
          <w:sz w:val="28"/>
          <w:szCs w:val="28"/>
        </w:rPr>
        <w:t xml:space="preserve">s the issue of the leave days, </w:t>
      </w:r>
      <w:r>
        <w:rPr>
          <w:sz w:val="28"/>
          <w:szCs w:val="28"/>
        </w:rPr>
        <w:t xml:space="preserve">appellant avers that respondent was allowed to proceed on vacation leave during school holidays.  The Arbitrator did not believe her and awarded respondent ninety (90) days cash </w:t>
      </w:r>
      <w:r>
        <w:rPr>
          <w:sz w:val="28"/>
          <w:szCs w:val="28"/>
          <w:u w:val="single"/>
        </w:rPr>
        <w:t>in lieu</w:t>
      </w:r>
      <w:r>
        <w:rPr>
          <w:sz w:val="28"/>
          <w:szCs w:val="28"/>
        </w:rPr>
        <w:t xml:space="preserve"> of leave.  Did the Arbitrator misdirect herself in this regard?  I thin</w:t>
      </w:r>
      <w:r w:rsidR="00C473EA">
        <w:rPr>
          <w:sz w:val="28"/>
          <w:szCs w:val="28"/>
        </w:rPr>
        <w:t>k</w:t>
      </w:r>
      <w:r>
        <w:rPr>
          <w:sz w:val="28"/>
          <w:szCs w:val="28"/>
        </w:rPr>
        <w:t xml:space="preserve"> not.  The Arbitrator heard evidence from both sides and made a judicious decision on the facts.  The Arbitrator even went on to dismiss some of the re</w:t>
      </w:r>
      <w:r w:rsidR="00C473EA">
        <w:rPr>
          <w:sz w:val="28"/>
          <w:szCs w:val="28"/>
        </w:rPr>
        <w:t>spondent’s claims.  I associate</w:t>
      </w:r>
      <w:r>
        <w:rPr>
          <w:sz w:val="28"/>
          <w:szCs w:val="28"/>
        </w:rPr>
        <w:t xml:space="preserve"> myself with the words of NDOU J in </w:t>
      </w:r>
      <w:proofErr w:type="spellStart"/>
      <w:r>
        <w:rPr>
          <w:i/>
          <w:sz w:val="28"/>
          <w:szCs w:val="28"/>
        </w:rPr>
        <w:t>Jona</w:t>
      </w:r>
      <w:proofErr w:type="spellEnd"/>
      <w:r>
        <w:rPr>
          <w:i/>
          <w:sz w:val="28"/>
          <w:szCs w:val="28"/>
        </w:rPr>
        <w:t xml:space="preserve"> </w:t>
      </w:r>
      <w:proofErr w:type="spellStart"/>
      <w:r>
        <w:rPr>
          <w:i/>
          <w:sz w:val="28"/>
          <w:szCs w:val="28"/>
        </w:rPr>
        <w:t>Ndalama</w:t>
      </w:r>
      <w:proofErr w:type="spellEnd"/>
      <w:r>
        <w:rPr>
          <w:i/>
          <w:sz w:val="28"/>
          <w:szCs w:val="28"/>
        </w:rPr>
        <w:t xml:space="preserve"> v Chief Superintendent </w:t>
      </w:r>
      <w:proofErr w:type="spellStart"/>
      <w:r>
        <w:rPr>
          <w:i/>
          <w:sz w:val="28"/>
          <w:szCs w:val="28"/>
        </w:rPr>
        <w:t>Happymore</w:t>
      </w:r>
      <w:proofErr w:type="spellEnd"/>
      <w:r>
        <w:rPr>
          <w:i/>
          <w:sz w:val="28"/>
          <w:szCs w:val="28"/>
        </w:rPr>
        <w:t xml:space="preserve"> </w:t>
      </w:r>
      <w:proofErr w:type="spellStart"/>
      <w:r>
        <w:rPr>
          <w:i/>
          <w:sz w:val="28"/>
          <w:szCs w:val="28"/>
        </w:rPr>
        <w:t>Sigauke</w:t>
      </w:r>
      <w:proofErr w:type="spellEnd"/>
      <w:r>
        <w:rPr>
          <w:i/>
          <w:sz w:val="28"/>
          <w:szCs w:val="28"/>
        </w:rPr>
        <w:t xml:space="preserve"> and Commissioner – General </w:t>
      </w:r>
      <w:r>
        <w:rPr>
          <w:sz w:val="28"/>
          <w:szCs w:val="28"/>
        </w:rPr>
        <w:t>HB 153/2011 at p 2 of the cyclostyled judgment:</w:t>
      </w:r>
    </w:p>
    <w:p w:rsidR="00710FB9" w:rsidRDefault="00710FB9" w:rsidP="00710FB9">
      <w:pPr>
        <w:spacing w:after="0" w:line="240" w:lineRule="auto"/>
        <w:ind w:left="720"/>
        <w:jc w:val="both"/>
        <w:rPr>
          <w:sz w:val="24"/>
          <w:szCs w:val="24"/>
        </w:rPr>
      </w:pPr>
      <w:r>
        <w:rPr>
          <w:sz w:val="24"/>
          <w:szCs w:val="24"/>
        </w:rPr>
        <w:lastRenderedPageBreak/>
        <w:t>“There has to be something grossly irregular in the proceedings to warrant such interference.  The appellate court must never overlook that the trial officer’s living through a drama of a case is in a unique position to evaluate the evidence in its proper perspective.”</w:t>
      </w:r>
    </w:p>
    <w:p w:rsidR="00710FB9" w:rsidRDefault="00710FB9" w:rsidP="00710FB9">
      <w:pPr>
        <w:spacing w:after="0" w:line="240" w:lineRule="auto"/>
        <w:ind w:left="720"/>
        <w:jc w:val="both"/>
        <w:rPr>
          <w:sz w:val="24"/>
          <w:szCs w:val="24"/>
        </w:rPr>
      </w:pPr>
    </w:p>
    <w:p w:rsidR="00710FB9" w:rsidRDefault="00710FB9" w:rsidP="00710FB9">
      <w:pPr>
        <w:spacing w:after="0" w:line="360" w:lineRule="auto"/>
        <w:ind w:left="720"/>
        <w:jc w:val="both"/>
        <w:rPr>
          <w:sz w:val="28"/>
          <w:szCs w:val="28"/>
        </w:rPr>
      </w:pPr>
      <w:r>
        <w:rPr>
          <w:sz w:val="28"/>
          <w:szCs w:val="28"/>
        </w:rPr>
        <w:t xml:space="preserve">I entirely agree that the Arbitrator was in a better position to assess the </w:t>
      </w:r>
    </w:p>
    <w:p w:rsidR="00822A4C" w:rsidRDefault="00822A4C" w:rsidP="00822A4C">
      <w:pPr>
        <w:spacing w:after="0" w:line="360" w:lineRule="auto"/>
        <w:jc w:val="both"/>
        <w:rPr>
          <w:sz w:val="28"/>
          <w:szCs w:val="28"/>
        </w:rPr>
      </w:pPr>
      <w:proofErr w:type="gramStart"/>
      <w:r>
        <w:rPr>
          <w:sz w:val="28"/>
          <w:szCs w:val="28"/>
        </w:rPr>
        <w:t>evidence</w:t>
      </w:r>
      <w:proofErr w:type="gramEnd"/>
      <w:r>
        <w:rPr>
          <w:sz w:val="28"/>
          <w:szCs w:val="28"/>
        </w:rPr>
        <w:t xml:space="preserve"> given before her.  The Arbitrator was better placed to assess the demeanour of witnesses and the manner in which the evidence was given.  The court is of the firm view that the Arbitrator’s findings are unassailable.</w:t>
      </w:r>
    </w:p>
    <w:p w:rsidR="00822A4C" w:rsidRDefault="00822A4C" w:rsidP="00822A4C">
      <w:pPr>
        <w:spacing w:after="0" w:line="360" w:lineRule="auto"/>
        <w:jc w:val="both"/>
        <w:rPr>
          <w:sz w:val="28"/>
          <w:szCs w:val="28"/>
        </w:rPr>
      </w:pPr>
    </w:p>
    <w:p w:rsidR="00822A4C" w:rsidRDefault="00822A4C" w:rsidP="00822A4C">
      <w:pPr>
        <w:spacing w:after="0" w:line="360" w:lineRule="auto"/>
        <w:jc w:val="both"/>
        <w:rPr>
          <w:sz w:val="28"/>
          <w:szCs w:val="28"/>
        </w:rPr>
      </w:pPr>
      <w:r>
        <w:rPr>
          <w:sz w:val="28"/>
          <w:szCs w:val="28"/>
        </w:rPr>
        <w:tab/>
      </w:r>
      <w:proofErr w:type="gramStart"/>
      <w:r>
        <w:rPr>
          <w:sz w:val="28"/>
          <w:szCs w:val="28"/>
        </w:rPr>
        <w:t>In  conclusion</w:t>
      </w:r>
      <w:proofErr w:type="gramEnd"/>
      <w:r>
        <w:rPr>
          <w:sz w:val="28"/>
          <w:szCs w:val="28"/>
        </w:rPr>
        <w:t xml:space="preserve"> the Court finds the appeal to be devoid of merit and is accordingly dismissed.  The Court makes the following order:</w:t>
      </w:r>
    </w:p>
    <w:p w:rsidR="00822A4C" w:rsidRDefault="00822A4C" w:rsidP="00822A4C">
      <w:pPr>
        <w:pStyle w:val="ListParagraph"/>
        <w:numPr>
          <w:ilvl w:val="0"/>
          <w:numId w:val="1"/>
        </w:numPr>
        <w:spacing w:after="0" w:line="360" w:lineRule="auto"/>
        <w:jc w:val="both"/>
        <w:rPr>
          <w:sz w:val="28"/>
          <w:szCs w:val="28"/>
        </w:rPr>
      </w:pPr>
      <w:r>
        <w:rPr>
          <w:sz w:val="28"/>
          <w:szCs w:val="28"/>
        </w:rPr>
        <w:t>The appeal, being devoid of merit, is accordingly dismissed.</w:t>
      </w:r>
    </w:p>
    <w:p w:rsidR="00822A4C" w:rsidRDefault="00822A4C" w:rsidP="00822A4C">
      <w:pPr>
        <w:pStyle w:val="ListParagraph"/>
        <w:numPr>
          <w:ilvl w:val="0"/>
          <w:numId w:val="1"/>
        </w:numPr>
        <w:spacing w:after="0" w:line="360" w:lineRule="auto"/>
        <w:jc w:val="both"/>
        <w:rPr>
          <w:sz w:val="28"/>
          <w:szCs w:val="28"/>
        </w:rPr>
      </w:pPr>
      <w:r>
        <w:rPr>
          <w:sz w:val="28"/>
          <w:szCs w:val="28"/>
        </w:rPr>
        <w:t xml:space="preserve">The arbitral award of C.T. </w:t>
      </w:r>
      <w:proofErr w:type="spellStart"/>
      <w:r>
        <w:rPr>
          <w:sz w:val="28"/>
          <w:szCs w:val="28"/>
        </w:rPr>
        <w:t>Kadenga</w:t>
      </w:r>
      <w:proofErr w:type="spellEnd"/>
      <w:r>
        <w:rPr>
          <w:sz w:val="28"/>
          <w:szCs w:val="28"/>
        </w:rPr>
        <w:t xml:space="preserve"> dated 5 May 2014 is hereby upheld.</w:t>
      </w:r>
    </w:p>
    <w:p w:rsidR="00822A4C" w:rsidRPr="00822A4C" w:rsidRDefault="00822A4C" w:rsidP="00822A4C">
      <w:pPr>
        <w:pStyle w:val="ListParagraph"/>
        <w:numPr>
          <w:ilvl w:val="0"/>
          <w:numId w:val="1"/>
        </w:numPr>
        <w:spacing w:after="0" w:line="360" w:lineRule="auto"/>
        <w:jc w:val="both"/>
        <w:rPr>
          <w:sz w:val="28"/>
          <w:szCs w:val="28"/>
        </w:rPr>
      </w:pPr>
      <w:r>
        <w:rPr>
          <w:sz w:val="28"/>
          <w:szCs w:val="28"/>
        </w:rPr>
        <w:t xml:space="preserve">That there </w:t>
      </w:r>
      <w:proofErr w:type="gramStart"/>
      <w:r>
        <w:rPr>
          <w:sz w:val="28"/>
          <w:szCs w:val="28"/>
        </w:rPr>
        <w:t>be</w:t>
      </w:r>
      <w:proofErr w:type="gramEnd"/>
      <w:r>
        <w:rPr>
          <w:sz w:val="28"/>
          <w:szCs w:val="28"/>
        </w:rPr>
        <w:t xml:space="preserve"> no order as to costs.</w:t>
      </w:r>
    </w:p>
    <w:p w:rsidR="00822A4C" w:rsidRPr="00710FB9" w:rsidRDefault="00822A4C" w:rsidP="00822A4C">
      <w:pPr>
        <w:spacing w:after="0" w:line="360" w:lineRule="auto"/>
        <w:jc w:val="both"/>
        <w:rPr>
          <w:sz w:val="28"/>
          <w:szCs w:val="28"/>
        </w:rPr>
      </w:pPr>
    </w:p>
    <w:p w:rsidR="003A72FC" w:rsidRPr="003A72FC" w:rsidRDefault="003A72FC" w:rsidP="003A72FC">
      <w:pPr>
        <w:spacing w:after="0" w:line="360" w:lineRule="auto"/>
        <w:jc w:val="both"/>
        <w:rPr>
          <w:sz w:val="28"/>
          <w:szCs w:val="28"/>
        </w:rPr>
      </w:pPr>
    </w:p>
    <w:p w:rsidR="003A72FC" w:rsidRPr="003A72FC" w:rsidRDefault="003A72FC" w:rsidP="003A72FC">
      <w:pPr>
        <w:spacing w:after="0" w:line="360" w:lineRule="auto"/>
        <w:jc w:val="both"/>
        <w:rPr>
          <w:sz w:val="28"/>
          <w:szCs w:val="28"/>
        </w:rPr>
      </w:pPr>
      <w:r>
        <w:rPr>
          <w:sz w:val="28"/>
          <w:szCs w:val="28"/>
        </w:rPr>
        <w:tab/>
      </w:r>
    </w:p>
    <w:sectPr w:rsidR="003A72FC" w:rsidRPr="003A72FC" w:rsidSect="00050A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536" w:rsidRDefault="00307536" w:rsidP="00050ADC">
      <w:pPr>
        <w:spacing w:after="0" w:line="240" w:lineRule="auto"/>
      </w:pPr>
      <w:r>
        <w:separator/>
      </w:r>
    </w:p>
  </w:endnote>
  <w:endnote w:type="continuationSeparator" w:id="0">
    <w:p w:rsidR="00307536" w:rsidRDefault="00307536" w:rsidP="0005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9391"/>
      <w:docPartObj>
        <w:docPartGallery w:val="Page Numbers (Bottom of Page)"/>
        <w:docPartUnique/>
      </w:docPartObj>
    </w:sdtPr>
    <w:sdtEndPr/>
    <w:sdtContent>
      <w:p w:rsidR="00710FB9" w:rsidRDefault="00CC1959">
        <w:pPr>
          <w:pStyle w:val="Footer"/>
          <w:jc w:val="right"/>
        </w:pPr>
        <w:r>
          <w:fldChar w:fldCharType="begin"/>
        </w:r>
        <w:r>
          <w:instrText xml:space="preserve"> PAGE   \* MERGEFORMAT </w:instrText>
        </w:r>
        <w:r>
          <w:fldChar w:fldCharType="separate"/>
        </w:r>
        <w:r w:rsidR="00445E4F">
          <w:rPr>
            <w:noProof/>
          </w:rPr>
          <w:t>2</w:t>
        </w:r>
        <w:r>
          <w:rPr>
            <w:noProof/>
          </w:rPr>
          <w:fldChar w:fldCharType="end"/>
        </w:r>
      </w:p>
    </w:sdtContent>
  </w:sdt>
  <w:p w:rsidR="00710FB9" w:rsidRDefault="00710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536" w:rsidRDefault="00307536" w:rsidP="00050ADC">
      <w:pPr>
        <w:spacing w:after="0" w:line="240" w:lineRule="auto"/>
      </w:pPr>
      <w:r>
        <w:separator/>
      </w:r>
    </w:p>
  </w:footnote>
  <w:footnote w:type="continuationSeparator" w:id="0">
    <w:p w:rsidR="00307536" w:rsidRDefault="00307536" w:rsidP="00050A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B9" w:rsidRDefault="00710FB9" w:rsidP="00445E4F">
    <w:pPr>
      <w:spacing w:line="360" w:lineRule="auto"/>
      <w:ind w:left="5040"/>
      <w:jc w:val="both"/>
      <w:rPr>
        <w:b/>
        <w:sz w:val="28"/>
        <w:szCs w:val="28"/>
      </w:rPr>
    </w:pPr>
    <w:r>
      <w:rPr>
        <w:b/>
        <w:sz w:val="28"/>
        <w:szCs w:val="28"/>
      </w:rPr>
      <w:t>JUDGMENT NO LC/H/</w:t>
    </w:r>
    <w:r w:rsidR="00445E4F">
      <w:rPr>
        <w:b/>
        <w:sz w:val="28"/>
        <w:szCs w:val="28"/>
      </w:rPr>
      <w:t>726</w:t>
    </w:r>
    <w:r w:rsidR="004441A8">
      <w:rPr>
        <w:b/>
        <w:sz w:val="28"/>
        <w:szCs w:val="28"/>
      </w:rPr>
      <w:t>/</w:t>
    </w:r>
    <w:r>
      <w:rPr>
        <w:b/>
        <w:sz w:val="28"/>
        <w:szCs w:val="28"/>
      </w:rPr>
      <w:t>14</w:t>
    </w:r>
  </w:p>
  <w:p w:rsidR="00710FB9" w:rsidRDefault="00710F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114D0"/>
    <w:multiLevelType w:val="hybridMultilevel"/>
    <w:tmpl w:val="DCBE1A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505"/>
    <w:rsid w:val="00040041"/>
    <w:rsid w:val="000501E6"/>
    <w:rsid w:val="00050ADC"/>
    <w:rsid w:val="00062DEC"/>
    <w:rsid w:val="00073B99"/>
    <w:rsid w:val="00165016"/>
    <w:rsid w:val="001A037B"/>
    <w:rsid w:val="001B520A"/>
    <w:rsid w:val="001C6A77"/>
    <w:rsid w:val="001E25BD"/>
    <w:rsid w:val="001E59E3"/>
    <w:rsid w:val="0023443A"/>
    <w:rsid w:val="002A4EA4"/>
    <w:rsid w:val="002B042E"/>
    <w:rsid w:val="002D0332"/>
    <w:rsid w:val="002E1FE1"/>
    <w:rsid w:val="00307536"/>
    <w:rsid w:val="00326FE8"/>
    <w:rsid w:val="00333A04"/>
    <w:rsid w:val="003571DC"/>
    <w:rsid w:val="003732BA"/>
    <w:rsid w:val="003A72FC"/>
    <w:rsid w:val="003C4704"/>
    <w:rsid w:val="003E7494"/>
    <w:rsid w:val="00443D09"/>
    <w:rsid w:val="004441A8"/>
    <w:rsid w:val="00445E4F"/>
    <w:rsid w:val="00450F2A"/>
    <w:rsid w:val="00471F6B"/>
    <w:rsid w:val="004927A7"/>
    <w:rsid w:val="004D5505"/>
    <w:rsid w:val="004E2B68"/>
    <w:rsid w:val="00595D11"/>
    <w:rsid w:val="005B6B07"/>
    <w:rsid w:val="005E4CBF"/>
    <w:rsid w:val="00710FB9"/>
    <w:rsid w:val="00740E8A"/>
    <w:rsid w:val="00792B78"/>
    <w:rsid w:val="007A10E9"/>
    <w:rsid w:val="007B3902"/>
    <w:rsid w:val="007C3B6F"/>
    <w:rsid w:val="007F7ECE"/>
    <w:rsid w:val="00822A4C"/>
    <w:rsid w:val="008C57F8"/>
    <w:rsid w:val="00912EF0"/>
    <w:rsid w:val="00914FC6"/>
    <w:rsid w:val="0092468C"/>
    <w:rsid w:val="0095112E"/>
    <w:rsid w:val="0095114C"/>
    <w:rsid w:val="0098286B"/>
    <w:rsid w:val="009951A3"/>
    <w:rsid w:val="00A05445"/>
    <w:rsid w:val="00A91A79"/>
    <w:rsid w:val="00AA1557"/>
    <w:rsid w:val="00AA452E"/>
    <w:rsid w:val="00B1158D"/>
    <w:rsid w:val="00B2519C"/>
    <w:rsid w:val="00B40117"/>
    <w:rsid w:val="00B819ED"/>
    <w:rsid w:val="00BA5626"/>
    <w:rsid w:val="00BE7503"/>
    <w:rsid w:val="00C279F3"/>
    <w:rsid w:val="00C473EA"/>
    <w:rsid w:val="00CC1959"/>
    <w:rsid w:val="00CE61E0"/>
    <w:rsid w:val="00CF7FB6"/>
    <w:rsid w:val="00D13C45"/>
    <w:rsid w:val="00D34EA0"/>
    <w:rsid w:val="00D35D61"/>
    <w:rsid w:val="00DD7258"/>
    <w:rsid w:val="00E009A7"/>
    <w:rsid w:val="00E07C97"/>
    <w:rsid w:val="00E5115D"/>
    <w:rsid w:val="00EA5CF8"/>
    <w:rsid w:val="00EC3B90"/>
    <w:rsid w:val="00ED3B87"/>
    <w:rsid w:val="00EE2051"/>
    <w:rsid w:val="00F034A3"/>
    <w:rsid w:val="00FC68E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ADC"/>
  </w:style>
  <w:style w:type="paragraph" w:styleId="Footer">
    <w:name w:val="footer"/>
    <w:basedOn w:val="Normal"/>
    <w:link w:val="FooterChar"/>
    <w:uiPriority w:val="99"/>
    <w:unhideWhenUsed/>
    <w:rsid w:val="00050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ADC"/>
  </w:style>
  <w:style w:type="paragraph" w:styleId="ListParagraph">
    <w:name w:val="List Paragraph"/>
    <w:basedOn w:val="Normal"/>
    <w:uiPriority w:val="34"/>
    <w:qFormat/>
    <w:rsid w:val="00822A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ADC"/>
  </w:style>
  <w:style w:type="paragraph" w:styleId="Footer">
    <w:name w:val="footer"/>
    <w:basedOn w:val="Normal"/>
    <w:link w:val="FooterChar"/>
    <w:uiPriority w:val="99"/>
    <w:unhideWhenUsed/>
    <w:rsid w:val="00050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ADC"/>
  </w:style>
  <w:style w:type="paragraph" w:styleId="ListParagraph">
    <w:name w:val="List Paragraph"/>
    <w:basedOn w:val="Normal"/>
    <w:uiPriority w:val="34"/>
    <w:qFormat/>
    <w:rsid w:val="00822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Labour Court</cp:lastModifiedBy>
  <cp:revision>4</cp:revision>
  <cp:lastPrinted>2014-10-17T11:11:00Z</cp:lastPrinted>
  <dcterms:created xsi:type="dcterms:W3CDTF">2014-10-20T08:32:00Z</dcterms:created>
  <dcterms:modified xsi:type="dcterms:W3CDTF">2014-10-20T10:28:00Z</dcterms:modified>
</cp:coreProperties>
</file>