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FD" w:rsidRDefault="00673EFD" w:rsidP="00673EF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0470EB">
        <w:rPr>
          <w:b/>
          <w:sz w:val="22"/>
          <w:szCs w:val="22"/>
        </w:rPr>
        <w:t>229</w:t>
      </w:r>
      <w:r>
        <w:rPr>
          <w:b/>
          <w:sz w:val="22"/>
          <w:szCs w:val="22"/>
        </w:rPr>
        <w:t>/2016</w:t>
      </w:r>
    </w:p>
    <w:p w:rsidR="00673EFD" w:rsidRDefault="00673EFD" w:rsidP="00673EFD">
      <w:pPr>
        <w:spacing w:line="360" w:lineRule="auto"/>
        <w:jc w:val="both"/>
        <w:rPr>
          <w:b/>
          <w:sz w:val="22"/>
          <w:szCs w:val="22"/>
        </w:rPr>
      </w:pPr>
    </w:p>
    <w:p w:rsidR="00673EFD" w:rsidRDefault="00673EFD" w:rsidP="00673EF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10 MARCH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LC/H/1068/</w:t>
      </w:r>
      <w:r w:rsidR="00146656">
        <w:rPr>
          <w:b/>
          <w:sz w:val="22"/>
          <w:szCs w:val="22"/>
        </w:rPr>
        <w:t>13</w:t>
      </w:r>
    </w:p>
    <w:p w:rsidR="00673EFD" w:rsidRDefault="00673EFD" w:rsidP="00673EFD">
      <w:pPr>
        <w:spacing w:line="360" w:lineRule="auto"/>
        <w:jc w:val="both"/>
        <w:rPr>
          <w:b/>
          <w:sz w:val="22"/>
          <w:szCs w:val="22"/>
        </w:rPr>
      </w:pPr>
    </w:p>
    <w:p w:rsidR="00673EFD" w:rsidRDefault="00673EFD" w:rsidP="00673EFD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0470EB">
        <w:rPr>
          <w:b/>
          <w:sz w:val="22"/>
          <w:szCs w:val="22"/>
        </w:rPr>
        <w:t>22 APRIL</w:t>
      </w:r>
      <w:r>
        <w:rPr>
          <w:b/>
          <w:sz w:val="22"/>
          <w:szCs w:val="22"/>
        </w:rPr>
        <w:t xml:space="preserve"> 2016</w:t>
      </w:r>
    </w:p>
    <w:p w:rsidR="00673EFD" w:rsidRDefault="00673EFD" w:rsidP="00673EFD">
      <w:pPr>
        <w:jc w:val="both"/>
        <w:rPr>
          <w:b/>
          <w:sz w:val="22"/>
          <w:szCs w:val="22"/>
        </w:rPr>
      </w:pPr>
    </w:p>
    <w:p w:rsidR="00673EFD" w:rsidRDefault="00673EFD" w:rsidP="00673EFD">
      <w:pPr>
        <w:spacing w:line="360" w:lineRule="auto"/>
        <w:jc w:val="both"/>
      </w:pPr>
    </w:p>
    <w:p w:rsidR="00673EFD" w:rsidRDefault="00146656" w:rsidP="00673EFD">
      <w:pPr>
        <w:spacing w:line="360" w:lineRule="auto"/>
        <w:jc w:val="both"/>
        <w:rPr>
          <w:b/>
        </w:rPr>
      </w:pPr>
      <w:r>
        <w:rPr>
          <w:b/>
        </w:rPr>
        <w:t>ZIMBABWE</w:t>
      </w:r>
      <w:r w:rsidR="00673EFD">
        <w:rPr>
          <w:b/>
        </w:rPr>
        <w:tab/>
      </w:r>
      <w:r>
        <w:rPr>
          <w:b/>
        </w:rPr>
        <w:t>URBAN COUNCILS WORKERS UNION</w:t>
      </w:r>
      <w:r>
        <w:rPr>
          <w:b/>
        </w:rPr>
        <w:tab/>
      </w:r>
      <w:r>
        <w:rPr>
          <w:b/>
        </w:rPr>
        <w:tab/>
      </w:r>
      <w:r w:rsidR="00673EFD">
        <w:rPr>
          <w:b/>
        </w:rPr>
        <w:t>Appellant</w:t>
      </w:r>
    </w:p>
    <w:p w:rsidR="00673EFD" w:rsidRDefault="00673EFD" w:rsidP="00673EFD">
      <w:pPr>
        <w:spacing w:line="360" w:lineRule="auto"/>
        <w:jc w:val="both"/>
        <w:rPr>
          <w:b/>
        </w:rPr>
      </w:pPr>
    </w:p>
    <w:p w:rsidR="00673EFD" w:rsidRDefault="00146656" w:rsidP="00673EFD">
      <w:pPr>
        <w:jc w:val="both"/>
        <w:rPr>
          <w:b/>
        </w:rPr>
      </w:pPr>
      <w:r>
        <w:rPr>
          <w:b/>
        </w:rPr>
        <w:t>CHIPINGE TOWN COUNCIL</w:t>
      </w:r>
      <w:r>
        <w:rPr>
          <w:b/>
        </w:rPr>
        <w:tab/>
      </w:r>
      <w:r>
        <w:rPr>
          <w:b/>
        </w:rPr>
        <w:tab/>
      </w:r>
      <w:r w:rsidR="00673EFD">
        <w:rPr>
          <w:b/>
        </w:rPr>
        <w:tab/>
      </w:r>
      <w:r w:rsidR="00673EFD">
        <w:rPr>
          <w:b/>
        </w:rPr>
        <w:tab/>
      </w:r>
      <w:r w:rsidR="00673EFD">
        <w:rPr>
          <w:b/>
        </w:rPr>
        <w:tab/>
      </w:r>
      <w:r w:rsidR="00673EFD">
        <w:rPr>
          <w:b/>
        </w:rPr>
        <w:tab/>
        <w:t xml:space="preserve">Respondent </w:t>
      </w:r>
      <w:r w:rsidR="00673EFD">
        <w:rPr>
          <w:b/>
        </w:rPr>
        <w:tab/>
      </w:r>
    </w:p>
    <w:p w:rsidR="00673EFD" w:rsidRDefault="00673EFD" w:rsidP="00673EFD">
      <w:pPr>
        <w:spacing w:line="360" w:lineRule="auto"/>
        <w:jc w:val="both"/>
        <w:rPr>
          <w:b/>
        </w:rPr>
      </w:pPr>
    </w:p>
    <w:p w:rsidR="00673EFD" w:rsidRDefault="00673EFD" w:rsidP="00673EFD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673EFD" w:rsidRDefault="00673EFD" w:rsidP="00673EFD">
      <w:pPr>
        <w:spacing w:line="360" w:lineRule="auto"/>
        <w:jc w:val="both"/>
      </w:pPr>
    </w:p>
    <w:p w:rsidR="00673EFD" w:rsidRDefault="00673EFD" w:rsidP="00673EFD">
      <w:pPr>
        <w:spacing w:line="360" w:lineRule="auto"/>
        <w:jc w:val="both"/>
        <w:rPr>
          <w:b/>
        </w:rPr>
      </w:pPr>
      <w:r>
        <w:rPr>
          <w:b/>
        </w:rPr>
        <w:t xml:space="preserve">For Appellant </w:t>
      </w:r>
      <w:r>
        <w:rPr>
          <w:b/>
        </w:rPr>
        <w:tab/>
      </w:r>
      <w:r>
        <w:rPr>
          <w:b/>
        </w:rPr>
        <w:tab/>
        <w:t xml:space="preserve">Mr T. </w:t>
      </w:r>
      <w:r w:rsidR="00DA7617">
        <w:rPr>
          <w:b/>
        </w:rPr>
        <w:t>Mafongoya</w:t>
      </w:r>
      <w:r>
        <w:rPr>
          <w:b/>
        </w:rPr>
        <w:t>, Attorney</w:t>
      </w:r>
    </w:p>
    <w:p w:rsidR="00673EFD" w:rsidRDefault="00673EFD" w:rsidP="00673EFD">
      <w:pPr>
        <w:jc w:val="both"/>
        <w:rPr>
          <w:b/>
        </w:rPr>
      </w:pPr>
      <w:r>
        <w:rPr>
          <w:b/>
        </w:rPr>
        <w:tab/>
      </w:r>
    </w:p>
    <w:p w:rsidR="00673EFD" w:rsidRDefault="00673EFD" w:rsidP="00673EFD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 xml:space="preserve">Mr </w:t>
      </w:r>
      <w:r w:rsidR="00DA7617">
        <w:rPr>
          <w:b/>
        </w:rPr>
        <w:t>T. Tazvitya</w:t>
      </w:r>
      <w:r>
        <w:rPr>
          <w:b/>
        </w:rPr>
        <w:t>, Attorney</w:t>
      </w:r>
    </w:p>
    <w:p w:rsidR="00673EFD" w:rsidRDefault="00673EFD" w:rsidP="00673EFD">
      <w:pPr>
        <w:spacing w:line="360" w:lineRule="auto"/>
        <w:jc w:val="both"/>
        <w:rPr>
          <w:b/>
          <w:sz w:val="28"/>
          <w:szCs w:val="28"/>
        </w:rPr>
      </w:pPr>
    </w:p>
    <w:p w:rsidR="00673EFD" w:rsidRDefault="00673EFD" w:rsidP="00673EFD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AF2452" w:rsidRDefault="00AF2452" w:rsidP="00F24511">
      <w:pPr>
        <w:spacing w:line="360" w:lineRule="auto"/>
        <w:jc w:val="both"/>
      </w:pPr>
    </w:p>
    <w:p w:rsidR="00F24511" w:rsidRDefault="004D085B" w:rsidP="00F24511">
      <w:pPr>
        <w:spacing w:line="360" w:lineRule="auto"/>
        <w:jc w:val="both"/>
      </w:pPr>
      <w:r>
        <w:t>On 13</w:t>
      </w:r>
      <w:r w:rsidRPr="004D085B">
        <w:rPr>
          <w:vertAlign w:val="superscript"/>
        </w:rPr>
        <w:t>th</w:t>
      </w:r>
      <w:r>
        <w:t xml:space="preserve"> November 2013 Arbitrator N.A. Mutongo</w:t>
      </w:r>
      <w:r w:rsidR="006C5499">
        <w:t xml:space="preserve">reri made an arbitration award.  Therein he dismissed </w:t>
      </w:r>
      <w:r w:rsidR="00B817E1">
        <w:t>Appellant’s complaints about Respondent’s job evaluation exercise.  Appellant then appealed</w:t>
      </w:r>
      <w:r w:rsidR="001662F3">
        <w:t xml:space="preserve"> to this Court against the award.  Respondent opposed the appeal.</w:t>
      </w:r>
    </w:p>
    <w:p w:rsidR="00AB666B" w:rsidRDefault="00AB666B" w:rsidP="00076A4D">
      <w:pPr>
        <w:jc w:val="both"/>
      </w:pPr>
    </w:p>
    <w:p w:rsidR="00AB666B" w:rsidRDefault="00AB666B" w:rsidP="00F24511">
      <w:pPr>
        <w:spacing w:line="360" w:lineRule="auto"/>
        <w:jc w:val="both"/>
      </w:pPr>
      <w:r>
        <w:t>The grounds of appeal were three-fold as follows,</w:t>
      </w:r>
    </w:p>
    <w:p w:rsidR="00AB666B" w:rsidRDefault="00AB666B" w:rsidP="00076A4D">
      <w:pPr>
        <w:jc w:val="both"/>
      </w:pPr>
    </w:p>
    <w:p w:rsidR="00AB666B" w:rsidRDefault="00C31E11" w:rsidP="00AB666B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Arbitrator grossly misdirected himself factually, a misdirection that amounts to a point of law</w:t>
      </w:r>
      <w:r w:rsidR="00524D6C">
        <w:t xml:space="preserve"> in making a finding that both parties submitted documents to him when it was only Appellant who did so.</w:t>
      </w:r>
    </w:p>
    <w:p w:rsidR="00524D6C" w:rsidRDefault="00524D6C" w:rsidP="00AB666B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Arbitrator grossly erred and seriously misdirected himself factually, a misdirection that amounts to a point of law in making a finding that the Appellant acted against the will of the Workers Committee when in actual fact the Workers Committee forwarded</w:t>
      </w:r>
      <w:r w:rsidR="003A30D0">
        <w:t xml:space="preserve"> the Job Evaluation Report for the </w:t>
      </w:r>
      <w:r w:rsidR="003A30D0">
        <w:lastRenderedPageBreak/>
        <w:t xml:space="preserve">Appellant’s Secretary General’s comments and the same was sent to the Town Secretary.  Parties then could not </w:t>
      </w:r>
      <w:r w:rsidR="001E7BEE">
        <w:t>agree on the implementation of the Job Evaluation exercise.</w:t>
      </w:r>
    </w:p>
    <w:p w:rsidR="001E7BEE" w:rsidRDefault="001E7BEE" w:rsidP="00AB666B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Arbitrator grossly erred and seriously misdirected himself factually, a misdirection amounting to a point of law in making a finding that there was a Works Council agreement yet in the same award he also made a finding that the dispute in casu, being a dispute of interest, it never</w:t>
      </w:r>
      <w:r w:rsidR="008C4467">
        <w:t xml:space="preserve"> passed though the works council.  Such findings are contradictory.</w:t>
      </w:r>
    </w:p>
    <w:p w:rsidR="008C4467" w:rsidRDefault="008C4467" w:rsidP="00076A4D">
      <w:pPr>
        <w:jc w:val="both"/>
      </w:pPr>
    </w:p>
    <w:p w:rsidR="008C4467" w:rsidRDefault="008C4467" w:rsidP="008C4467">
      <w:pPr>
        <w:spacing w:line="360" w:lineRule="auto"/>
        <w:jc w:val="both"/>
      </w:pPr>
      <w:r>
        <w:t>I agree with Respondent that the 1</w:t>
      </w:r>
      <w:r w:rsidRPr="008C4467">
        <w:rPr>
          <w:vertAlign w:val="superscript"/>
        </w:rPr>
        <w:t>st</w:t>
      </w:r>
      <w:r>
        <w:t xml:space="preserve"> gr</w:t>
      </w:r>
      <w:r w:rsidR="00793269">
        <w:t>ound does not constitute a valid</w:t>
      </w:r>
      <w:r>
        <w:t xml:space="preserve"> ground of appeal.  It complai</w:t>
      </w:r>
      <w:r w:rsidR="00793269">
        <w:t>ns about a comment/find</w:t>
      </w:r>
      <w:r w:rsidR="000470EB">
        <w:t>in</w:t>
      </w:r>
      <w:r w:rsidR="00BF48F5">
        <w:t>g</w:t>
      </w:r>
      <w:r w:rsidR="00793269">
        <w:t xml:space="preserve"> concerning the pro</w:t>
      </w:r>
      <w:r w:rsidR="000F3A03">
        <w:t xml:space="preserve">duction of document.  Such relates to the </w:t>
      </w:r>
      <w:r w:rsidR="000F3A03" w:rsidRPr="0006302C">
        <w:rPr>
          <w:u w:val="single"/>
        </w:rPr>
        <w:t>procedure</w:t>
      </w:r>
      <w:r w:rsidR="000F3A03">
        <w:t xml:space="preserve"> employed by </w:t>
      </w:r>
      <w:r w:rsidR="00BF48F5">
        <w:t>the arbitrator</w:t>
      </w:r>
      <w:r w:rsidR="000F3A03">
        <w:t xml:space="preserve"> in</w:t>
      </w:r>
      <w:r w:rsidR="005B6F8E">
        <w:t xml:space="preserve"> managing the arbitration process.  It does not deal with the merits of his </w:t>
      </w:r>
      <w:r w:rsidR="005B6F8E" w:rsidRPr="005B6F8E">
        <w:rPr>
          <w:u w:val="single"/>
        </w:rPr>
        <w:t>determination</w:t>
      </w:r>
      <w:r w:rsidR="005B6F8E">
        <w:t>.  It is trite law</w:t>
      </w:r>
      <w:r w:rsidR="002940A4">
        <w:t xml:space="preserve"> that an appeal </w:t>
      </w:r>
      <w:r w:rsidR="00BF48F5">
        <w:t>should focus</w:t>
      </w:r>
      <w:r w:rsidR="002940A4">
        <w:t xml:space="preserve"> on the merits of a determination.  Shortcomings in procedure are dealt with by way of review.  Thus, the ground cannot be entertained in this appeal.</w:t>
      </w:r>
    </w:p>
    <w:p w:rsidR="00FE10CF" w:rsidRDefault="00FE10CF" w:rsidP="00076A4D">
      <w:pPr>
        <w:jc w:val="both"/>
      </w:pPr>
    </w:p>
    <w:p w:rsidR="00FE10CF" w:rsidRDefault="00FE10CF" w:rsidP="008C4467">
      <w:pPr>
        <w:spacing w:line="360" w:lineRule="auto"/>
        <w:jc w:val="both"/>
      </w:pPr>
      <w:r>
        <w:t>The 2</w:t>
      </w:r>
      <w:r w:rsidRPr="00FE10CF">
        <w:rPr>
          <w:vertAlign w:val="superscript"/>
        </w:rPr>
        <w:t>nd</w:t>
      </w:r>
      <w:r>
        <w:t xml:space="preserve"> and 3</w:t>
      </w:r>
      <w:r w:rsidRPr="00FE10CF">
        <w:rPr>
          <w:vertAlign w:val="superscript"/>
        </w:rPr>
        <w:t>rd</w:t>
      </w:r>
      <w:r>
        <w:t xml:space="preserve"> grounds of </w:t>
      </w:r>
      <w:r w:rsidR="00685D94">
        <w:t xml:space="preserve">appeal raise basically 2 issues. </w:t>
      </w:r>
      <w:r w:rsidR="00A42C1A">
        <w:t xml:space="preserve">Whether Appellant has </w:t>
      </w:r>
      <w:r w:rsidR="00A42C1A" w:rsidRPr="000D494E">
        <w:rPr>
          <w:i/>
        </w:rPr>
        <w:t>locus standi</w:t>
      </w:r>
      <w:r w:rsidR="00A42C1A">
        <w:t xml:space="preserve"> to bring </w:t>
      </w:r>
      <w:r w:rsidR="00283207">
        <w:t xml:space="preserve">action in this Court on behalf of its members? And whether Appellant’s members settled the matter with respondent?  I will deal with </w:t>
      </w:r>
      <w:r w:rsidR="00177090">
        <w:t xml:space="preserve">the issue </w:t>
      </w:r>
      <w:r w:rsidR="009E5BE6">
        <w:t>seriatim</w:t>
      </w:r>
      <w:r w:rsidR="00177090">
        <w:t>.</w:t>
      </w:r>
    </w:p>
    <w:p w:rsidR="00177090" w:rsidRDefault="00177090" w:rsidP="008C4467">
      <w:pPr>
        <w:spacing w:line="360" w:lineRule="auto"/>
        <w:jc w:val="both"/>
      </w:pPr>
    </w:p>
    <w:p w:rsidR="00177090" w:rsidRDefault="00177090" w:rsidP="008C4467">
      <w:pPr>
        <w:spacing w:line="360" w:lineRule="auto"/>
        <w:jc w:val="both"/>
      </w:pPr>
      <w:r w:rsidRPr="00177090">
        <w:rPr>
          <w:u w:val="single"/>
        </w:rPr>
        <w:t>Whether Appellant has locus standi in this matter</w:t>
      </w:r>
      <w:r>
        <w:t>?</w:t>
      </w:r>
    </w:p>
    <w:p w:rsidR="00177090" w:rsidRDefault="00177090" w:rsidP="004343C0">
      <w:pPr>
        <w:jc w:val="both"/>
      </w:pPr>
    </w:p>
    <w:p w:rsidR="00177090" w:rsidRDefault="00177090" w:rsidP="008C4467">
      <w:pPr>
        <w:spacing w:line="360" w:lineRule="auto"/>
        <w:jc w:val="both"/>
      </w:pPr>
      <w:r>
        <w:t xml:space="preserve">On this issue I was referred to the case of, </w:t>
      </w:r>
      <w:r w:rsidRPr="00177090">
        <w:rPr>
          <w:i/>
        </w:rPr>
        <w:t>Tel-One</w:t>
      </w:r>
      <w:r>
        <w:t xml:space="preserve"> v </w:t>
      </w:r>
      <w:r w:rsidRPr="00177090">
        <w:rPr>
          <w:i/>
        </w:rPr>
        <w:t>CASWUZ</w:t>
      </w:r>
      <w:r>
        <w:t xml:space="preserve"> 2006 (2) ZLR 136 (S)</w:t>
      </w:r>
      <w:r w:rsidR="009E5BE6">
        <w:t xml:space="preserve"> where </w:t>
      </w:r>
      <w:proofErr w:type="spellStart"/>
      <w:r w:rsidR="009E5BE6">
        <w:t>Chidyausiku</w:t>
      </w:r>
      <w:proofErr w:type="spellEnd"/>
      <w:r w:rsidR="00865AFA">
        <w:t xml:space="preserve"> C.J. ruled that (141 B)</w:t>
      </w:r>
    </w:p>
    <w:p w:rsidR="00865AFA" w:rsidRDefault="00865AFA" w:rsidP="004343C0">
      <w:pPr>
        <w:jc w:val="both"/>
      </w:pPr>
    </w:p>
    <w:p w:rsidR="00865AFA" w:rsidRPr="004343C0" w:rsidRDefault="00865AFA" w:rsidP="004343C0">
      <w:pPr>
        <w:spacing w:line="276" w:lineRule="auto"/>
        <w:ind w:left="720"/>
        <w:jc w:val="both"/>
        <w:rPr>
          <w:sz w:val="22"/>
          <w:szCs w:val="22"/>
        </w:rPr>
      </w:pPr>
      <w:r w:rsidRPr="004343C0">
        <w:rPr>
          <w:sz w:val="22"/>
          <w:szCs w:val="22"/>
        </w:rPr>
        <w:t xml:space="preserve">“Put differently, Mr Hwacha’s contention is </w:t>
      </w:r>
      <w:r w:rsidR="00F87A9A" w:rsidRPr="004343C0">
        <w:rPr>
          <w:sz w:val="22"/>
          <w:szCs w:val="22"/>
        </w:rPr>
        <w:t>that a party that was not privy to the original proceedings cannot apply for the review of such proceedings.  I recognize the cogency of this submission.  The proposition that only parties to the proceedings can challenge on appeal the outcome of such proceedings admits of little doubt.”</w:t>
      </w:r>
    </w:p>
    <w:p w:rsidR="0075464B" w:rsidRDefault="0075464B" w:rsidP="004343C0">
      <w:pPr>
        <w:jc w:val="both"/>
      </w:pPr>
    </w:p>
    <w:p w:rsidR="0075464B" w:rsidRDefault="0075464B" w:rsidP="008C4467">
      <w:pPr>
        <w:spacing w:line="360" w:lineRule="auto"/>
        <w:jc w:val="both"/>
      </w:pPr>
      <w:r>
        <w:t xml:space="preserve">The proceedings on appeal to this Court is the </w:t>
      </w:r>
      <w:r w:rsidRPr="0075464B">
        <w:rPr>
          <w:u w:val="single"/>
        </w:rPr>
        <w:t>arbitration</w:t>
      </w:r>
      <w:r>
        <w:t xml:space="preserve"> which produced the award under appeal.  The award </w:t>
      </w:r>
      <w:r w:rsidR="00D46428">
        <w:t>names the Appellant as Applicant in that matter.  Therefore Appellant was indeed a party to the proceedings under appeal.</w:t>
      </w:r>
    </w:p>
    <w:p w:rsidR="00C1500F" w:rsidRDefault="00C1500F" w:rsidP="004343C0">
      <w:pPr>
        <w:jc w:val="both"/>
      </w:pPr>
    </w:p>
    <w:p w:rsidR="00076A4D" w:rsidRDefault="00076A4D" w:rsidP="008C4467">
      <w:pPr>
        <w:spacing w:line="360" w:lineRule="auto"/>
        <w:jc w:val="both"/>
        <w:rPr>
          <w:u w:val="single"/>
        </w:rPr>
      </w:pPr>
    </w:p>
    <w:p w:rsidR="00076A4D" w:rsidRDefault="00076A4D" w:rsidP="008C4467">
      <w:pPr>
        <w:spacing w:line="360" w:lineRule="auto"/>
        <w:jc w:val="both"/>
        <w:rPr>
          <w:u w:val="single"/>
        </w:rPr>
      </w:pPr>
    </w:p>
    <w:p w:rsidR="00C1500F" w:rsidRDefault="00C1500F" w:rsidP="008C4467">
      <w:pPr>
        <w:spacing w:line="360" w:lineRule="auto"/>
        <w:jc w:val="both"/>
      </w:pPr>
      <w:r w:rsidRPr="00C1500F">
        <w:rPr>
          <w:u w:val="single"/>
        </w:rPr>
        <w:t>Whether Appellant’s members settled the matter with Respondent</w:t>
      </w:r>
      <w:r>
        <w:t>?</w:t>
      </w:r>
    </w:p>
    <w:p w:rsidR="00C1500F" w:rsidRDefault="00C1500F" w:rsidP="00F72A46">
      <w:pPr>
        <w:jc w:val="both"/>
      </w:pPr>
    </w:p>
    <w:p w:rsidR="00C1500F" w:rsidRDefault="00C1500F" w:rsidP="008C4467">
      <w:pPr>
        <w:spacing w:line="360" w:lineRule="auto"/>
        <w:jc w:val="both"/>
      </w:pPr>
      <w:r>
        <w:t>Respondent stated that the matter had been settled.  As proof they relied on certain documents.</w:t>
      </w:r>
    </w:p>
    <w:p w:rsidR="00202F46" w:rsidRDefault="00202F46" w:rsidP="00F72A46">
      <w:pPr>
        <w:jc w:val="both"/>
      </w:pPr>
    </w:p>
    <w:p w:rsidR="004404B7" w:rsidRDefault="00202F46" w:rsidP="008C4467">
      <w:pPr>
        <w:spacing w:line="360" w:lineRule="auto"/>
        <w:jc w:val="both"/>
      </w:pPr>
      <w:r>
        <w:t>Firstly, they relied on minutes of the Works Council (WC) meeting held on 23</w:t>
      </w:r>
      <w:r w:rsidRPr="00202F46">
        <w:rPr>
          <w:vertAlign w:val="superscript"/>
        </w:rPr>
        <w:t>rd</w:t>
      </w:r>
      <w:r>
        <w:t xml:space="preserve"> July 2013.  Under the subutile </w:t>
      </w:r>
      <w:r w:rsidR="004404B7">
        <w:t>“A</w:t>
      </w:r>
      <w:r>
        <w:t>greed”</w:t>
      </w:r>
      <w:r w:rsidR="004404B7">
        <w:t xml:space="preserve"> </w:t>
      </w:r>
      <w:r>
        <w:t>the</w:t>
      </w:r>
      <w:r w:rsidR="004404B7">
        <w:t xml:space="preserve"> following appeared</w:t>
      </w:r>
    </w:p>
    <w:p w:rsidR="004404B7" w:rsidRDefault="004404B7" w:rsidP="00F72A46">
      <w:pPr>
        <w:jc w:val="both"/>
      </w:pPr>
    </w:p>
    <w:p w:rsidR="004404B7" w:rsidRPr="00F72A46" w:rsidRDefault="004404B7" w:rsidP="00F72A46">
      <w:pPr>
        <w:spacing w:line="276" w:lineRule="auto"/>
        <w:ind w:firstLine="435"/>
        <w:jc w:val="both"/>
        <w:rPr>
          <w:sz w:val="22"/>
          <w:szCs w:val="22"/>
          <w:u w:val="single"/>
        </w:rPr>
      </w:pPr>
      <w:r w:rsidRPr="00F72A46">
        <w:rPr>
          <w:sz w:val="22"/>
          <w:szCs w:val="22"/>
        </w:rPr>
        <w:t>“</w:t>
      </w:r>
      <w:r w:rsidRPr="00F72A46">
        <w:rPr>
          <w:sz w:val="22"/>
          <w:szCs w:val="22"/>
          <w:u w:val="single"/>
        </w:rPr>
        <w:t>Agreed</w:t>
      </w:r>
    </w:p>
    <w:p w:rsidR="00202F46" w:rsidRPr="00F72A46" w:rsidRDefault="00E061E8" w:rsidP="00F72A46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72A46">
        <w:rPr>
          <w:sz w:val="22"/>
          <w:szCs w:val="22"/>
        </w:rPr>
        <w:t>To adopt the recommendation by Best Fit Management Consultancy.</w:t>
      </w:r>
    </w:p>
    <w:p w:rsidR="00E061E8" w:rsidRPr="00F72A46" w:rsidRDefault="00E061E8" w:rsidP="00F72A46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72A46">
        <w:rPr>
          <w:sz w:val="22"/>
          <w:szCs w:val="22"/>
        </w:rPr>
        <w:t>That the new salary structure be effected from the month of July 2013</w:t>
      </w:r>
      <w:r w:rsidR="00713FD4" w:rsidRPr="00F72A46">
        <w:rPr>
          <w:sz w:val="22"/>
          <w:szCs w:val="22"/>
        </w:rPr>
        <w:t>.</w:t>
      </w:r>
    </w:p>
    <w:p w:rsidR="00713FD4" w:rsidRPr="00F72A46" w:rsidRDefault="00713FD4" w:rsidP="00F72A46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72A46">
        <w:rPr>
          <w:sz w:val="22"/>
          <w:szCs w:val="22"/>
        </w:rPr>
        <w:t xml:space="preserve">On the same note the Workers Committee Secretary emphasised the need to </w:t>
      </w:r>
      <w:r w:rsidR="00A73516" w:rsidRPr="00F72A46">
        <w:rPr>
          <w:sz w:val="22"/>
          <w:szCs w:val="22"/>
        </w:rPr>
        <w:t xml:space="preserve">counsel employees properly to avoid fear of the </w:t>
      </w:r>
      <w:r w:rsidR="00687DC8" w:rsidRPr="00F72A46">
        <w:rPr>
          <w:sz w:val="22"/>
          <w:szCs w:val="22"/>
        </w:rPr>
        <w:t>unknown</w:t>
      </w:r>
      <w:r w:rsidR="00A73516" w:rsidRPr="00F72A46">
        <w:rPr>
          <w:sz w:val="22"/>
          <w:szCs w:val="22"/>
        </w:rPr>
        <w:t xml:space="preserve"> and the workers committee was ready to assist where the need arises since Council was working</w:t>
      </w:r>
      <w:r w:rsidR="00F96D2F">
        <w:rPr>
          <w:sz w:val="22"/>
          <w:szCs w:val="22"/>
        </w:rPr>
        <w:t xml:space="preserve"> with a</w:t>
      </w:r>
      <w:r w:rsidR="00E94A9C" w:rsidRPr="00F72A46">
        <w:rPr>
          <w:sz w:val="22"/>
          <w:szCs w:val="22"/>
        </w:rPr>
        <w:t>n arbitration award which required it to finish the exercise by 30 June 2013 and had no problem with the Job evaluation implementation</w:t>
      </w:r>
      <w:r w:rsidR="00DA674D" w:rsidRPr="00F72A46">
        <w:rPr>
          <w:sz w:val="22"/>
          <w:szCs w:val="22"/>
        </w:rPr>
        <w:t xml:space="preserve"> but to be carefully implemented.”</w:t>
      </w:r>
    </w:p>
    <w:p w:rsidR="00DA674D" w:rsidRDefault="00DA674D" w:rsidP="00F72A46">
      <w:pPr>
        <w:jc w:val="both"/>
      </w:pPr>
    </w:p>
    <w:p w:rsidR="00DA674D" w:rsidRDefault="00DA674D" w:rsidP="00DA674D">
      <w:pPr>
        <w:spacing w:line="360" w:lineRule="auto"/>
        <w:jc w:val="both"/>
      </w:pPr>
      <w:r>
        <w:t>It is common cause that the WC is comprised of representatives of the employer and employees.  Therefore through their</w:t>
      </w:r>
      <w:r w:rsidR="00AF2452">
        <w:t xml:space="preserve"> representatives, the employees agreed to the implementation of the job evaluation exercise.  In addition</w:t>
      </w:r>
      <w:r w:rsidR="00FC2C6C">
        <w:t xml:space="preserve"> Respondent on the employment contract drawn up after the evaluation.</w:t>
      </w:r>
      <w:r w:rsidR="004E6E06">
        <w:t xml:space="preserve">  Its preamble reads thus,</w:t>
      </w:r>
    </w:p>
    <w:p w:rsidR="004E6E06" w:rsidRDefault="004E6E06" w:rsidP="00F72A46">
      <w:pPr>
        <w:jc w:val="both"/>
      </w:pPr>
    </w:p>
    <w:p w:rsidR="004E6E06" w:rsidRPr="00F72A46" w:rsidRDefault="004E6E06" w:rsidP="00F72A46">
      <w:pPr>
        <w:spacing w:line="276" w:lineRule="auto"/>
        <w:ind w:left="720"/>
        <w:jc w:val="both"/>
        <w:rPr>
          <w:sz w:val="22"/>
          <w:szCs w:val="22"/>
        </w:rPr>
      </w:pPr>
      <w:r w:rsidRPr="00F72A46">
        <w:rPr>
          <w:sz w:val="22"/>
          <w:szCs w:val="22"/>
        </w:rPr>
        <w:t>“I … do hereby acknowledge receipt of a new contract of employment following the job evaluation system which was completed on 19 July 2013 by</w:t>
      </w:r>
      <w:r w:rsidR="001F7F34" w:rsidRPr="00F72A46">
        <w:rPr>
          <w:sz w:val="22"/>
          <w:szCs w:val="22"/>
        </w:rPr>
        <w:t xml:space="preserve"> best Fit Management Consultancy Company in which I was placed in position of …</w:t>
      </w:r>
      <w:r w:rsidR="009B0C6B" w:rsidRPr="00F72A46">
        <w:rPr>
          <w:sz w:val="22"/>
          <w:szCs w:val="22"/>
        </w:rPr>
        <w:t>”</w:t>
      </w:r>
    </w:p>
    <w:p w:rsidR="009B0C6B" w:rsidRDefault="009B0C6B" w:rsidP="00F72A46">
      <w:pPr>
        <w:jc w:val="both"/>
      </w:pPr>
    </w:p>
    <w:p w:rsidR="009B0C6B" w:rsidRDefault="009B0C6B" w:rsidP="00DA674D">
      <w:pPr>
        <w:spacing w:line="360" w:lineRule="auto"/>
        <w:jc w:val="both"/>
      </w:pPr>
      <w:r>
        <w:t>On</w:t>
      </w:r>
      <w:r w:rsidR="00F96D2F">
        <w:t>ce</w:t>
      </w:r>
      <w:r>
        <w:t xml:space="preserve"> an employee signed such contract he agreed to vary the employment contract as per the evaluation report</w:t>
      </w:r>
      <w:r w:rsidR="00C934F1">
        <w:t>.  They waived their rights prior to the evaluation.  Thus there is no valid basis upon which the employee</w:t>
      </w:r>
      <w:r w:rsidR="005E7D81">
        <w:t xml:space="preserve"> or his union can then turn around and </w:t>
      </w:r>
      <w:r w:rsidR="007A2DFD">
        <w:t>challenge the implementation of the report.</w:t>
      </w:r>
    </w:p>
    <w:p w:rsidR="007A2DFD" w:rsidRDefault="007A2DFD" w:rsidP="00F72A46">
      <w:pPr>
        <w:jc w:val="both"/>
      </w:pPr>
    </w:p>
    <w:p w:rsidR="007A2DFD" w:rsidRDefault="007A2DFD" w:rsidP="00DA674D">
      <w:pPr>
        <w:spacing w:line="360" w:lineRule="auto"/>
        <w:jc w:val="both"/>
      </w:pPr>
      <w:r>
        <w:t>I therefore consider that the Arbitrator correctly</w:t>
      </w:r>
      <w:r w:rsidR="00F06021">
        <w:t xml:space="preserve"> assessed Appellant’s complaints and rightly dismissed them.</w:t>
      </w:r>
    </w:p>
    <w:p w:rsidR="00F06021" w:rsidRDefault="00F06021" w:rsidP="00DA674D">
      <w:pPr>
        <w:spacing w:line="360" w:lineRule="auto"/>
        <w:jc w:val="both"/>
      </w:pPr>
    </w:p>
    <w:p w:rsidR="00DD51AF" w:rsidRDefault="00DD51AF" w:rsidP="00DA674D">
      <w:pPr>
        <w:spacing w:line="360" w:lineRule="auto"/>
        <w:jc w:val="both"/>
      </w:pPr>
    </w:p>
    <w:p w:rsidR="00DD51AF" w:rsidRDefault="00DD51AF" w:rsidP="00DA674D">
      <w:pPr>
        <w:spacing w:line="360" w:lineRule="auto"/>
        <w:jc w:val="both"/>
      </w:pPr>
    </w:p>
    <w:p w:rsidR="000D4308" w:rsidRDefault="000D4308" w:rsidP="00DA674D">
      <w:pPr>
        <w:spacing w:line="360" w:lineRule="auto"/>
        <w:jc w:val="both"/>
      </w:pPr>
    </w:p>
    <w:p w:rsidR="00076A4D" w:rsidRDefault="00076A4D" w:rsidP="000D4308">
      <w:pPr>
        <w:spacing w:line="360" w:lineRule="auto"/>
        <w:jc w:val="both"/>
        <w:rPr>
          <w:b/>
        </w:rPr>
      </w:pPr>
    </w:p>
    <w:p w:rsidR="00076A4D" w:rsidRDefault="00076A4D" w:rsidP="000D4308">
      <w:pPr>
        <w:spacing w:line="360" w:lineRule="auto"/>
        <w:jc w:val="both"/>
        <w:rPr>
          <w:b/>
        </w:rPr>
      </w:pPr>
      <w:bookmarkStart w:id="0" w:name="_GoBack"/>
      <w:bookmarkEnd w:id="0"/>
    </w:p>
    <w:p w:rsidR="000D4308" w:rsidRDefault="000D4308" w:rsidP="000D4308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0D4308" w:rsidRDefault="000D4308" w:rsidP="000D4308">
      <w:pPr>
        <w:spacing w:line="360" w:lineRule="auto"/>
        <w:jc w:val="both"/>
        <w:rPr>
          <w:b/>
        </w:rPr>
      </w:pPr>
    </w:p>
    <w:p w:rsidR="00543D46" w:rsidRDefault="000D4308" w:rsidP="00F57D67">
      <w:pPr>
        <w:pStyle w:val="ListParagraph"/>
        <w:numPr>
          <w:ilvl w:val="0"/>
          <w:numId w:val="4"/>
        </w:numPr>
        <w:spacing w:line="720" w:lineRule="auto"/>
        <w:jc w:val="both"/>
        <w:rPr>
          <w:b/>
        </w:rPr>
      </w:pPr>
      <w:r w:rsidRPr="000D4308">
        <w:rPr>
          <w:b/>
        </w:rPr>
        <w:t>The appeal be and is hereby dismissed; and</w:t>
      </w:r>
    </w:p>
    <w:p w:rsidR="000D4308" w:rsidRPr="00543D46" w:rsidRDefault="000D4308" w:rsidP="00F57D67">
      <w:pPr>
        <w:pStyle w:val="ListParagraph"/>
        <w:numPr>
          <w:ilvl w:val="0"/>
          <w:numId w:val="4"/>
        </w:numPr>
        <w:spacing w:line="720" w:lineRule="auto"/>
        <w:jc w:val="both"/>
        <w:rPr>
          <w:b/>
        </w:rPr>
      </w:pPr>
      <w:r w:rsidRPr="00543D46">
        <w:rPr>
          <w:b/>
        </w:rPr>
        <w:t>Each party shall bear its own costs.</w:t>
      </w:r>
    </w:p>
    <w:p w:rsidR="000D4308" w:rsidRDefault="000D4308" w:rsidP="00F10B62">
      <w:pPr>
        <w:pStyle w:val="ListParagraph"/>
        <w:spacing w:line="480" w:lineRule="auto"/>
        <w:jc w:val="both"/>
        <w:rPr>
          <w:b/>
        </w:rPr>
      </w:pPr>
    </w:p>
    <w:p w:rsidR="000D4308" w:rsidRDefault="000D4308" w:rsidP="000D4308">
      <w:pPr>
        <w:pStyle w:val="ListParagraph"/>
        <w:spacing w:line="360" w:lineRule="auto"/>
        <w:jc w:val="both"/>
        <w:rPr>
          <w:b/>
        </w:rPr>
      </w:pPr>
    </w:p>
    <w:p w:rsidR="000D4308" w:rsidRPr="008C1574" w:rsidRDefault="003F02C1" w:rsidP="000D4308">
      <w:pPr>
        <w:pStyle w:val="ListParagraph"/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0D4308" w:rsidRDefault="003F02C1" w:rsidP="000D4308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G. </w:t>
      </w:r>
      <w:r w:rsidR="000D4308">
        <w:rPr>
          <w:b/>
        </w:rPr>
        <w:t>MUSARIRI</w:t>
      </w:r>
    </w:p>
    <w:p w:rsidR="000D4308" w:rsidRDefault="000D4308" w:rsidP="000D4308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</w:t>
      </w:r>
    </w:p>
    <w:p w:rsidR="000D4308" w:rsidRDefault="000D4308" w:rsidP="00DA674D">
      <w:pPr>
        <w:spacing w:line="360" w:lineRule="auto"/>
        <w:jc w:val="both"/>
      </w:pPr>
    </w:p>
    <w:sectPr w:rsidR="000D4308" w:rsidSect="005B35A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0B" w:rsidRDefault="001B040B" w:rsidP="005B35AF">
      <w:r>
        <w:separator/>
      </w:r>
    </w:p>
  </w:endnote>
  <w:endnote w:type="continuationSeparator" w:id="0">
    <w:p w:rsidR="001B040B" w:rsidRDefault="001B040B" w:rsidP="005B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918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452" w:rsidRDefault="00AF24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7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452" w:rsidRDefault="00AF2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0B" w:rsidRDefault="001B040B" w:rsidP="005B35AF">
      <w:r>
        <w:separator/>
      </w:r>
    </w:p>
  </w:footnote>
  <w:footnote w:type="continuationSeparator" w:id="0">
    <w:p w:rsidR="001B040B" w:rsidRDefault="001B040B" w:rsidP="005B3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52" w:rsidRPr="005B35AF" w:rsidRDefault="00AF2452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F10B62">
      <w:rPr>
        <w:lang w:val="en-ZW"/>
      </w:rPr>
      <w:t>229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08DE"/>
    <w:multiLevelType w:val="hybridMultilevel"/>
    <w:tmpl w:val="D3F6FBA6"/>
    <w:lvl w:ilvl="0" w:tplc="3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23127"/>
    <w:multiLevelType w:val="hybridMultilevel"/>
    <w:tmpl w:val="504E45F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7EA4"/>
    <w:multiLevelType w:val="hybridMultilevel"/>
    <w:tmpl w:val="3882411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FD"/>
    <w:rsid w:val="000470EB"/>
    <w:rsid w:val="0006302C"/>
    <w:rsid w:val="00076A4D"/>
    <w:rsid w:val="00080857"/>
    <w:rsid w:val="000D4308"/>
    <w:rsid w:val="000D494E"/>
    <w:rsid w:val="000F3A03"/>
    <w:rsid w:val="00146656"/>
    <w:rsid w:val="001662F3"/>
    <w:rsid w:val="00177090"/>
    <w:rsid w:val="001B040B"/>
    <w:rsid w:val="001E7BEE"/>
    <w:rsid w:val="001F7F34"/>
    <w:rsid w:val="00202F46"/>
    <w:rsid w:val="00283207"/>
    <w:rsid w:val="002940A4"/>
    <w:rsid w:val="003A30D0"/>
    <w:rsid w:val="003F02C1"/>
    <w:rsid w:val="004019FB"/>
    <w:rsid w:val="004343C0"/>
    <w:rsid w:val="004404B7"/>
    <w:rsid w:val="004D085B"/>
    <w:rsid w:val="004E6E06"/>
    <w:rsid w:val="00524D6C"/>
    <w:rsid w:val="00534DC1"/>
    <w:rsid w:val="00543D46"/>
    <w:rsid w:val="005B35AF"/>
    <w:rsid w:val="005B6F8E"/>
    <w:rsid w:val="005E7D81"/>
    <w:rsid w:val="00673EFD"/>
    <w:rsid w:val="00685617"/>
    <w:rsid w:val="00685D94"/>
    <w:rsid w:val="00687DC8"/>
    <w:rsid w:val="006C5499"/>
    <w:rsid w:val="00713FD4"/>
    <w:rsid w:val="0075464B"/>
    <w:rsid w:val="00793269"/>
    <w:rsid w:val="007A2DFD"/>
    <w:rsid w:val="00807063"/>
    <w:rsid w:val="00865AFA"/>
    <w:rsid w:val="008C4467"/>
    <w:rsid w:val="00902F28"/>
    <w:rsid w:val="009B0C6B"/>
    <w:rsid w:val="009E5BE6"/>
    <w:rsid w:val="00A42C1A"/>
    <w:rsid w:val="00A73516"/>
    <w:rsid w:val="00AA3EC8"/>
    <w:rsid w:val="00AB666B"/>
    <w:rsid w:val="00AF2452"/>
    <w:rsid w:val="00B60D15"/>
    <w:rsid w:val="00B61790"/>
    <w:rsid w:val="00B817E1"/>
    <w:rsid w:val="00B90126"/>
    <w:rsid w:val="00BF48F5"/>
    <w:rsid w:val="00C1500F"/>
    <w:rsid w:val="00C31E11"/>
    <w:rsid w:val="00C934F1"/>
    <w:rsid w:val="00D46428"/>
    <w:rsid w:val="00DA674D"/>
    <w:rsid w:val="00DA7617"/>
    <w:rsid w:val="00DD51AF"/>
    <w:rsid w:val="00E061E8"/>
    <w:rsid w:val="00E94A9C"/>
    <w:rsid w:val="00F06021"/>
    <w:rsid w:val="00F10B62"/>
    <w:rsid w:val="00F24511"/>
    <w:rsid w:val="00F57D67"/>
    <w:rsid w:val="00F72A46"/>
    <w:rsid w:val="00F87A9A"/>
    <w:rsid w:val="00F96D2F"/>
    <w:rsid w:val="00FA0017"/>
    <w:rsid w:val="00FC2C6C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FD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5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AF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35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AF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FD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5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AF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35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AF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2016-04-14T09:41:00Z</cp:lastPrinted>
  <dcterms:created xsi:type="dcterms:W3CDTF">2016-04-12T06:46:00Z</dcterms:created>
  <dcterms:modified xsi:type="dcterms:W3CDTF">2016-04-14T13:16:00Z</dcterms:modified>
</cp:coreProperties>
</file>