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7A9" w:rsidRDefault="00B15EE3" w:rsidP="00106D16">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ZIMBABWE UNITED PASSENGER COMPANY LTD</w:t>
      </w:r>
    </w:p>
    <w:p w:rsidR="00B15EE3" w:rsidRDefault="000A4F8B" w:rsidP="00106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B15EE3">
        <w:rPr>
          <w:rFonts w:ascii="Times New Roman" w:hAnsi="Times New Roman" w:cs="Times New Roman"/>
          <w:sz w:val="24"/>
          <w:szCs w:val="24"/>
        </w:rPr>
        <w:t>ersus</w:t>
      </w:r>
    </w:p>
    <w:p w:rsidR="00B15EE3" w:rsidRDefault="00B15EE3" w:rsidP="00106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CHRISTIAN VAN WYK</w:t>
      </w:r>
    </w:p>
    <w:p w:rsidR="00F91479" w:rsidRDefault="00F91479" w:rsidP="00F91479">
      <w:pPr>
        <w:spacing w:line="240" w:lineRule="auto"/>
        <w:jc w:val="both"/>
        <w:rPr>
          <w:rFonts w:ascii="Times New Roman" w:hAnsi="Times New Roman" w:cs="Times New Roman"/>
          <w:sz w:val="24"/>
          <w:szCs w:val="24"/>
        </w:rPr>
      </w:pPr>
    </w:p>
    <w:p w:rsidR="00B15EE3" w:rsidRDefault="00B15EE3" w:rsidP="00106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B15EE3" w:rsidRDefault="00B15EE3" w:rsidP="00106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B15EE3" w:rsidRDefault="00485E11" w:rsidP="00106D1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22, </w:t>
      </w:r>
      <w:r w:rsidR="00B15EE3">
        <w:rPr>
          <w:rFonts w:ascii="Times New Roman" w:hAnsi="Times New Roman" w:cs="Times New Roman"/>
          <w:sz w:val="24"/>
          <w:szCs w:val="24"/>
        </w:rPr>
        <w:t xml:space="preserve">23 January </w:t>
      </w:r>
      <w:r>
        <w:rPr>
          <w:rFonts w:ascii="Times New Roman" w:hAnsi="Times New Roman" w:cs="Times New Roman"/>
          <w:sz w:val="24"/>
          <w:szCs w:val="24"/>
        </w:rPr>
        <w:t xml:space="preserve">and 14 February </w:t>
      </w:r>
      <w:r w:rsidR="00B15EE3">
        <w:rPr>
          <w:rFonts w:ascii="Times New Roman" w:hAnsi="Times New Roman" w:cs="Times New Roman"/>
          <w:sz w:val="24"/>
          <w:szCs w:val="24"/>
        </w:rPr>
        <w:t>2018</w:t>
      </w:r>
    </w:p>
    <w:p w:rsidR="00106D16" w:rsidRDefault="00106D16" w:rsidP="00AB0FC7">
      <w:pPr>
        <w:spacing w:line="360" w:lineRule="auto"/>
        <w:jc w:val="both"/>
        <w:rPr>
          <w:rFonts w:ascii="Times New Roman" w:hAnsi="Times New Roman" w:cs="Times New Roman"/>
          <w:b/>
          <w:sz w:val="24"/>
          <w:szCs w:val="24"/>
        </w:rPr>
      </w:pPr>
    </w:p>
    <w:p w:rsidR="00106D16" w:rsidRDefault="00106D16" w:rsidP="00AB0FC7">
      <w:pPr>
        <w:spacing w:line="360" w:lineRule="auto"/>
        <w:jc w:val="both"/>
        <w:rPr>
          <w:rFonts w:ascii="Times New Roman" w:hAnsi="Times New Roman" w:cs="Times New Roman"/>
          <w:b/>
          <w:sz w:val="24"/>
          <w:szCs w:val="24"/>
        </w:rPr>
      </w:pPr>
    </w:p>
    <w:p w:rsidR="00B15EE3" w:rsidRPr="00F91479" w:rsidRDefault="00B15EE3" w:rsidP="00AB0FC7">
      <w:pPr>
        <w:spacing w:line="360" w:lineRule="auto"/>
        <w:jc w:val="both"/>
        <w:rPr>
          <w:rFonts w:ascii="Times New Roman" w:hAnsi="Times New Roman" w:cs="Times New Roman"/>
          <w:b/>
          <w:sz w:val="24"/>
          <w:szCs w:val="24"/>
        </w:rPr>
      </w:pPr>
      <w:r w:rsidRPr="00F91479">
        <w:rPr>
          <w:rFonts w:ascii="Times New Roman" w:hAnsi="Times New Roman" w:cs="Times New Roman"/>
          <w:b/>
          <w:sz w:val="24"/>
          <w:szCs w:val="24"/>
        </w:rPr>
        <w:t>Civil Trial</w:t>
      </w:r>
    </w:p>
    <w:p w:rsidR="00106D16" w:rsidRDefault="00106D16" w:rsidP="00106D16">
      <w:pPr>
        <w:spacing w:after="0" w:line="240" w:lineRule="auto"/>
        <w:jc w:val="both"/>
        <w:rPr>
          <w:rFonts w:ascii="Times New Roman" w:hAnsi="Times New Roman" w:cs="Times New Roman"/>
          <w:i/>
          <w:sz w:val="24"/>
          <w:szCs w:val="24"/>
        </w:rPr>
      </w:pPr>
    </w:p>
    <w:p w:rsidR="00B15EE3" w:rsidRDefault="00B15EE3" w:rsidP="00106D16">
      <w:pPr>
        <w:spacing w:after="0" w:line="240" w:lineRule="auto"/>
        <w:jc w:val="both"/>
        <w:rPr>
          <w:rFonts w:ascii="Times New Roman" w:hAnsi="Times New Roman" w:cs="Times New Roman"/>
          <w:sz w:val="24"/>
          <w:szCs w:val="24"/>
        </w:rPr>
      </w:pPr>
      <w:r w:rsidRPr="00106D16">
        <w:rPr>
          <w:rFonts w:ascii="Times New Roman" w:hAnsi="Times New Roman" w:cs="Times New Roman"/>
          <w:i/>
          <w:sz w:val="24"/>
          <w:szCs w:val="24"/>
        </w:rPr>
        <w:t>C. Mavhondo</w:t>
      </w:r>
      <w:r>
        <w:rPr>
          <w:rFonts w:ascii="Times New Roman" w:hAnsi="Times New Roman" w:cs="Times New Roman"/>
          <w:sz w:val="24"/>
          <w:szCs w:val="24"/>
        </w:rPr>
        <w:t>, for plaintiff</w:t>
      </w:r>
    </w:p>
    <w:p w:rsidR="00B15EE3" w:rsidRDefault="00B15EE3" w:rsidP="00106D16">
      <w:pPr>
        <w:spacing w:after="0" w:line="240" w:lineRule="auto"/>
        <w:jc w:val="both"/>
        <w:rPr>
          <w:rFonts w:ascii="Times New Roman" w:hAnsi="Times New Roman" w:cs="Times New Roman"/>
          <w:sz w:val="24"/>
          <w:szCs w:val="24"/>
        </w:rPr>
      </w:pPr>
      <w:r w:rsidRPr="00106D16">
        <w:rPr>
          <w:rFonts w:ascii="Times New Roman" w:hAnsi="Times New Roman" w:cs="Times New Roman"/>
          <w:i/>
          <w:sz w:val="24"/>
          <w:szCs w:val="24"/>
        </w:rPr>
        <w:t>Z. C. Ncube</w:t>
      </w:r>
      <w:r>
        <w:rPr>
          <w:rFonts w:ascii="Times New Roman" w:hAnsi="Times New Roman" w:cs="Times New Roman"/>
          <w:sz w:val="24"/>
          <w:szCs w:val="24"/>
        </w:rPr>
        <w:t>, for defendant</w:t>
      </w:r>
    </w:p>
    <w:p w:rsidR="00106D16" w:rsidRDefault="00106D16" w:rsidP="00106D16">
      <w:pPr>
        <w:spacing w:after="0" w:line="240" w:lineRule="auto"/>
        <w:jc w:val="both"/>
        <w:rPr>
          <w:rFonts w:ascii="Times New Roman" w:hAnsi="Times New Roman" w:cs="Times New Roman"/>
          <w:sz w:val="24"/>
          <w:szCs w:val="24"/>
        </w:rPr>
      </w:pPr>
    </w:p>
    <w:p w:rsidR="00076220" w:rsidRDefault="00076220"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MUSAKWA J:</w:t>
      </w:r>
      <w:r w:rsidR="00562540">
        <w:rPr>
          <w:rFonts w:ascii="Times New Roman" w:hAnsi="Times New Roman" w:cs="Times New Roman"/>
          <w:sz w:val="24"/>
          <w:szCs w:val="24"/>
        </w:rPr>
        <w:t xml:space="preserve"> This is a delictual claim</w:t>
      </w:r>
      <w:r w:rsidR="00DB2695">
        <w:rPr>
          <w:rFonts w:ascii="Times New Roman" w:hAnsi="Times New Roman" w:cs="Times New Roman"/>
          <w:sz w:val="24"/>
          <w:szCs w:val="24"/>
        </w:rPr>
        <w:t xml:space="preserve"> for damages</w:t>
      </w:r>
      <w:r w:rsidR="00562540">
        <w:rPr>
          <w:rFonts w:ascii="Times New Roman" w:hAnsi="Times New Roman" w:cs="Times New Roman"/>
          <w:sz w:val="24"/>
          <w:szCs w:val="24"/>
        </w:rPr>
        <w:t xml:space="preserve"> arising from a collision between a bus belonging to the plaintiff and a tractor</w:t>
      </w:r>
      <w:r w:rsidR="00C23961">
        <w:rPr>
          <w:rFonts w:ascii="Times New Roman" w:hAnsi="Times New Roman" w:cs="Times New Roman"/>
          <w:sz w:val="24"/>
          <w:szCs w:val="24"/>
        </w:rPr>
        <w:t xml:space="preserve"> and trailer</w:t>
      </w:r>
      <w:r w:rsidR="00562540">
        <w:rPr>
          <w:rFonts w:ascii="Times New Roman" w:hAnsi="Times New Roman" w:cs="Times New Roman"/>
          <w:sz w:val="24"/>
          <w:szCs w:val="24"/>
        </w:rPr>
        <w:t xml:space="preserve"> owned by the defendant.</w:t>
      </w:r>
    </w:p>
    <w:p w:rsidR="000C0003" w:rsidRDefault="000C0003"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papers show that the defendant was jointly sued with his employee, Ndaba Jena. However, the employee did not file his plea. At the time of trial the plaintiff had not sought default judgment against the employee. Interestingly the plaintiff had sought the employ</w:t>
      </w:r>
      <w:r w:rsidR="00B037F2">
        <w:rPr>
          <w:rFonts w:ascii="Times New Roman" w:hAnsi="Times New Roman" w:cs="Times New Roman"/>
          <w:sz w:val="24"/>
          <w:szCs w:val="24"/>
        </w:rPr>
        <w:t>ee to testify in its case but</w:t>
      </w:r>
      <w:r w:rsidR="005B1CB7">
        <w:rPr>
          <w:rFonts w:ascii="Times New Roman" w:hAnsi="Times New Roman" w:cs="Times New Roman"/>
          <w:sz w:val="24"/>
          <w:szCs w:val="24"/>
        </w:rPr>
        <w:t xml:space="preserve"> </w:t>
      </w:r>
      <w:r w:rsidR="00B037F2">
        <w:rPr>
          <w:rFonts w:ascii="Times New Roman" w:hAnsi="Times New Roman" w:cs="Times New Roman"/>
          <w:sz w:val="24"/>
          <w:szCs w:val="24"/>
        </w:rPr>
        <w:t>at the time</w:t>
      </w:r>
      <w:r w:rsidR="005B1CB7">
        <w:rPr>
          <w:rFonts w:ascii="Times New Roman" w:hAnsi="Times New Roman" w:cs="Times New Roman"/>
          <w:sz w:val="24"/>
          <w:szCs w:val="24"/>
        </w:rPr>
        <w:t xml:space="preserve"> of trial</w:t>
      </w:r>
      <w:r w:rsidR="00B037F2">
        <w:rPr>
          <w:rFonts w:ascii="Times New Roman" w:hAnsi="Times New Roman" w:cs="Times New Roman"/>
          <w:sz w:val="24"/>
          <w:szCs w:val="24"/>
        </w:rPr>
        <w:t xml:space="preserve"> </w:t>
      </w:r>
      <w:r>
        <w:rPr>
          <w:rFonts w:ascii="Times New Roman" w:hAnsi="Times New Roman" w:cs="Times New Roman"/>
          <w:sz w:val="24"/>
          <w:szCs w:val="24"/>
        </w:rPr>
        <w:t>the employee could not be located.</w:t>
      </w:r>
    </w:p>
    <w:p w:rsidR="00562540" w:rsidRDefault="00BB60D5"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common cause that the accident occurred at about 3:50 a.m. on 17</w:t>
      </w:r>
      <w:r w:rsidRPr="00BB60D5">
        <w:rPr>
          <w:rFonts w:ascii="Times New Roman" w:hAnsi="Times New Roman" w:cs="Times New Roman"/>
          <w:sz w:val="24"/>
          <w:szCs w:val="24"/>
          <w:vertAlign w:val="superscript"/>
        </w:rPr>
        <w:t>th</w:t>
      </w:r>
      <w:r>
        <w:rPr>
          <w:rFonts w:ascii="Times New Roman" w:hAnsi="Times New Roman" w:cs="Times New Roman"/>
          <w:sz w:val="24"/>
          <w:szCs w:val="24"/>
        </w:rPr>
        <w:t xml:space="preserve"> May 2014 and at Shangani along the Bulawayo road. The plaintiff’s bus was on its way from Mutare. On the other hand the defendant’s tractor was carrying some ore. There is a dispute whether the tractor was in motion and more fundamentally, whether the tractor driver was acting in the scope of his employment.</w:t>
      </w:r>
    </w:p>
    <w:p w:rsidR="005802F8" w:rsidRDefault="005802F8"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Wilson Banda who used to be employed by the plaintiff as a conductor testified that it was misty around Shangani. He was seated next to the driver. Just before impact he saw a tractor. Then t</w:t>
      </w:r>
      <w:r w:rsidR="00862652">
        <w:rPr>
          <w:rFonts w:ascii="Times New Roman" w:hAnsi="Times New Roman" w:cs="Times New Roman"/>
          <w:sz w:val="24"/>
          <w:szCs w:val="24"/>
        </w:rPr>
        <w:t>here was a bang and the breaking</w:t>
      </w:r>
      <w:r>
        <w:rPr>
          <w:rFonts w:ascii="Times New Roman" w:hAnsi="Times New Roman" w:cs="Times New Roman"/>
          <w:sz w:val="24"/>
          <w:szCs w:val="24"/>
        </w:rPr>
        <w:t xml:space="preserve"> of glass. Sand from the tractor entered t</w:t>
      </w:r>
      <w:r w:rsidR="0095542C">
        <w:rPr>
          <w:rFonts w:ascii="Times New Roman" w:hAnsi="Times New Roman" w:cs="Times New Roman"/>
          <w:sz w:val="24"/>
          <w:szCs w:val="24"/>
        </w:rPr>
        <w:t>he bus through the broken windscreen</w:t>
      </w:r>
      <w:r>
        <w:rPr>
          <w:rFonts w:ascii="Times New Roman" w:hAnsi="Times New Roman" w:cs="Times New Roman"/>
          <w:sz w:val="24"/>
          <w:szCs w:val="24"/>
        </w:rPr>
        <w:t>.</w:t>
      </w:r>
    </w:p>
    <w:p w:rsidR="00D53077" w:rsidRDefault="00D53077"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Upon checking the tractor the driver could not be found. There were no reflectors on the tractor. The </w:t>
      </w:r>
      <w:r w:rsidR="0002024E">
        <w:rPr>
          <w:rFonts w:ascii="Times New Roman" w:hAnsi="Times New Roman" w:cs="Times New Roman"/>
          <w:sz w:val="24"/>
          <w:szCs w:val="24"/>
        </w:rPr>
        <w:t>defendant soon</w:t>
      </w:r>
      <w:r>
        <w:rPr>
          <w:rFonts w:ascii="Times New Roman" w:hAnsi="Times New Roman" w:cs="Times New Roman"/>
          <w:sz w:val="24"/>
          <w:szCs w:val="24"/>
        </w:rPr>
        <w:t xml:space="preserve"> arrived at the scene.</w:t>
      </w:r>
      <w:r w:rsidR="0002024E">
        <w:rPr>
          <w:rFonts w:ascii="Times New Roman" w:hAnsi="Times New Roman" w:cs="Times New Roman"/>
          <w:sz w:val="24"/>
          <w:szCs w:val="24"/>
        </w:rPr>
        <w:t xml:space="preserve"> The defendant volunteered to contact Police. He also assisted the injured by taking them to hospital.</w:t>
      </w:r>
    </w:p>
    <w:p w:rsidR="003931D3" w:rsidRDefault="003931D3"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this witness he could not tell whether the tractor had been moving at the time of impact. He only observed it from a few metres. The tractor was partly in the left lane.</w:t>
      </w:r>
    </w:p>
    <w:p w:rsidR="009C6550" w:rsidRDefault="009C6550"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Gift Tapfumaneyi Rukweza, the plaintiff’s K</w:t>
      </w:r>
      <w:r w:rsidR="00316E9B">
        <w:rPr>
          <w:rFonts w:ascii="Times New Roman" w:hAnsi="Times New Roman" w:cs="Times New Roman"/>
          <w:sz w:val="24"/>
          <w:szCs w:val="24"/>
        </w:rPr>
        <w:t>hami depot manager</w:t>
      </w:r>
      <w:r w:rsidR="00862652">
        <w:rPr>
          <w:rFonts w:ascii="Times New Roman" w:hAnsi="Times New Roman" w:cs="Times New Roman"/>
          <w:sz w:val="24"/>
          <w:szCs w:val="24"/>
        </w:rPr>
        <w:t xml:space="preserve"> </w:t>
      </w:r>
      <w:r w:rsidR="002D2607">
        <w:rPr>
          <w:rFonts w:ascii="Times New Roman" w:hAnsi="Times New Roman" w:cs="Times New Roman"/>
          <w:sz w:val="24"/>
          <w:szCs w:val="24"/>
        </w:rPr>
        <w:t>the bus sustained damage to the left and front and other units. They managed to salvage the gear box and engine which were valued at $22 000. The bus had only been in use for four months after its importation as new. H</w:t>
      </w:r>
      <w:r w:rsidR="00F44561">
        <w:rPr>
          <w:rFonts w:ascii="Times New Roman" w:hAnsi="Times New Roman" w:cs="Times New Roman"/>
          <w:sz w:val="24"/>
          <w:szCs w:val="24"/>
        </w:rPr>
        <w:t>e put the landed cost at $86 643.20</w:t>
      </w:r>
      <w:r w:rsidR="002D2607">
        <w:rPr>
          <w:rFonts w:ascii="Times New Roman" w:hAnsi="Times New Roman" w:cs="Times New Roman"/>
          <w:sz w:val="24"/>
          <w:szCs w:val="24"/>
        </w:rPr>
        <w:t>.</w:t>
      </w:r>
      <w:r w:rsidR="008F7EBA">
        <w:rPr>
          <w:rFonts w:ascii="Times New Roman" w:hAnsi="Times New Roman" w:cs="Times New Roman"/>
          <w:sz w:val="24"/>
          <w:szCs w:val="24"/>
        </w:rPr>
        <w:t xml:space="preserve"> As a result of the bus having been written off, the plaintiff is claim</w:t>
      </w:r>
      <w:r w:rsidR="00F453F7">
        <w:rPr>
          <w:rFonts w:ascii="Times New Roman" w:hAnsi="Times New Roman" w:cs="Times New Roman"/>
          <w:sz w:val="24"/>
          <w:szCs w:val="24"/>
        </w:rPr>
        <w:t>ing damages amounting to $64</w:t>
      </w:r>
      <w:r w:rsidR="00F44561">
        <w:rPr>
          <w:rFonts w:ascii="Times New Roman" w:hAnsi="Times New Roman" w:cs="Times New Roman"/>
          <w:sz w:val="24"/>
          <w:szCs w:val="24"/>
        </w:rPr>
        <w:t xml:space="preserve"> </w:t>
      </w:r>
      <w:r w:rsidR="00F453F7">
        <w:rPr>
          <w:rFonts w:ascii="Times New Roman" w:hAnsi="Times New Roman" w:cs="Times New Roman"/>
          <w:sz w:val="24"/>
          <w:szCs w:val="24"/>
        </w:rPr>
        <w:t>643.20</w:t>
      </w:r>
      <w:r w:rsidR="008F7EBA">
        <w:rPr>
          <w:rFonts w:ascii="Times New Roman" w:hAnsi="Times New Roman" w:cs="Times New Roman"/>
          <w:sz w:val="24"/>
          <w:szCs w:val="24"/>
        </w:rPr>
        <w:t>.</w:t>
      </w:r>
    </w:p>
    <w:p w:rsidR="00BC5F7B" w:rsidRDefault="00BC5F7B"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justification for suing the defendant,</w:t>
      </w:r>
      <w:r w:rsidRPr="00BC5F7B">
        <w:rPr>
          <w:rFonts w:ascii="Times New Roman" w:hAnsi="Times New Roman" w:cs="Times New Roman"/>
          <w:sz w:val="24"/>
          <w:szCs w:val="24"/>
        </w:rPr>
        <w:t xml:space="preserve"> </w:t>
      </w:r>
      <w:r>
        <w:rPr>
          <w:rFonts w:ascii="Times New Roman" w:hAnsi="Times New Roman" w:cs="Times New Roman"/>
          <w:sz w:val="24"/>
          <w:szCs w:val="24"/>
        </w:rPr>
        <w:t>Gift Tapfumaneyi Rukweza stated that their driver was exonerated by Police. On the other hand the defendant’s driver paid an admission of guilt fine.</w:t>
      </w:r>
    </w:p>
    <w:p w:rsidR="003A66F6" w:rsidRDefault="00773803"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third witness for the plaintiff was Etuell Mathe, the proprietor of Coachcraft (Pvt) Ltd. The company is involved in bus </w:t>
      </w:r>
      <w:r w:rsidR="00A466F4">
        <w:rPr>
          <w:rFonts w:ascii="Times New Roman" w:hAnsi="Times New Roman" w:cs="Times New Roman"/>
          <w:sz w:val="24"/>
          <w:szCs w:val="24"/>
        </w:rPr>
        <w:t>manufacturing,</w:t>
      </w:r>
      <w:r>
        <w:rPr>
          <w:rFonts w:ascii="Times New Roman" w:hAnsi="Times New Roman" w:cs="Times New Roman"/>
          <w:sz w:val="24"/>
          <w:szCs w:val="24"/>
        </w:rPr>
        <w:t xml:space="preserve"> auto repairs and metal fabrication.</w:t>
      </w:r>
      <w:r w:rsidR="007F4B9E" w:rsidRPr="007F4B9E">
        <w:rPr>
          <w:rFonts w:ascii="Times New Roman" w:hAnsi="Times New Roman" w:cs="Times New Roman"/>
          <w:sz w:val="24"/>
          <w:szCs w:val="24"/>
        </w:rPr>
        <w:t xml:space="preserve"> </w:t>
      </w:r>
      <w:r w:rsidR="007F4B9E">
        <w:rPr>
          <w:rFonts w:ascii="Times New Roman" w:hAnsi="Times New Roman" w:cs="Times New Roman"/>
          <w:sz w:val="24"/>
          <w:szCs w:val="24"/>
        </w:rPr>
        <w:t>Coachcraft (Pvt) Ltd was contracted by the plaintiff to provide a quotation for the repairs of its damaged bus. According to</w:t>
      </w:r>
      <w:r w:rsidR="007F4B9E" w:rsidRPr="007F4B9E">
        <w:rPr>
          <w:rFonts w:ascii="Times New Roman" w:hAnsi="Times New Roman" w:cs="Times New Roman"/>
          <w:sz w:val="24"/>
          <w:szCs w:val="24"/>
        </w:rPr>
        <w:t xml:space="preserve"> </w:t>
      </w:r>
      <w:r w:rsidR="007F4B9E">
        <w:rPr>
          <w:rFonts w:ascii="Times New Roman" w:hAnsi="Times New Roman" w:cs="Times New Roman"/>
          <w:sz w:val="24"/>
          <w:szCs w:val="24"/>
        </w:rPr>
        <w:t>Etuell Mathe</w:t>
      </w:r>
      <w:r w:rsidR="00962D1B">
        <w:rPr>
          <w:rFonts w:ascii="Times New Roman" w:hAnsi="Times New Roman" w:cs="Times New Roman"/>
          <w:sz w:val="24"/>
          <w:szCs w:val="24"/>
        </w:rPr>
        <w:t xml:space="preserve"> the bus had extensive damages on the left side from the front to the door. The rest of the body was twisted with some panels missing. The chassis was also twisted. The </w:t>
      </w:r>
      <w:r w:rsidR="00E83D50">
        <w:rPr>
          <w:rFonts w:ascii="Times New Roman" w:hAnsi="Times New Roman" w:cs="Times New Roman"/>
          <w:sz w:val="24"/>
          <w:szCs w:val="24"/>
        </w:rPr>
        <w:t>radiator was also damaged. The repair costs were put at $70 000. Given the landed cost for the bus</w:t>
      </w:r>
      <w:r w:rsidR="00E83D50" w:rsidRPr="00E83D50">
        <w:rPr>
          <w:rFonts w:ascii="Times New Roman" w:hAnsi="Times New Roman" w:cs="Times New Roman"/>
          <w:sz w:val="24"/>
          <w:szCs w:val="24"/>
        </w:rPr>
        <w:t xml:space="preserve"> </w:t>
      </w:r>
      <w:r w:rsidR="00E83D50">
        <w:rPr>
          <w:rFonts w:ascii="Times New Roman" w:hAnsi="Times New Roman" w:cs="Times New Roman"/>
          <w:sz w:val="24"/>
          <w:szCs w:val="24"/>
        </w:rPr>
        <w:t>Coachcraft (Pvt) Ltd recommended that it be written off. Much issue was made of</w:t>
      </w:r>
      <w:r w:rsidR="00E83D50" w:rsidRPr="00E83D50">
        <w:rPr>
          <w:rFonts w:ascii="Times New Roman" w:hAnsi="Times New Roman" w:cs="Times New Roman"/>
          <w:sz w:val="24"/>
          <w:szCs w:val="24"/>
        </w:rPr>
        <w:t xml:space="preserve"> </w:t>
      </w:r>
      <w:r w:rsidR="00E83D50">
        <w:rPr>
          <w:rFonts w:ascii="Times New Roman" w:hAnsi="Times New Roman" w:cs="Times New Roman"/>
          <w:sz w:val="24"/>
          <w:szCs w:val="24"/>
        </w:rPr>
        <w:t>Coachcraft (Pvt) Ltd’s charges for labour as they turned out to be the major cost in the quotation.</w:t>
      </w:r>
      <w:r w:rsidR="0095542C">
        <w:rPr>
          <w:rFonts w:ascii="Times New Roman" w:hAnsi="Times New Roman" w:cs="Times New Roman"/>
          <w:sz w:val="24"/>
          <w:szCs w:val="24"/>
        </w:rPr>
        <w:t xml:space="preserve"> </w:t>
      </w:r>
    </w:p>
    <w:p w:rsidR="00685261" w:rsidRDefault="003A66F6"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867395">
        <w:rPr>
          <w:rFonts w:ascii="Times New Roman" w:hAnsi="Times New Roman" w:cs="Times New Roman"/>
          <w:sz w:val="24"/>
          <w:szCs w:val="24"/>
        </w:rPr>
        <w:t>testified that he is a director in a company that is engaged in small</w:t>
      </w:r>
      <w:r w:rsidR="009C1D15">
        <w:rPr>
          <w:rFonts w:ascii="Times New Roman" w:hAnsi="Times New Roman" w:cs="Times New Roman"/>
          <w:sz w:val="24"/>
          <w:szCs w:val="24"/>
        </w:rPr>
        <w:t xml:space="preserve"> </w:t>
      </w:r>
      <w:r w:rsidR="00867395">
        <w:rPr>
          <w:rFonts w:ascii="Times New Roman" w:hAnsi="Times New Roman" w:cs="Times New Roman"/>
          <w:sz w:val="24"/>
          <w:szCs w:val="24"/>
        </w:rPr>
        <w:t>scale mining.</w:t>
      </w:r>
      <w:r w:rsidR="00DC6893">
        <w:rPr>
          <w:rFonts w:ascii="Times New Roman" w:hAnsi="Times New Roman" w:cs="Times New Roman"/>
          <w:sz w:val="24"/>
          <w:szCs w:val="24"/>
        </w:rPr>
        <w:t xml:space="preserve"> He confirmed that Ndaba Jena was in his employ as a tractor driver at the time of the accident.</w:t>
      </w:r>
      <w:r w:rsidR="00E83D50">
        <w:rPr>
          <w:rFonts w:ascii="Times New Roman" w:hAnsi="Times New Roman" w:cs="Times New Roman"/>
          <w:sz w:val="24"/>
          <w:szCs w:val="24"/>
        </w:rPr>
        <w:t xml:space="preserve"> </w:t>
      </w:r>
      <w:r w:rsidR="00685261">
        <w:rPr>
          <w:rFonts w:ascii="Times New Roman" w:hAnsi="Times New Roman" w:cs="Times New Roman"/>
          <w:sz w:val="24"/>
          <w:szCs w:val="24"/>
        </w:rPr>
        <w:t xml:space="preserve">Ndaba Jena’s job description was given as transportation of ore from </w:t>
      </w:r>
      <w:r w:rsidR="00691DA9">
        <w:rPr>
          <w:rFonts w:ascii="Times New Roman" w:hAnsi="Times New Roman" w:cs="Times New Roman"/>
          <w:sz w:val="24"/>
          <w:szCs w:val="24"/>
        </w:rPr>
        <w:t xml:space="preserve">the </w:t>
      </w:r>
      <w:r w:rsidR="00685261">
        <w:rPr>
          <w:rFonts w:ascii="Times New Roman" w:hAnsi="Times New Roman" w:cs="Times New Roman"/>
          <w:sz w:val="24"/>
          <w:szCs w:val="24"/>
        </w:rPr>
        <w:t xml:space="preserve">mine to the processing plant. When not </w:t>
      </w:r>
      <w:r w:rsidR="00691DA9">
        <w:rPr>
          <w:rFonts w:ascii="Times New Roman" w:hAnsi="Times New Roman" w:cs="Times New Roman"/>
          <w:sz w:val="24"/>
          <w:szCs w:val="24"/>
        </w:rPr>
        <w:t xml:space="preserve">engaged in </w:t>
      </w:r>
      <w:r w:rsidR="00685261">
        <w:rPr>
          <w:rFonts w:ascii="Times New Roman" w:hAnsi="Times New Roman" w:cs="Times New Roman"/>
          <w:sz w:val="24"/>
          <w:szCs w:val="24"/>
        </w:rPr>
        <w:t>driving</w:t>
      </w:r>
      <w:r w:rsidR="00691DA9">
        <w:rPr>
          <w:rFonts w:ascii="Times New Roman" w:hAnsi="Times New Roman" w:cs="Times New Roman"/>
          <w:sz w:val="24"/>
          <w:szCs w:val="24"/>
        </w:rPr>
        <w:t xml:space="preserve"> duties</w:t>
      </w:r>
      <w:r w:rsidR="00685261">
        <w:rPr>
          <w:rFonts w:ascii="Times New Roman" w:hAnsi="Times New Roman" w:cs="Times New Roman"/>
          <w:sz w:val="24"/>
          <w:szCs w:val="24"/>
        </w:rPr>
        <w:t xml:space="preserve"> Ndaba</w:t>
      </w:r>
      <w:r w:rsidR="00691DA9">
        <w:rPr>
          <w:rFonts w:ascii="Times New Roman" w:hAnsi="Times New Roman" w:cs="Times New Roman"/>
          <w:sz w:val="24"/>
          <w:szCs w:val="24"/>
        </w:rPr>
        <w:t xml:space="preserve"> Jena also serviced machinery</w:t>
      </w:r>
      <w:r w:rsidR="00685261">
        <w:rPr>
          <w:rFonts w:ascii="Times New Roman" w:hAnsi="Times New Roman" w:cs="Times New Roman"/>
          <w:sz w:val="24"/>
          <w:szCs w:val="24"/>
        </w:rPr>
        <w:t xml:space="preserve"> at the garage.</w:t>
      </w:r>
    </w:p>
    <w:p w:rsidR="00060A2E" w:rsidRDefault="00685261"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confirmed that Ndaba Jena was in charge of the tractor when the accident occurred.</w:t>
      </w:r>
      <w:r w:rsidR="0032318D">
        <w:rPr>
          <w:rFonts w:ascii="Times New Roman" w:hAnsi="Times New Roman" w:cs="Times New Roman"/>
          <w:sz w:val="24"/>
          <w:szCs w:val="24"/>
        </w:rPr>
        <w:t xml:space="preserve"> He however disputed liability on two grounds. Firstly, according to him there was a standing instruction against driving on public roads. Secondly, there was a standing instruction against driving after sunset and before sunrise.</w:t>
      </w:r>
      <w:r w:rsidR="001C5745">
        <w:rPr>
          <w:rFonts w:ascii="Times New Roman" w:hAnsi="Times New Roman" w:cs="Times New Roman"/>
          <w:sz w:val="24"/>
          <w:szCs w:val="24"/>
        </w:rPr>
        <w:t xml:space="preserve"> The hours of work were thus 7 a.m. to 3 p.m.</w:t>
      </w:r>
      <w:r w:rsidR="00060A2E">
        <w:rPr>
          <w:rFonts w:ascii="Times New Roman" w:hAnsi="Times New Roman" w:cs="Times New Roman"/>
          <w:sz w:val="24"/>
          <w:szCs w:val="24"/>
        </w:rPr>
        <w:t xml:space="preserve"> </w:t>
      </w:r>
    </w:p>
    <w:p w:rsidR="00060A2E" w:rsidRDefault="00060A2E"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scene of accident the defendant explained that this was approximately some three kilometres from Shangani Mine turn off towards Gweru. It is between six and seven kilometres from the mine to the accident scene. He was alerted about the accident by a worker and he rushed to the scene. </w:t>
      </w:r>
    </w:p>
    <w:p w:rsidR="00D92904" w:rsidRDefault="00060A2E"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also explained in detail how the driver was supposed to move from the mine to the processing plant. According to him the driver and loader were based at the mine. Once the tractor was loaded</w:t>
      </w:r>
      <w:r w:rsidR="002F67E3">
        <w:rPr>
          <w:rFonts w:ascii="Times New Roman" w:hAnsi="Times New Roman" w:cs="Times New Roman"/>
          <w:sz w:val="24"/>
          <w:szCs w:val="24"/>
        </w:rPr>
        <w:t xml:space="preserve"> the driver proceeded along some private farm roads. He would </w:t>
      </w:r>
      <w:r w:rsidR="002F67E3">
        <w:rPr>
          <w:rFonts w:ascii="Times New Roman" w:hAnsi="Times New Roman" w:cs="Times New Roman"/>
          <w:sz w:val="24"/>
          <w:szCs w:val="24"/>
        </w:rPr>
        <w:lastRenderedPageBreak/>
        <w:t>cross a public road and continue along a private road until he reached the plant. There were two such routes that could be used. In the present case the driver had left those routes and was moving away from where he was supposed to turn in order to go to the plant.</w:t>
      </w:r>
    </w:p>
    <w:p w:rsidR="00D83B2F" w:rsidRDefault="00D92904"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also explained the shift roster that the driver completed. It records the starting time, the nature of work done and the knock off time.</w:t>
      </w:r>
      <w:r w:rsidR="00D83B2F">
        <w:rPr>
          <w:rFonts w:ascii="Times New Roman" w:hAnsi="Times New Roman" w:cs="Times New Roman"/>
          <w:sz w:val="24"/>
          <w:szCs w:val="24"/>
        </w:rPr>
        <w:t xml:space="preserve"> It is signed by the employee and sometimes by the supervisor depending with the latter’s availability. The defendant had no idea where the ore w</w:t>
      </w:r>
      <w:r w:rsidR="00B02666">
        <w:rPr>
          <w:rFonts w:ascii="Times New Roman" w:hAnsi="Times New Roman" w:cs="Times New Roman"/>
          <w:sz w:val="24"/>
          <w:szCs w:val="24"/>
        </w:rPr>
        <w:t xml:space="preserve">as being taken. It seems </w:t>
      </w:r>
      <w:r w:rsidR="00ED1B49">
        <w:rPr>
          <w:rFonts w:ascii="Times New Roman" w:hAnsi="Times New Roman" w:cs="Times New Roman"/>
          <w:sz w:val="24"/>
          <w:szCs w:val="24"/>
        </w:rPr>
        <w:t xml:space="preserve">the defendant did not </w:t>
      </w:r>
      <w:r w:rsidR="00B65307">
        <w:rPr>
          <w:rFonts w:ascii="Times New Roman" w:hAnsi="Times New Roman" w:cs="Times New Roman"/>
          <w:sz w:val="24"/>
          <w:szCs w:val="24"/>
        </w:rPr>
        <w:t>attempt to have this aspect established</w:t>
      </w:r>
      <w:r w:rsidR="00D83B2F">
        <w:rPr>
          <w:rFonts w:ascii="Times New Roman" w:hAnsi="Times New Roman" w:cs="Times New Roman"/>
          <w:sz w:val="24"/>
          <w:szCs w:val="24"/>
        </w:rPr>
        <w:t>.</w:t>
      </w:r>
    </w:p>
    <w:p w:rsidR="00716C3C" w:rsidRDefault="00D83B2F"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also stated that a month before the accident Ndaba Jena had been cautioned by Police officers for driving on a public road. The defendant had been alerted of this development </w:t>
      </w:r>
      <w:r w:rsidR="00605188">
        <w:rPr>
          <w:rFonts w:ascii="Times New Roman" w:hAnsi="Times New Roman" w:cs="Times New Roman"/>
          <w:sz w:val="24"/>
          <w:szCs w:val="24"/>
        </w:rPr>
        <w:t xml:space="preserve">on the very day </w:t>
      </w:r>
      <w:r>
        <w:rPr>
          <w:rFonts w:ascii="Times New Roman" w:hAnsi="Times New Roman" w:cs="Times New Roman"/>
          <w:sz w:val="24"/>
          <w:szCs w:val="24"/>
        </w:rPr>
        <w:t>and he also cautioned Ndaba Jena. For a while</w:t>
      </w:r>
      <w:r w:rsidR="00EC02E5">
        <w:rPr>
          <w:rFonts w:ascii="Times New Roman" w:hAnsi="Times New Roman" w:cs="Times New Roman"/>
          <w:sz w:val="24"/>
          <w:szCs w:val="24"/>
        </w:rPr>
        <w:t xml:space="preserve"> after the incident leading to the present proceedings</w:t>
      </w:r>
      <w:r w:rsidRPr="00D83B2F">
        <w:rPr>
          <w:rFonts w:ascii="Times New Roman" w:hAnsi="Times New Roman" w:cs="Times New Roman"/>
          <w:sz w:val="24"/>
          <w:szCs w:val="24"/>
        </w:rPr>
        <w:t xml:space="preserve"> </w:t>
      </w:r>
      <w:r>
        <w:rPr>
          <w:rFonts w:ascii="Times New Roman" w:hAnsi="Times New Roman" w:cs="Times New Roman"/>
          <w:sz w:val="24"/>
          <w:szCs w:val="24"/>
        </w:rPr>
        <w:t>Ndaba Jena</w:t>
      </w:r>
      <w:r w:rsidR="00EC02E5">
        <w:rPr>
          <w:rFonts w:ascii="Times New Roman" w:hAnsi="Times New Roman" w:cs="Times New Roman"/>
          <w:sz w:val="24"/>
          <w:szCs w:val="24"/>
        </w:rPr>
        <w:t xml:space="preserve"> is said to have</w:t>
      </w:r>
      <w:r>
        <w:rPr>
          <w:rFonts w:ascii="Times New Roman" w:hAnsi="Times New Roman" w:cs="Times New Roman"/>
          <w:sz w:val="24"/>
          <w:szCs w:val="24"/>
        </w:rPr>
        <w:t xml:space="preserve"> stopped driving but subsequently resumed his duties. Ndaba Jena subsequently resigned on 19 February 2015. This was after he had gone away without leave of absence.</w:t>
      </w:r>
    </w:p>
    <w:p w:rsidR="00510E4B" w:rsidRDefault="00716C3C"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Concerning the tractor, the defendant stated that it was new. He had not registered </w:t>
      </w:r>
      <w:r w:rsidR="007C22DE">
        <w:rPr>
          <w:rFonts w:ascii="Times New Roman" w:hAnsi="Times New Roman" w:cs="Times New Roman"/>
          <w:sz w:val="24"/>
          <w:szCs w:val="24"/>
        </w:rPr>
        <w:t xml:space="preserve">it </w:t>
      </w:r>
      <w:r>
        <w:rPr>
          <w:rFonts w:ascii="Times New Roman" w:hAnsi="Times New Roman" w:cs="Times New Roman"/>
          <w:sz w:val="24"/>
          <w:szCs w:val="24"/>
        </w:rPr>
        <w:t xml:space="preserve">because he did not intend to use it on public roads. The </w:t>
      </w:r>
      <w:r w:rsidR="007C22DE">
        <w:rPr>
          <w:rFonts w:ascii="Times New Roman" w:hAnsi="Times New Roman" w:cs="Times New Roman"/>
          <w:sz w:val="24"/>
          <w:szCs w:val="24"/>
        </w:rPr>
        <w:t xml:space="preserve">tractor had lights but the trailer did not. Ndaba Jena </w:t>
      </w:r>
      <w:r>
        <w:rPr>
          <w:rFonts w:ascii="Times New Roman" w:hAnsi="Times New Roman" w:cs="Times New Roman"/>
          <w:sz w:val="24"/>
          <w:szCs w:val="24"/>
        </w:rPr>
        <w:t xml:space="preserve">was fined for not having rear lights and not </w:t>
      </w:r>
      <w:r w:rsidR="00C95023">
        <w:rPr>
          <w:rFonts w:ascii="Times New Roman" w:hAnsi="Times New Roman" w:cs="Times New Roman"/>
          <w:sz w:val="24"/>
          <w:szCs w:val="24"/>
        </w:rPr>
        <w:t>displaying rear</w:t>
      </w:r>
      <w:r>
        <w:rPr>
          <w:rFonts w:ascii="Times New Roman" w:hAnsi="Times New Roman" w:cs="Times New Roman"/>
          <w:sz w:val="24"/>
          <w:szCs w:val="24"/>
        </w:rPr>
        <w:t xml:space="preserve"> warning signs.</w:t>
      </w:r>
      <w:r w:rsidR="00C95023">
        <w:rPr>
          <w:rFonts w:ascii="Times New Roman" w:hAnsi="Times New Roman" w:cs="Times New Roman"/>
          <w:sz w:val="24"/>
          <w:szCs w:val="24"/>
        </w:rPr>
        <w:t xml:space="preserve"> As for the position of the trailer and tractor he established that they were partly on and off the road. </w:t>
      </w:r>
      <w:r w:rsidR="00D83B2F">
        <w:rPr>
          <w:rFonts w:ascii="Times New Roman" w:hAnsi="Times New Roman" w:cs="Times New Roman"/>
          <w:sz w:val="24"/>
          <w:szCs w:val="24"/>
        </w:rPr>
        <w:t xml:space="preserve"> </w:t>
      </w:r>
    </w:p>
    <w:p w:rsidR="007F2BF7" w:rsidRDefault="00510E4B" w:rsidP="00AB0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Onias Ncube a manager for Essential Trading also testified for the defendant. He reiterated the standing instructions regarding driving on public roads.</w:t>
      </w:r>
      <w:r w:rsidR="00794780">
        <w:rPr>
          <w:rFonts w:ascii="Times New Roman" w:hAnsi="Times New Roman" w:cs="Times New Roman"/>
          <w:sz w:val="24"/>
          <w:szCs w:val="24"/>
        </w:rPr>
        <w:t xml:space="preserve"> He is the supervisor who signed Ndaba Jena’s time sheets. He explained that the many gaps in which he did not sign the time sheets were attributable to the fact that he and Ndaba Jena would be at different sites.</w:t>
      </w:r>
      <w:r w:rsidR="00232C05">
        <w:rPr>
          <w:rFonts w:ascii="Times New Roman" w:hAnsi="Times New Roman" w:cs="Times New Roman"/>
          <w:sz w:val="24"/>
          <w:szCs w:val="24"/>
        </w:rPr>
        <w:t xml:space="preserve"> Concerning the times Ndaba Jena started work earlier than 7 a.m. he explained that this required his prior approval. When this happened it was to do with effecting repairs prior to commencing work.  Workers were not paid for working overtime but they would be granted time off.</w:t>
      </w:r>
      <w:r w:rsidR="007A7339">
        <w:rPr>
          <w:rFonts w:ascii="Times New Roman" w:hAnsi="Times New Roman" w:cs="Times New Roman"/>
          <w:sz w:val="24"/>
          <w:szCs w:val="24"/>
        </w:rPr>
        <w:t xml:space="preserve"> However, on the day of the accident Ndaba Jena had not informed the witness that he was starting work early.</w:t>
      </w:r>
      <w:r w:rsidR="006A2EA4">
        <w:rPr>
          <w:rFonts w:ascii="Times New Roman" w:hAnsi="Times New Roman" w:cs="Times New Roman"/>
          <w:sz w:val="24"/>
          <w:szCs w:val="24"/>
        </w:rPr>
        <w:t xml:space="preserve"> Interestingly he stated that the loader who worked with Ndaba Jena was dismissed for theft of ore.</w:t>
      </w:r>
      <w:r w:rsidR="00EF0559">
        <w:rPr>
          <w:rFonts w:ascii="Times New Roman" w:hAnsi="Times New Roman" w:cs="Times New Roman"/>
          <w:sz w:val="24"/>
          <w:szCs w:val="24"/>
        </w:rPr>
        <w:t xml:space="preserve"> He did not check with Ndaba Jena where he had obtained the ore he was carrying. Nonetheless he disputed that Ndaba Jena was carrying the defendant’s ore. This is because Ndaba Jena had passed all the crossing points leading to the processing plant.</w:t>
      </w:r>
    </w:p>
    <w:p w:rsidR="004532D8" w:rsidRDefault="007F2BF7"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With the evidence summarised above, it is not in doubt that the plaintiff suffered patrimonial loss as a result of a collision involving the defendant’s driver. To make matters worse the defendant’s driver admitted liability for driving a vehicle with no lights and warning signs. It is irrelevant to consider whether the tractor was moving or stationary.</w:t>
      </w:r>
    </w:p>
    <w:p w:rsidR="00425693" w:rsidRDefault="004532D8"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Not much was done by the defendant to claim contributory negligence on the part of the plaintiff’s driver. In the first place, the defendant’s plea did not invoke such defence. Even during the course of the trial no evidence was led in that regard. In fact, both parties made a poor show in not leading evidence on the layout of the scene of accident.</w:t>
      </w:r>
      <w:r w:rsidR="00425693">
        <w:rPr>
          <w:rFonts w:ascii="Times New Roman" w:hAnsi="Times New Roman" w:cs="Times New Roman"/>
          <w:sz w:val="24"/>
          <w:szCs w:val="24"/>
        </w:rPr>
        <w:t xml:space="preserve"> Such evidence should have been secured at the pre-trial conference stage. That Police compiled no comprehensive report is no excuse. The obligation lies on a party who seeks to make a claim as a result of the loss. Even the defendant could have done something if he wanted to avoid liability.</w:t>
      </w:r>
    </w:p>
    <w:p w:rsidR="00912268" w:rsidRDefault="00E74E5B"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appears to also have been lax in the manner in which he defended the claim. During his testimony he seemed to suggest that Ndaba Jena was employed by </w:t>
      </w:r>
      <w:r w:rsidR="00563346">
        <w:rPr>
          <w:rFonts w:ascii="Times New Roman" w:hAnsi="Times New Roman" w:cs="Times New Roman"/>
          <w:sz w:val="24"/>
          <w:szCs w:val="24"/>
        </w:rPr>
        <w:t>a company in which he is a director. However, in his plea the defendant admitted to being the employer. Considering that the second defence witness</w:t>
      </w:r>
      <w:r w:rsidR="00DF5BA8">
        <w:rPr>
          <w:rFonts w:ascii="Times New Roman" w:hAnsi="Times New Roman" w:cs="Times New Roman"/>
          <w:sz w:val="24"/>
          <w:szCs w:val="24"/>
        </w:rPr>
        <w:t xml:space="preserve"> also</w:t>
      </w:r>
      <w:r w:rsidR="00563346">
        <w:rPr>
          <w:rFonts w:ascii="Times New Roman" w:hAnsi="Times New Roman" w:cs="Times New Roman"/>
          <w:sz w:val="24"/>
          <w:szCs w:val="24"/>
        </w:rPr>
        <w:t xml:space="preserve"> claimed to be employed by the company</w:t>
      </w:r>
      <w:r w:rsidR="00C61F65">
        <w:rPr>
          <w:rFonts w:ascii="Times New Roman" w:hAnsi="Times New Roman" w:cs="Times New Roman"/>
          <w:sz w:val="24"/>
          <w:szCs w:val="24"/>
        </w:rPr>
        <w:t>,</w:t>
      </w:r>
      <w:r w:rsidR="00563346">
        <w:rPr>
          <w:rFonts w:ascii="Times New Roman" w:hAnsi="Times New Roman" w:cs="Times New Roman"/>
          <w:sz w:val="24"/>
          <w:szCs w:val="24"/>
        </w:rPr>
        <w:t xml:space="preserve"> one would have though</w:t>
      </w:r>
      <w:r w:rsidR="00C61F65">
        <w:rPr>
          <w:rFonts w:ascii="Times New Roman" w:hAnsi="Times New Roman" w:cs="Times New Roman"/>
          <w:sz w:val="24"/>
          <w:szCs w:val="24"/>
        </w:rPr>
        <w:t>t that the defendant would except</w:t>
      </w:r>
      <w:r w:rsidR="00563346">
        <w:rPr>
          <w:rFonts w:ascii="Times New Roman" w:hAnsi="Times New Roman" w:cs="Times New Roman"/>
          <w:sz w:val="24"/>
          <w:szCs w:val="24"/>
        </w:rPr>
        <w:t xml:space="preserve"> to being cited in his personal capacity. But all this</w:t>
      </w:r>
      <w:r w:rsidR="00F67340">
        <w:rPr>
          <w:rFonts w:ascii="Times New Roman" w:hAnsi="Times New Roman" w:cs="Times New Roman"/>
          <w:sz w:val="24"/>
          <w:szCs w:val="24"/>
        </w:rPr>
        <w:t xml:space="preserve"> is of no consequence as the defendant accepted to put his head on the block.</w:t>
      </w:r>
    </w:p>
    <w:p w:rsidR="00F01528" w:rsidRDefault="00F01528" w:rsidP="00106D1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standard test for vicarious liability is whether an employee was engaged in the affairs or business of the employer when the delict in issue occurred. In this regard see the case of </w:t>
      </w:r>
      <w:r w:rsidRPr="004F6BA6">
        <w:rPr>
          <w:rFonts w:ascii="Times New Roman" w:hAnsi="Times New Roman" w:cs="Times New Roman"/>
          <w:i/>
          <w:sz w:val="24"/>
          <w:szCs w:val="24"/>
        </w:rPr>
        <w:t xml:space="preserve">Biti </w:t>
      </w:r>
      <w:r w:rsidRPr="00106D16">
        <w:rPr>
          <w:rFonts w:ascii="Times New Roman" w:hAnsi="Times New Roman" w:cs="Times New Roman"/>
          <w:sz w:val="24"/>
          <w:szCs w:val="24"/>
        </w:rPr>
        <w:t xml:space="preserve">v </w:t>
      </w:r>
      <w:r w:rsidRPr="004F6BA6">
        <w:rPr>
          <w:rFonts w:ascii="Times New Roman" w:hAnsi="Times New Roman" w:cs="Times New Roman"/>
          <w:i/>
          <w:sz w:val="24"/>
          <w:szCs w:val="24"/>
        </w:rPr>
        <w:t>Minister of State Security</w:t>
      </w:r>
      <w:r>
        <w:rPr>
          <w:rFonts w:ascii="Times New Roman" w:hAnsi="Times New Roman" w:cs="Times New Roman"/>
          <w:sz w:val="24"/>
          <w:szCs w:val="24"/>
        </w:rPr>
        <w:t xml:space="preserve"> 1999 (1) ZLR 65 9SC).</w:t>
      </w:r>
      <w:r w:rsidR="002C489B">
        <w:rPr>
          <w:rFonts w:ascii="Times New Roman" w:hAnsi="Times New Roman" w:cs="Times New Roman"/>
          <w:sz w:val="24"/>
          <w:szCs w:val="24"/>
        </w:rPr>
        <w:t xml:space="preserve"> Where an employee commits the delict whilst pursuing his own interests the employer is not liable. See </w:t>
      </w:r>
      <w:r w:rsidR="002C489B" w:rsidRPr="004F6BA6">
        <w:rPr>
          <w:rFonts w:ascii="Times New Roman" w:hAnsi="Times New Roman" w:cs="Times New Roman"/>
          <w:i/>
          <w:sz w:val="24"/>
          <w:szCs w:val="24"/>
        </w:rPr>
        <w:t>David Sebastian Gwande</w:t>
      </w:r>
      <w:r w:rsidR="002C489B" w:rsidRPr="00806AC9">
        <w:rPr>
          <w:rFonts w:ascii="Times New Roman" w:hAnsi="Times New Roman" w:cs="Times New Roman"/>
          <w:sz w:val="24"/>
          <w:szCs w:val="24"/>
        </w:rPr>
        <w:t xml:space="preserve"> v</w:t>
      </w:r>
      <w:r w:rsidR="002C489B" w:rsidRPr="004F6BA6">
        <w:rPr>
          <w:rFonts w:ascii="Times New Roman" w:hAnsi="Times New Roman" w:cs="Times New Roman"/>
          <w:i/>
          <w:sz w:val="24"/>
          <w:szCs w:val="24"/>
        </w:rPr>
        <w:t xml:space="preserve"> Tapiwa Matonhodze and Another </w:t>
      </w:r>
      <w:r w:rsidR="002C489B">
        <w:rPr>
          <w:rFonts w:ascii="Times New Roman" w:hAnsi="Times New Roman" w:cs="Times New Roman"/>
          <w:sz w:val="24"/>
          <w:szCs w:val="24"/>
        </w:rPr>
        <w:t>HH-123-12.</w:t>
      </w:r>
      <w:r w:rsidR="00622D58">
        <w:rPr>
          <w:rFonts w:ascii="Times New Roman" w:hAnsi="Times New Roman" w:cs="Times New Roman"/>
          <w:sz w:val="24"/>
          <w:szCs w:val="24"/>
        </w:rPr>
        <w:t xml:space="preserve"> However, e</w:t>
      </w:r>
      <w:r w:rsidR="00703022">
        <w:rPr>
          <w:rFonts w:ascii="Times New Roman" w:hAnsi="Times New Roman" w:cs="Times New Roman"/>
          <w:sz w:val="24"/>
          <w:szCs w:val="24"/>
        </w:rPr>
        <w:t xml:space="preserve">ven where an employee commits a delict whilst pursuing his own interests at the expense of those of the employer, the employer may still be vicariously liable. The determining factor is the </w:t>
      </w:r>
      <w:r w:rsidR="00565D7A">
        <w:rPr>
          <w:rFonts w:ascii="Times New Roman" w:hAnsi="Times New Roman" w:cs="Times New Roman"/>
          <w:sz w:val="24"/>
          <w:szCs w:val="24"/>
        </w:rPr>
        <w:t>degree of deviation from the employer’s</w:t>
      </w:r>
      <w:r w:rsidR="00B17AFD">
        <w:rPr>
          <w:rFonts w:ascii="Times New Roman" w:hAnsi="Times New Roman" w:cs="Times New Roman"/>
          <w:sz w:val="24"/>
          <w:szCs w:val="24"/>
        </w:rPr>
        <w:t xml:space="preserve"> business. As authority for this see </w:t>
      </w:r>
      <w:r w:rsidR="00B17AFD" w:rsidRPr="004F6BA6">
        <w:rPr>
          <w:rFonts w:ascii="Times New Roman" w:hAnsi="Times New Roman" w:cs="Times New Roman"/>
          <w:i/>
          <w:sz w:val="24"/>
          <w:szCs w:val="24"/>
        </w:rPr>
        <w:t>Phillips</w:t>
      </w:r>
      <w:r w:rsidR="00806AC9">
        <w:rPr>
          <w:rFonts w:ascii="Times New Roman" w:hAnsi="Times New Roman" w:cs="Times New Roman"/>
          <w:i/>
          <w:sz w:val="24"/>
          <w:szCs w:val="24"/>
        </w:rPr>
        <w:t xml:space="preserve"> C</w:t>
      </w:r>
      <w:r w:rsidR="003460D8" w:rsidRPr="004F6BA6">
        <w:rPr>
          <w:rFonts w:ascii="Times New Roman" w:hAnsi="Times New Roman" w:cs="Times New Roman"/>
          <w:i/>
          <w:sz w:val="24"/>
          <w:szCs w:val="24"/>
        </w:rPr>
        <w:t>entral Cellars (Pvt) Ltd</w:t>
      </w:r>
      <w:r w:rsidR="003460D8" w:rsidRPr="00806AC9">
        <w:rPr>
          <w:rFonts w:ascii="Times New Roman" w:hAnsi="Times New Roman" w:cs="Times New Roman"/>
          <w:sz w:val="24"/>
          <w:szCs w:val="24"/>
        </w:rPr>
        <w:t xml:space="preserve"> v</w:t>
      </w:r>
      <w:r w:rsidR="003460D8" w:rsidRPr="004F6BA6">
        <w:rPr>
          <w:rFonts w:ascii="Times New Roman" w:hAnsi="Times New Roman" w:cs="Times New Roman"/>
          <w:i/>
          <w:sz w:val="24"/>
          <w:szCs w:val="24"/>
        </w:rPr>
        <w:t xml:space="preserve"> Director of Customs And Excise </w:t>
      </w:r>
      <w:r w:rsidR="003460D8">
        <w:rPr>
          <w:rFonts w:ascii="Times New Roman" w:hAnsi="Times New Roman" w:cs="Times New Roman"/>
          <w:sz w:val="24"/>
          <w:szCs w:val="24"/>
        </w:rPr>
        <w:t>2000 (1) ZLR 353 (HC).</w:t>
      </w:r>
    </w:p>
    <w:p w:rsidR="007F1C81" w:rsidRDefault="0083156F" w:rsidP="00AB0FC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8A41A1">
        <w:rPr>
          <w:rFonts w:ascii="Times New Roman" w:hAnsi="Times New Roman" w:cs="Times New Roman"/>
          <w:i/>
          <w:sz w:val="24"/>
          <w:szCs w:val="24"/>
        </w:rPr>
        <w:t>Wentworth-</w:t>
      </w:r>
      <w:r w:rsidR="007F1C81" w:rsidRPr="008A41A1">
        <w:rPr>
          <w:rFonts w:ascii="Times New Roman" w:hAnsi="Times New Roman" w:cs="Times New Roman"/>
          <w:i/>
          <w:sz w:val="24"/>
          <w:szCs w:val="24"/>
        </w:rPr>
        <w:t xml:space="preserve">Wear </w:t>
      </w:r>
      <w:r w:rsidR="007F1C81" w:rsidRPr="00773E10">
        <w:rPr>
          <w:rFonts w:ascii="Times New Roman" w:hAnsi="Times New Roman" w:cs="Times New Roman"/>
          <w:sz w:val="24"/>
          <w:szCs w:val="24"/>
        </w:rPr>
        <w:t xml:space="preserve">v </w:t>
      </w:r>
      <w:r w:rsidR="007F1C81" w:rsidRPr="008A41A1">
        <w:rPr>
          <w:rFonts w:ascii="Times New Roman" w:hAnsi="Times New Roman" w:cs="Times New Roman"/>
          <w:i/>
          <w:sz w:val="24"/>
          <w:szCs w:val="24"/>
        </w:rPr>
        <w:t>Zvipindu</w:t>
      </w:r>
      <w:r w:rsidR="007F1C81">
        <w:rPr>
          <w:rFonts w:ascii="Times New Roman" w:hAnsi="Times New Roman" w:cs="Times New Roman"/>
          <w:sz w:val="24"/>
          <w:szCs w:val="24"/>
        </w:rPr>
        <w:t xml:space="preserve"> 2000 (1) ZLR (SC) the respondent had dismissed his driver from employment a few days before the accident. Despite the dismissal the driver had subsequently taken the respondent’s commuter omnibus without his express authority and was involved in an accident.</w:t>
      </w:r>
      <w:r w:rsidR="00171770">
        <w:rPr>
          <w:rFonts w:ascii="Times New Roman" w:hAnsi="Times New Roman" w:cs="Times New Roman"/>
          <w:sz w:val="24"/>
          <w:szCs w:val="24"/>
        </w:rPr>
        <w:t xml:space="preserve"> </w:t>
      </w:r>
      <w:r w:rsidR="00AD1211">
        <w:rPr>
          <w:rFonts w:ascii="Times New Roman" w:hAnsi="Times New Roman" w:cs="Times New Roman"/>
          <w:sz w:val="24"/>
          <w:szCs w:val="24"/>
        </w:rPr>
        <w:t>Even though the Supreme Court recognised that the respondent had dismissed the driver summarily which was contrary to the law, the practical effect</w:t>
      </w:r>
      <w:r w:rsidR="000058DB">
        <w:rPr>
          <w:rFonts w:ascii="Times New Roman" w:hAnsi="Times New Roman" w:cs="Times New Roman"/>
          <w:sz w:val="24"/>
          <w:szCs w:val="24"/>
        </w:rPr>
        <w:t xml:space="preserve"> was </w:t>
      </w:r>
      <w:r w:rsidR="000058DB">
        <w:rPr>
          <w:rFonts w:ascii="Times New Roman" w:hAnsi="Times New Roman" w:cs="Times New Roman"/>
          <w:sz w:val="24"/>
          <w:szCs w:val="24"/>
        </w:rPr>
        <w:lastRenderedPageBreak/>
        <w:t>that at the time the driver was involved in the accident he had no authority to drive the respondent’s motor vehicle. The</w:t>
      </w:r>
      <w:r w:rsidR="00171770">
        <w:rPr>
          <w:rFonts w:ascii="Times New Roman" w:hAnsi="Times New Roman" w:cs="Times New Roman"/>
          <w:sz w:val="24"/>
          <w:szCs w:val="24"/>
        </w:rPr>
        <w:t xml:space="preserve"> Supreme Court </w:t>
      </w:r>
      <w:r w:rsidR="000058DB">
        <w:rPr>
          <w:rFonts w:ascii="Times New Roman" w:hAnsi="Times New Roman" w:cs="Times New Roman"/>
          <w:sz w:val="24"/>
          <w:szCs w:val="24"/>
        </w:rPr>
        <w:t xml:space="preserve">further </w:t>
      </w:r>
      <w:r w:rsidR="00171770">
        <w:rPr>
          <w:rFonts w:ascii="Times New Roman" w:hAnsi="Times New Roman" w:cs="Times New Roman"/>
          <w:sz w:val="24"/>
          <w:szCs w:val="24"/>
        </w:rPr>
        <w:t>discussed two scenarios that affect vicarious liability</w:t>
      </w:r>
      <w:r w:rsidR="000058DB">
        <w:rPr>
          <w:rFonts w:ascii="Times New Roman" w:hAnsi="Times New Roman" w:cs="Times New Roman"/>
          <w:sz w:val="24"/>
          <w:szCs w:val="24"/>
        </w:rPr>
        <w:t xml:space="preserve"> as in the present case</w:t>
      </w:r>
      <w:r w:rsidR="00171770">
        <w:rPr>
          <w:rFonts w:ascii="Times New Roman" w:hAnsi="Times New Roman" w:cs="Times New Roman"/>
          <w:sz w:val="24"/>
          <w:szCs w:val="24"/>
        </w:rPr>
        <w:t xml:space="preserve"> and at </w:t>
      </w:r>
      <w:r w:rsidR="00C34A36">
        <w:rPr>
          <w:rFonts w:ascii="Times New Roman" w:hAnsi="Times New Roman" w:cs="Times New Roman"/>
          <w:sz w:val="24"/>
          <w:szCs w:val="24"/>
        </w:rPr>
        <w:t>284-285 had this to say:</w:t>
      </w:r>
    </w:p>
    <w:p w:rsidR="00AD1211" w:rsidRPr="008A41A1" w:rsidRDefault="00773E10" w:rsidP="00AB0FC7">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C34A36" w:rsidRPr="008A41A1">
        <w:rPr>
          <w:rFonts w:ascii="Times New Roman" w:hAnsi="Times New Roman" w:cs="Times New Roman"/>
          <w:sz w:val="20"/>
          <w:szCs w:val="20"/>
        </w:rPr>
        <w:t>“</w:t>
      </w:r>
      <w:r w:rsidR="00AD1211" w:rsidRPr="008A41A1">
        <w:rPr>
          <w:rFonts w:ascii="Times New Roman" w:hAnsi="Times New Roman" w:cs="Times New Roman"/>
          <w:sz w:val="20"/>
          <w:szCs w:val="20"/>
        </w:rPr>
        <w:t xml:space="preserve">In Plumb v Cobden Flour Mills [1914] AC 62 Lord Dunedin drew a distinction between two different </w:t>
      </w:r>
      <w:r>
        <w:rPr>
          <w:rFonts w:ascii="Times New Roman" w:hAnsi="Times New Roman" w:cs="Times New Roman"/>
          <w:sz w:val="20"/>
          <w:szCs w:val="20"/>
        </w:rPr>
        <w:tab/>
      </w:r>
      <w:r w:rsidR="00AD1211" w:rsidRPr="008A41A1">
        <w:rPr>
          <w:rFonts w:ascii="Times New Roman" w:hAnsi="Times New Roman" w:cs="Times New Roman"/>
          <w:sz w:val="20"/>
          <w:szCs w:val="20"/>
        </w:rPr>
        <w:t xml:space="preserve">types of prohibition in the relationship between employer and employee. He said at 67:  G </w:t>
      </w:r>
    </w:p>
    <w:p w:rsidR="00AD1211" w:rsidRPr="008A41A1" w:rsidRDefault="00773E10" w:rsidP="00AB0FC7">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sidR="00AD1211" w:rsidRPr="008A41A1">
        <w:rPr>
          <w:rFonts w:ascii="Times New Roman" w:hAnsi="Times New Roman" w:cs="Times New Roman"/>
          <w:sz w:val="20"/>
          <w:szCs w:val="20"/>
        </w:rPr>
        <w:t xml:space="preserve">"(There) are prohibitions which limit the sphere of employment and prohibitions which only </w:t>
      </w:r>
      <w:r>
        <w:rPr>
          <w:rFonts w:ascii="Times New Roman" w:hAnsi="Times New Roman" w:cs="Times New Roman"/>
          <w:sz w:val="20"/>
          <w:szCs w:val="20"/>
        </w:rPr>
        <w:tab/>
      </w:r>
      <w:r>
        <w:rPr>
          <w:rFonts w:ascii="Times New Roman" w:hAnsi="Times New Roman" w:cs="Times New Roman"/>
          <w:sz w:val="20"/>
          <w:szCs w:val="20"/>
        </w:rPr>
        <w:tab/>
      </w:r>
      <w:r w:rsidR="00AD1211" w:rsidRPr="008A41A1">
        <w:rPr>
          <w:rFonts w:ascii="Times New Roman" w:hAnsi="Times New Roman" w:cs="Times New Roman"/>
          <w:sz w:val="20"/>
          <w:szCs w:val="20"/>
        </w:rPr>
        <w:t xml:space="preserve">deal with conduct within the sphere of employment. A transgression of a prohibition of the </w:t>
      </w:r>
      <w:r>
        <w:rPr>
          <w:rFonts w:ascii="Times New Roman" w:hAnsi="Times New Roman" w:cs="Times New Roman"/>
          <w:sz w:val="20"/>
          <w:szCs w:val="20"/>
        </w:rPr>
        <w:tab/>
      </w:r>
      <w:r>
        <w:rPr>
          <w:rFonts w:ascii="Times New Roman" w:hAnsi="Times New Roman" w:cs="Times New Roman"/>
          <w:sz w:val="20"/>
          <w:szCs w:val="20"/>
        </w:rPr>
        <w:tab/>
      </w:r>
      <w:r w:rsidR="00AD1211" w:rsidRPr="008A41A1">
        <w:rPr>
          <w:rFonts w:ascii="Times New Roman" w:hAnsi="Times New Roman" w:cs="Times New Roman"/>
          <w:sz w:val="20"/>
          <w:szCs w:val="20"/>
        </w:rPr>
        <w:t xml:space="preserve">latter class leaves the sphere of employment where it was, and consequently will not prevent </w:t>
      </w:r>
      <w:r>
        <w:rPr>
          <w:rFonts w:ascii="Times New Roman" w:hAnsi="Times New Roman" w:cs="Times New Roman"/>
          <w:sz w:val="20"/>
          <w:szCs w:val="20"/>
        </w:rPr>
        <w:tab/>
      </w:r>
      <w:r>
        <w:rPr>
          <w:rFonts w:ascii="Times New Roman" w:hAnsi="Times New Roman" w:cs="Times New Roman"/>
          <w:sz w:val="20"/>
          <w:szCs w:val="20"/>
        </w:rPr>
        <w:tab/>
      </w:r>
      <w:r w:rsidR="00AD1211" w:rsidRPr="008A41A1">
        <w:rPr>
          <w:rFonts w:ascii="Times New Roman" w:hAnsi="Times New Roman" w:cs="Times New Roman"/>
          <w:sz w:val="20"/>
          <w:szCs w:val="20"/>
        </w:rPr>
        <w:t xml:space="preserve">recovery of compensation. A transgression of the former class carries with it the result that the </w:t>
      </w:r>
      <w:r>
        <w:rPr>
          <w:rFonts w:ascii="Times New Roman" w:hAnsi="Times New Roman" w:cs="Times New Roman"/>
          <w:sz w:val="20"/>
          <w:szCs w:val="20"/>
        </w:rPr>
        <w:tab/>
      </w:r>
      <w:r>
        <w:rPr>
          <w:rFonts w:ascii="Times New Roman" w:hAnsi="Times New Roman" w:cs="Times New Roman"/>
          <w:sz w:val="20"/>
          <w:szCs w:val="20"/>
        </w:rPr>
        <w:tab/>
      </w:r>
      <w:r w:rsidR="00AD1211" w:rsidRPr="008A41A1">
        <w:rPr>
          <w:rFonts w:ascii="Times New Roman" w:hAnsi="Times New Roman" w:cs="Times New Roman"/>
          <w:sz w:val="20"/>
          <w:szCs w:val="20"/>
        </w:rPr>
        <w:t xml:space="preserve">man has gone outside the sphere."   </w:t>
      </w:r>
    </w:p>
    <w:p w:rsidR="00AD1211" w:rsidRPr="008A41A1" w:rsidRDefault="00773E10" w:rsidP="00AB0FC7">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AD1211" w:rsidRPr="008A41A1">
        <w:rPr>
          <w:rFonts w:ascii="Times New Roman" w:hAnsi="Times New Roman" w:cs="Times New Roman"/>
          <w:sz w:val="20"/>
          <w:szCs w:val="20"/>
        </w:rPr>
        <w:t xml:space="preserve">This distinction was applied by the </w:t>
      </w:r>
      <w:r w:rsidR="00AD1211" w:rsidRPr="00773E10">
        <w:rPr>
          <w:rFonts w:ascii="Times New Roman" w:hAnsi="Times New Roman" w:cs="Times New Roman"/>
          <w:i/>
          <w:sz w:val="20"/>
          <w:szCs w:val="20"/>
        </w:rPr>
        <w:t>Privy Council in Canadian Pacific Railway Co</w:t>
      </w:r>
      <w:r w:rsidR="00AD1211" w:rsidRPr="008A41A1">
        <w:rPr>
          <w:rFonts w:ascii="Times New Roman" w:hAnsi="Times New Roman" w:cs="Times New Roman"/>
          <w:sz w:val="20"/>
          <w:szCs w:val="20"/>
        </w:rPr>
        <w:t xml:space="preserve"> v </w:t>
      </w:r>
      <w:r w:rsidR="00AD1211" w:rsidRPr="00773E10">
        <w:rPr>
          <w:rFonts w:ascii="Times New Roman" w:hAnsi="Times New Roman" w:cs="Times New Roman"/>
          <w:i/>
          <w:sz w:val="20"/>
          <w:szCs w:val="20"/>
        </w:rPr>
        <w:t>Lockhart</w:t>
      </w:r>
      <w:r w:rsidR="00AD1211" w:rsidRPr="008A41A1">
        <w:rPr>
          <w:rFonts w:ascii="Times New Roman" w:hAnsi="Times New Roman" w:cs="Times New Roman"/>
          <w:sz w:val="20"/>
          <w:szCs w:val="20"/>
        </w:rPr>
        <w:t xml:space="preserve"> [1942] 2 </w:t>
      </w:r>
      <w:r>
        <w:rPr>
          <w:rFonts w:ascii="Times New Roman" w:hAnsi="Times New Roman" w:cs="Times New Roman"/>
          <w:sz w:val="20"/>
          <w:szCs w:val="20"/>
        </w:rPr>
        <w:tab/>
      </w:r>
      <w:r w:rsidR="00AD1211" w:rsidRPr="008A41A1">
        <w:rPr>
          <w:rFonts w:ascii="Times New Roman" w:hAnsi="Times New Roman" w:cs="Times New Roman"/>
          <w:sz w:val="20"/>
          <w:szCs w:val="20"/>
        </w:rPr>
        <w:t xml:space="preserve">All ER 464  A  (PC) at 467 in fine - 468B, and was referred to with approval in the dissenting judgment </w:t>
      </w:r>
      <w:r>
        <w:rPr>
          <w:rFonts w:ascii="Times New Roman" w:hAnsi="Times New Roman" w:cs="Times New Roman"/>
          <w:sz w:val="20"/>
          <w:szCs w:val="20"/>
        </w:rPr>
        <w:tab/>
      </w:r>
      <w:r w:rsidR="00AD1211" w:rsidRPr="008A41A1">
        <w:rPr>
          <w:rFonts w:ascii="Times New Roman" w:hAnsi="Times New Roman" w:cs="Times New Roman"/>
          <w:sz w:val="20"/>
          <w:szCs w:val="20"/>
        </w:rPr>
        <w:t xml:space="preserve">of Greenberg JA in Feldman (Pty) Ltd v Mall 1945 AD 733 at 762-763. See also </w:t>
      </w:r>
      <w:r w:rsidR="00AD1211" w:rsidRPr="00773E10">
        <w:rPr>
          <w:rFonts w:ascii="Times New Roman" w:hAnsi="Times New Roman" w:cs="Times New Roman"/>
          <w:i/>
          <w:sz w:val="20"/>
          <w:szCs w:val="20"/>
        </w:rPr>
        <w:t>Ngubetole</w:t>
      </w:r>
      <w:r w:rsidR="00AD1211" w:rsidRPr="008A41A1">
        <w:rPr>
          <w:rFonts w:ascii="Times New Roman" w:hAnsi="Times New Roman" w:cs="Times New Roman"/>
          <w:sz w:val="20"/>
          <w:szCs w:val="20"/>
        </w:rPr>
        <w:t xml:space="preserve"> v </w:t>
      </w:r>
      <w:r>
        <w:rPr>
          <w:rFonts w:ascii="Times New Roman" w:hAnsi="Times New Roman" w:cs="Times New Roman"/>
          <w:sz w:val="20"/>
          <w:szCs w:val="20"/>
        </w:rPr>
        <w:tab/>
      </w:r>
      <w:r w:rsidR="00AD1211" w:rsidRPr="00773E10">
        <w:rPr>
          <w:rFonts w:ascii="Times New Roman" w:hAnsi="Times New Roman" w:cs="Times New Roman"/>
          <w:i/>
          <w:sz w:val="20"/>
          <w:szCs w:val="20"/>
        </w:rPr>
        <w:t>Administrator, Cape &amp; Anor</w:t>
      </w:r>
      <w:r w:rsidR="00AD1211" w:rsidRPr="008A41A1">
        <w:rPr>
          <w:rFonts w:ascii="Times New Roman" w:hAnsi="Times New Roman" w:cs="Times New Roman"/>
          <w:sz w:val="20"/>
          <w:szCs w:val="20"/>
        </w:rPr>
        <w:t xml:space="preserve"> 1975 (3) SA 1 (A) at 11A-C; </w:t>
      </w:r>
      <w:r w:rsidR="00AD1211" w:rsidRPr="00773E10">
        <w:rPr>
          <w:rFonts w:ascii="Times New Roman" w:hAnsi="Times New Roman" w:cs="Times New Roman"/>
          <w:i/>
          <w:sz w:val="20"/>
          <w:szCs w:val="20"/>
        </w:rPr>
        <w:t>South African Railways and Harbours</w:t>
      </w:r>
      <w:r w:rsidR="00AD1211" w:rsidRPr="008A41A1">
        <w:rPr>
          <w:rFonts w:ascii="Times New Roman" w:hAnsi="Times New Roman" w:cs="Times New Roman"/>
          <w:sz w:val="20"/>
          <w:szCs w:val="20"/>
        </w:rPr>
        <w:t xml:space="preserve"> v </w:t>
      </w:r>
      <w:r>
        <w:rPr>
          <w:rFonts w:ascii="Times New Roman" w:hAnsi="Times New Roman" w:cs="Times New Roman"/>
          <w:sz w:val="20"/>
          <w:szCs w:val="20"/>
        </w:rPr>
        <w:tab/>
      </w:r>
      <w:r w:rsidR="00AD1211" w:rsidRPr="00773E10">
        <w:rPr>
          <w:rFonts w:ascii="Times New Roman" w:hAnsi="Times New Roman" w:cs="Times New Roman"/>
          <w:i/>
          <w:sz w:val="20"/>
          <w:szCs w:val="20"/>
        </w:rPr>
        <w:t>Albers &amp; Anor</w:t>
      </w:r>
      <w:r w:rsidR="00AD1211" w:rsidRPr="008A41A1">
        <w:rPr>
          <w:rFonts w:ascii="Times New Roman" w:hAnsi="Times New Roman" w:cs="Times New Roman"/>
          <w:sz w:val="20"/>
          <w:szCs w:val="20"/>
        </w:rPr>
        <w:t xml:space="preserve"> 1977 (2) SA 341 (D) at 346 in fine </w:t>
      </w:r>
      <w:r w:rsidR="008A41A1" w:rsidRPr="008A41A1">
        <w:rPr>
          <w:rFonts w:ascii="Times New Roman" w:hAnsi="Times New Roman" w:cs="Times New Roman"/>
          <w:sz w:val="20"/>
          <w:szCs w:val="20"/>
        </w:rPr>
        <w:t>- B</w:t>
      </w:r>
      <w:r>
        <w:rPr>
          <w:rFonts w:ascii="Times New Roman" w:hAnsi="Times New Roman" w:cs="Times New Roman"/>
          <w:sz w:val="20"/>
          <w:szCs w:val="20"/>
        </w:rPr>
        <w:t xml:space="preserve"> </w:t>
      </w:r>
      <w:r w:rsidR="00AD1211" w:rsidRPr="008A41A1">
        <w:rPr>
          <w:rFonts w:ascii="Times New Roman" w:hAnsi="Times New Roman" w:cs="Times New Roman"/>
          <w:sz w:val="20"/>
          <w:szCs w:val="20"/>
        </w:rPr>
        <w:t xml:space="preserve">347B; and, in this jurisdiction, </w:t>
      </w:r>
      <w:r w:rsidR="00AD1211" w:rsidRPr="00773E10">
        <w:rPr>
          <w:rFonts w:ascii="Times New Roman" w:hAnsi="Times New Roman" w:cs="Times New Roman"/>
          <w:i/>
          <w:sz w:val="20"/>
          <w:szCs w:val="20"/>
        </w:rPr>
        <w:t>Ngwenya</w:t>
      </w:r>
      <w:r w:rsidR="00AD1211" w:rsidRPr="008A41A1">
        <w:rPr>
          <w:rFonts w:ascii="Times New Roman" w:hAnsi="Times New Roman" w:cs="Times New Roman"/>
          <w:sz w:val="20"/>
          <w:szCs w:val="20"/>
        </w:rPr>
        <w:t xml:space="preserve"> v </w:t>
      </w:r>
      <w:r>
        <w:rPr>
          <w:rFonts w:ascii="Times New Roman" w:hAnsi="Times New Roman" w:cs="Times New Roman"/>
          <w:sz w:val="20"/>
          <w:szCs w:val="20"/>
        </w:rPr>
        <w:tab/>
      </w:r>
      <w:r w:rsidR="00AD1211" w:rsidRPr="00773E10">
        <w:rPr>
          <w:rFonts w:ascii="Times New Roman" w:hAnsi="Times New Roman" w:cs="Times New Roman"/>
          <w:i/>
          <w:sz w:val="20"/>
          <w:szCs w:val="20"/>
        </w:rPr>
        <w:t>Bhebhe &amp; Anor</w:t>
      </w:r>
      <w:r w:rsidR="00AD1211" w:rsidRPr="008A41A1">
        <w:rPr>
          <w:rFonts w:ascii="Times New Roman" w:hAnsi="Times New Roman" w:cs="Times New Roman"/>
          <w:sz w:val="20"/>
          <w:szCs w:val="20"/>
        </w:rPr>
        <w:t xml:space="preserve"> HB-125-95 (unreported).</w:t>
      </w:r>
    </w:p>
    <w:p w:rsidR="00C34A36" w:rsidRPr="008A41A1" w:rsidRDefault="00773E10" w:rsidP="00AB0FC7">
      <w:pPr>
        <w:spacing w:line="360" w:lineRule="auto"/>
        <w:jc w:val="both"/>
        <w:rPr>
          <w:rFonts w:ascii="Times New Roman" w:hAnsi="Times New Roman" w:cs="Times New Roman"/>
          <w:sz w:val="20"/>
          <w:szCs w:val="20"/>
        </w:rPr>
      </w:pPr>
      <w:r>
        <w:rPr>
          <w:rFonts w:ascii="Times New Roman" w:hAnsi="Times New Roman" w:cs="Times New Roman"/>
          <w:sz w:val="20"/>
          <w:szCs w:val="20"/>
        </w:rPr>
        <w:tab/>
      </w:r>
      <w:r w:rsidR="00AD1211" w:rsidRPr="008A41A1">
        <w:rPr>
          <w:rFonts w:ascii="Times New Roman" w:hAnsi="Times New Roman" w:cs="Times New Roman"/>
          <w:sz w:val="20"/>
          <w:szCs w:val="20"/>
        </w:rPr>
        <w:t xml:space="preserve">It is clear to me that in driving the commuter omnibus - albeit for the apparent benefit of the respondent </w:t>
      </w:r>
      <w:r>
        <w:rPr>
          <w:rFonts w:ascii="Times New Roman" w:hAnsi="Times New Roman" w:cs="Times New Roman"/>
          <w:sz w:val="20"/>
          <w:szCs w:val="20"/>
        </w:rPr>
        <w:tab/>
      </w:r>
      <w:r w:rsidR="00AD1211" w:rsidRPr="008A41A1">
        <w:rPr>
          <w:rFonts w:ascii="Times New Roman" w:hAnsi="Times New Roman" w:cs="Times New Roman"/>
          <w:sz w:val="20"/>
          <w:szCs w:val="20"/>
        </w:rPr>
        <w:t xml:space="preserve">and in the hope that by so doing the latter would be prepared to retract what must have been viewed as </w:t>
      </w:r>
      <w:r>
        <w:rPr>
          <w:rFonts w:ascii="Times New Roman" w:hAnsi="Times New Roman" w:cs="Times New Roman"/>
          <w:sz w:val="20"/>
          <w:szCs w:val="20"/>
        </w:rPr>
        <w:tab/>
      </w:r>
      <w:r w:rsidR="00AD1211" w:rsidRPr="008A41A1">
        <w:rPr>
          <w:rFonts w:ascii="Times New Roman" w:hAnsi="Times New Roman" w:cs="Times New Roman"/>
          <w:sz w:val="20"/>
          <w:szCs w:val="20"/>
        </w:rPr>
        <w:t xml:space="preserve">a lawful dismissal - Chigariro disregarded a prohibition which limited the sphere of his employment; </w:t>
      </w:r>
      <w:r>
        <w:rPr>
          <w:rFonts w:ascii="Times New Roman" w:hAnsi="Times New Roman" w:cs="Times New Roman"/>
          <w:sz w:val="20"/>
          <w:szCs w:val="20"/>
        </w:rPr>
        <w:tab/>
      </w:r>
      <w:r w:rsidR="00AD1211" w:rsidRPr="008A41A1">
        <w:rPr>
          <w:rFonts w:ascii="Times New Roman" w:hAnsi="Times New Roman" w:cs="Times New Roman"/>
          <w:sz w:val="20"/>
          <w:szCs w:val="20"/>
        </w:rPr>
        <w:t xml:space="preserve">and not one which dealt only with his conduct within the sphere of his employment. As he was thus not </w:t>
      </w:r>
      <w:r>
        <w:rPr>
          <w:rFonts w:ascii="Times New Roman" w:hAnsi="Times New Roman" w:cs="Times New Roman"/>
          <w:sz w:val="20"/>
          <w:szCs w:val="20"/>
        </w:rPr>
        <w:tab/>
      </w:r>
      <w:r w:rsidR="00AD1211" w:rsidRPr="008A41A1">
        <w:rPr>
          <w:rFonts w:ascii="Times New Roman" w:hAnsi="Times New Roman" w:cs="Times New Roman"/>
          <w:sz w:val="20"/>
          <w:szCs w:val="20"/>
        </w:rPr>
        <w:t xml:space="preserve">acting within the course of his employment at the time of the collision, the principles of vicarious </w:t>
      </w:r>
      <w:r>
        <w:rPr>
          <w:rFonts w:ascii="Times New Roman" w:hAnsi="Times New Roman" w:cs="Times New Roman"/>
          <w:sz w:val="20"/>
          <w:szCs w:val="20"/>
        </w:rPr>
        <w:tab/>
      </w:r>
      <w:r w:rsidR="00AD1211" w:rsidRPr="008A41A1">
        <w:rPr>
          <w:rFonts w:ascii="Times New Roman" w:hAnsi="Times New Roman" w:cs="Times New Roman"/>
          <w:sz w:val="20"/>
          <w:szCs w:val="20"/>
        </w:rPr>
        <w:t>responsibility for his negligence cannot be extended to embrace the respondent.”</w:t>
      </w:r>
    </w:p>
    <w:p w:rsidR="00D2672E" w:rsidRDefault="00A70A90" w:rsidP="00773E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present case the defendant’s driver had authority to drive the tractor. He actually kept the key</w:t>
      </w:r>
      <w:r w:rsidR="00885916">
        <w:rPr>
          <w:rFonts w:ascii="Times New Roman" w:hAnsi="Times New Roman" w:cs="Times New Roman"/>
          <w:sz w:val="24"/>
          <w:szCs w:val="24"/>
        </w:rPr>
        <w:t>s</w:t>
      </w:r>
      <w:r>
        <w:rPr>
          <w:rFonts w:ascii="Times New Roman" w:hAnsi="Times New Roman" w:cs="Times New Roman"/>
          <w:sz w:val="24"/>
          <w:szCs w:val="24"/>
        </w:rPr>
        <w:t xml:space="preserve"> for the greater part of </w:t>
      </w:r>
      <w:r w:rsidR="00885916">
        <w:rPr>
          <w:rFonts w:ascii="Times New Roman" w:hAnsi="Times New Roman" w:cs="Times New Roman"/>
          <w:sz w:val="24"/>
          <w:szCs w:val="24"/>
        </w:rPr>
        <w:t>the week and only surrendered them</w:t>
      </w:r>
      <w:r>
        <w:rPr>
          <w:rFonts w:ascii="Times New Roman" w:hAnsi="Times New Roman" w:cs="Times New Roman"/>
          <w:sz w:val="24"/>
          <w:szCs w:val="24"/>
        </w:rPr>
        <w:t xml:space="preserve"> on Fridays. The only limitation was not to drive along public roads. </w:t>
      </w:r>
    </w:p>
    <w:p w:rsidR="00A70A90" w:rsidRDefault="00A70A90" w:rsidP="00773E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That Ndaba Jena was on a frolic of his own is a special defence that cast an onus on the part of the defendant</w:t>
      </w:r>
      <w:r w:rsidR="00237B5F">
        <w:rPr>
          <w:rFonts w:ascii="Times New Roman" w:hAnsi="Times New Roman" w:cs="Times New Roman"/>
          <w:sz w:val="24"/>
          <w:szCs w:val="24"/>
        </w:rPr>
        <w:t xml:space="preserve"> to discharge</w:t>
      </w:r>
      <w:r>
        <w:rPr>
          <w:rFonts w:ascii="Times New Roman" w:hAnsi="Times New Roman" w:cs="Times New Roman"/>
          <w:sz w:val="24"/>
          <w:szCs w:val="24"/>
        </w:rPr>
        <w:t xml:space="preserve">. In this respect see </w:t>
      </w:r>
      <w:r w:rsidRPr="008A41A1">
        <w:rPr>
          <w:rFonts w:ascii="Times New Roman" w:hAnsi="Times New Roman" w:cs="Times New Roman"/>
          <w:i/>
          <w:sz w:val="24"/>
          <w:szCs w:val="24"/>
        </w:rPr>
        <w:t xml:space="preserve">Nyahondo </w:t>
      </w:r>
      <w:r w:rsidRPr="00773E10">
        <w:rPr>
          <w:rFonts w:ascii="Times New Roman" w:hAnsi="Times New Roman" w:cs="Times New Roman"/>
          <w:sz w:val="24"/>
          <w:szCs w:val="24"/>
        </w:rPr>
        <w:t xml:space="preserve">v </w:t>
      </w:r>
      <w:r w:rsidRPr="008A41A1">
        <w:rPr>
          <w:rFonts w:ascii="Times New Roman" w:hAnsi="Times New Roman" w:cs="Times New Roman"/>
          <w:i/>
          <w:sz w:val="24"/>
          <w:szCs w:val="24"/>
        </w:rPr>
        <w:t>Hokonya</w:t>
      </w:r>
      <w:r>
        <w:rPr>
          <w:rFonts w:ascii="Times New Roman" w:hAnsi="Times New Roman" w:cs="Times New Roman"/>
          <w:sz w:val="24"/>
          <w:szCs w:val="24"/>
        </w:rPr>
        <w:t xml:space="preserve"> 1997 (2) ZLR 457 (SC). I do not see the defendant having satisfactorily proved that defence. The defendant and his manager were never keen to establish whose ore Ndaba Jena had been carrying. They were satisfied in claiming</w:t>
      </w:r>
      <w:r w:rsidR="00C80D3B">
        <w:rPr>
          <w:rFonts w:ascii="Times New Roman" w:hAnsi="Times New Roman" w:cs="Times New Roman"/>
          <w:sz w:val="24"/>
          <w:szCs w:val="24"/>
        </w:rPr>
        <w:t xml:space="preserve"> that the ore was not from the defendant’s</w:t>
      </w:r>
      <w:r>
        <w:rPr>
          <w:rFonts w:ascii="Times New Roman" w:hAnsi="Times New Roman" w:cs="Times New Roman"/>
          <w:sz w:val="24"/>
          <w:szCs w:val="24"/>
        </w:rPr>
        <w:t xml:space="preserve"> mine. </w:t>
      </w:r>
      <w:r w:rsidR="00885916">
        <w:rPr>
          <w:rFonts w:ascii="Times New Roman" w:hAnsi="Times New Roman" w:cs="Times New Roman"/>
          <w:sz w:val="24"/>
          <w:szCs w:val="24"/>
        </w:rPr>
        <w:t xml:space="preserve">And yet within minutes of the accident being reported the defendant was at the scene. </w:t>
      </w:r>
      <w:r w:rsidR="00A553A5">
        <w:rPr>
          <w:rFonts w:ascii="Times New Roman" w:hAnsi="Times New Roman" w:cs="Times New Roman"/>
          <w:sz w:val="24"/>
          <w:szCs w:val="24"/>
        </w:rPr>
        <w:t xml:space="preserve">Nothing seems to have been done to establish Ndaba Jena’s whereabouts.  </w:t>
      </w:r>
      <w:r w:rsidR="00885916">
        <w:rPr>
          <w:rFonts w:ascii="Times New Roman" w:hAnsi="Times New Roman" w:cs="Times New Roman"/>
          <w:sz w:val="24"/>
          <w:szCs w:val="24"/>
        </w:rPr>
        <w:t xml:space="preserve">In his testimony the defendant displayed a remarkable indifference to ownership of the ore that Ndaba Jena was transporting. If it had </w:t>
      </w:r>
      <w:r w:rsidR="00885916">
        <w:rPr>
          <w:rFonts w:ascii="Times New Roman" w:hAnsi="Times New Roman" w:cs="Times New Roman"/>
          <w:sz w:val="24"/>
          <w:szCs w:val="24"/>
        </w:rPr>
        <w:lastRenderedPageBreak/>
        <w:t xml:space="preserve">been stolen from him he made no issue of it. If </w:t>
      </w:r>
      <w:r w:rsidR="005909C5">
        <w:rPr>
          <w:rFonts w:ascii="Times New Roman" w:hAnsi="Times New Roman" w:cs="Times New Roman"/>
          <w:sz w:val="24"/>
          <w:szCs w:val="24"/>
        </w:rPr>
        <w:t xml:space="preserve">at all </w:t>
      </w:r>
      <w:r w:rsidR="00885916">
        <w:rPr>
          <w:rFonts w:ascii="Times New Roman" w:hAnsi="Times New Roman" w:cs="Times New Roman"/>
          <w:sz w:val="24"/>
          <w:szCs w:val="24"/>
        </w:rPr>
        <w:t xml:space="preserve">Ndaba Jena made unauthorised use of the defendant’s tractor, again no issue was made of it. </w:t>
      </w:r>
      <w:r>
        <w:rPr>
          <w:rFonts w:ascii="Times New Roman" w:hAnsi="Times New Roman" w:cs="Times New Roman"/>
          <w:sz w:val="24"/>
          <w:szCs w:val="24"/>
        </w:rPr>
        <w:t>As if that was not enough, Ndaba Jena continued with his employment until he resigned on his own. No disciplinary charges were preferred against him despite the damage that was caused to his employer’s property and that of the plaintiff.</w:t>
      </w:r>
      <w:r w:rsidR="00416831">
        <w:rPr>
          <w:rFonts w:ascii="Times New Roman" w:hAnsi="Times New Roman" w:cs="Times New Roman"/>
          <w:sz w:val="24"/>
          <w:szCs w:val="24"/>
        </w:rPr>
        <w:t xml:space="preserve"> This does not accord with the conduct of an employee who had deviated materially from the course of his employment. </w:t>
      </w:r>
      <w:r w:rsidR="00CD716C">
        <w:rPr>
          <w:rFonts w:ascii="Times New Roman" w:hAnsi="Times New Roman" w:cs="Times New Roman"/>
          <w:sz w:val="24"/>
          <w:szCs w:val="24"/>
        </w:rPr>
        <w:t xml:space="preserve">Contrast this with the fact that the loader was dismissed for theft, although it is not clear if it is related to the same incident involving Ndaba Jena. </w:t>
      </w:r>
      <w:r w:rsidR="00740879">
        <w:rPr>
          <w:rFonts w:ascii="Times New Roman" w:hAnsi="Times New Roman" w:cs="Times New Roman"/>
          <w:sz w:val="24"/>
          <w:szCs w:val="24"/>
        </w:rPr>
        <w:t>I would therefore find that the defendant is vicariously liable for his former employee’s conduct.</w:t>
      </w:r>
    </w:p>
    <w:p w:rsidR="00060FAF" w:rsidRDefault="006F109D" w:rsidP="00773E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delictual damages is to place the plaintiff in the position it would have been had the delict not occurred. In this respect see </w:t>
      </w:r>
      <w:r w:rsidRPr="006F109D">
        <w:rPr>
          <w:rFonts w:ascii="Times New Roman" w:hAnsi="Times New Roman" w:cs="Times New Roman"/>
          <w:i/>
          <w:sz w:val="24"/>
          <w:szCs w:val="24"/>
        </w:rPr>
        <w:t xml:space="preserve">Erasmus </w:t>
      </w:r>
      <w:r w:rsidRPr="00773E10">
        <w:rPr>
          <w:rFonts w:ascii="Times New Roman" w:hAnsi="Times New Roman" w:cs="Times New Roman"/>
          <w:sz w:val="24"/>
          <w:szCs w:val="24"/>
        </w:rPr>
        <w:t xml:space="preserve">v </w:t>
      </w:r>
      <w:r w:rsidRPr="006F109D">
        <w:rPr>
          <w:rFonts w:ascii="Times New Roman" w:hAnsi="Times New Roman" w:cs="Times New Roman"/>
          <w:i/>
          <w:sz w:val="24"/>
          <w:szCs w:val="24"/>
        </w:rPr>
        <w:t>David</w:t>
      </w:r>
      <w:r>
        <w:rPr>
          <w:rFonts w:ascii="Times New Roman" w:hAnsi="Times New Roman" w:cs="Times New Roman"/>
          <w:sz w:val="24"/>
          <w:szCs w:val="24"/>
        </w:rPr>
        <w:t xml:space="preserve"> 1969 (2) SA 1. </w:t>
      </w:r>
      <w:r w:rsidR="00740879">
        <w:rPr>
          <w:rFonts w:ascii="Times New Roman" w:hAnsi="Times New Roman" w:cs="Times New Roman"/>
          <w:sz w:val="24"/>
          <w:szCs w:val="24"/>
        </w:rPr>
        <w:t>As for the quantum of damages, the plaintiff led proof of the</w:t>
      </w:r>
      <w:r w:rsidR="005F70C5">
        <w:rPr>
          <w:rFonts w:ascii="Times New Roman" w:hAnsi="Times New Roman" w:cs="Times New Roman"/>
          <w:sz w:val="24"/>
          <w:szCs w:val="24"/>
        </w:rPr>
        <w:t xml:space="preserve"> landed</w:t>
      </w:r>
      <w:r w:rsidR="00740879">
        <w:rPr>
          <w:rFonts w:ascii="Times New Roman" w:hAnsi="Times New Roman" w:cs="Times New Roman"/>
          <w:sz w:val="24"/>
          <w:szCs w:val="24"/>
        </w:rPr>
        <w:t xml:space="preserve"> cost of the bus. It is not an area of dispute. It was also not disputed that the bus was fairly new</w:t>
      </w:r>
      <w:r w:rsidR="005F70C5">
        <w:rPr>
          <w:rFonts w:ascii="Times New Roman" w:hAnsi="Times New Roman" w:cs="Times New Roman"/>
          <w:sz w:val="24"/>
          <w:szCs w:val="24"/>
        </w:rPr>
        <w:t xml:space="preserve"> at the time of accident</w:t>
      </w:r>
      <w:r w:rsidR="00740879">
        <w:rPr>
          <w:rFonts w:ascii="Times New Roman" w:hAnsi="Times New Roman" w:cs="Times New Roman"/>
          <w:sz w:val="24"/>
          <w:szCs w:val="24"/>
        </w:rPr>
        <w:t>.</w:t>
      </w:r>
      <w:r>
        <w:rPr>
          <w:rFonts w:ascii="Times New Roman" w:hAnsi="Times New Roman" w:cs="Times New Roman"/>
          <w:sz w:val="24"/>
          <w:szCs w:val="24"/>
        </w:rPr>
        <w:t xml:space="preserve"> As for quotations for repairs, </w:t>
      </w:r>
      <w:r w:rsidR="0071497A">
        <w:rPr>
          <w:rFonts w:ascii="Times New Roman" w:hAnsi="Times New Roman" w:cs="Times New Roman"/>
          <w:sz w:val="24"/>
          <w:szCs w:val="24"/>
        </w:rPr>
        <w:t>Gift Tapfumaneyi Rukweza stated that they got three and went for the cheapest one. Of course, the defendant’s counsel took issue of the single quotation</w:t>
      </w:r>
      <w:r w:rsidR="00060FAF">
        <w:rPr>
          <w:rFonts w:ascii="Times New Roman" w:hAnsi="Times New Roman" w:cs="Times New Roman"/>
          <w:sz w:val="24"/>
          <w:szCs w:val="24"/>
        </w:rPr>
        <w:t xml:space="preserve"> by</w:t>
      </w:r>
      <w:r w:rsidR="00060FAF" w:rsidRPr="00060FAF">
        <w:rPr>
          <w:rFonts w:ascii="Times New Roman" w:hAnsi="Times New Roman" w:cs="Times New Roman"/>
          <w:sz w:val="24"/>
          <w:szCs w:val="24"/>
        </w:rPr>
        <w:t xml:space="preserve"> </w:t>
      </w:r>
      <w:r w:rsidR="00060FAF">
        <w:rPr>
          <w:rFonts w:ascii="Times New Roman" w:hAnsi="Times New Roman" w:cs="Times New Roman"/>
          <w:sz w:val="24"/>
          <w:szCs w:val="24"/>
        </w:rPr>
        <w:t>Coachcraft (Pvt) Ltd</w:t>
      </w:r>
      <w:r w:rsidR="0071497A">
        <w:rPr>
          <w:rFonts w:ascii="Times New Roman" w:hAnsi="Times New Roman" w:cs="Times New Roman"/>
          <w:sz w:val="24"/>
          <w:szCs w:val="24"/>
        </w:rPr>
        <w:t xml:space="preserve"> during cross-examination of the witness.</w:t>
      </w:r>
      <w:r w:rsidR="00740879">
        <w:rPr>
          <w:rFonts w:ascii="Times New Roman" w:hAnsi="Times New Roman" w:cs="Times New Roman"/>
          <w:sz w:val="24"/>
          <w:szCs w:val="24"/>
        </w:rPr>
        <w:t xml:space="preserve"> </w:t>
      </w:r>
      <w:r w:rsidR="00060FAF">
        <w:rPr>
          <w:rFonts w:ascii="Times New Roman" w:hAnsi="Times New Roman" w:cs="Times New Roman"/>
          <w:sz w:val="24"/>
          <w:szCs w:val="24"/>
        </w:rPr>
        <w:t xml:space="preserve">Again, this is an issue that could have been resolved at pre-trial conference stage. In any event, Gift Tapfumaneyi Rukweza testified that they salvaged the engine and gear box whose value was put at $22 000.00. </w:t>
      </w:r>
    </w:p>
    <w:p w:rsidR="00740879" w:rsidRDefault="00740879" w:rsidP="00773E1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the defendant questioned the valuation of the damage, he came up with a cursory valuation of his own. If he seriously contested the plaintiff’s valuation I do not see what prevented him from conducting a proper valuation of his own. That is why I ear</w:t>
      </w:r>
      <w:r w:rsidR="005F70C5">
        <w:rPr>
          <w:rFonts w:ascii="Times New Roman" w:hAnsi="Times New Roman" w:cs="Times New Roman"/>
          <w:sz w:val="24"/>
          <w:szCs w:val="24"/>
        </w:rPr>
        <w:t>lier</w:t>
      </w:r>
      <w:r w:rsidR="004833D2">
        <w:rPr>
          <w:rFonts w:ascii="Times New Roman" w:hAnsi="Times New Roman" w:cs="Times New Roman"/>
          <w:sz w:val="24"/>
          <w:szCs w:val="24"/>
        </w:rPr>
        <w:t xml:space="preserve"> on</w:t>
      </w:r>
      <w:r w:rsidR="005F70C5">
        <w:rPr>
          <w:rFonts w:ascii="Times New Roman" w:hAnsi="Times New Roman" w:cs="Times New Roman"/>
          <w:sz w:val="24"/>
          <w:szCs w:val="24"/>
        </w:rPr>
        <w:t xml:space="preserve"> remarked on </w:t>
      </w:r>
      <w:r>
        <w:rPr>
          <w:rFonts w:ascii="Times New Roman" w:hAnsi="Times New Roman" w:cs="Times New Roman"/>
          <w:sz w:val="24"/>
          <w:szCs w:val="24"/>
        </w:rPr>
        <w:t xml:space="preserve">the nature of </w:t>
      </w:r>
      <w:r w:rsidR="005F70C5">
        <w:rPr>
          <w:rFonts w:ascii="Times New Roman" w:hAnsi="Times New Roman" w:cs="Times New Roman"/>
          <w:sz w:val="24"/>
          <w:szCs w:val="24"/>
        </w:rPr>
        <w:t xml:space="preserve">assessment of </w:t>
      </w:r>
      <w:r>
        <w:rPr>
          <w:rFonts w:ascii="Times New Roman" w:hAnsi="Times New Roman" w:cs="Times New Roman"/>
          <w:sz w:val="24"/>
          <w:szCs w:val="24"/>
        </w:rPr>
        <w:t>damages</w:t>
      </w:r>
      <w:r w:rsidR="005F70C5">
        <w:rPr>
          <w:rFonts w:ascii="Times New Roman" w:hAnsi="Times New Roman" w:cs="Times New Roman"/>
          <w:sz w:val="24"/>
          <w:szCs w:val="24"/>
        </w:rPr>
        <w:t xml:space="preserve"> that</w:t>
      </w:r>
      <w:r>
        <w:rPr>
          <w:rFonts w:ascii="Times New Roman" w:hAnsi="Times New Roman" w:cs="Times New Roman"/>
          <w:sz w:val="24"/>
          <w:szCs w:val="24"/>
        </w:rPr>
        <w:t xml:space="preserve"> could have been done prior to</w:t>
      </w:r>
      <w:r w:rsidR="005F70C5">
        <w:rPr>
          <w:rFonts w:ascii="Times New Roman" w:hAnsi="Times New Roman" w:cs="Times New Roman"/>
          <w:sz w:val="24"/>
          <w:szCs w:val="24"/>
        </w:rPr>
        <w:t xml:space="preserve"> or</w:t>
      </w:r>
      <w:r>
        <w:rPr>
          <w:rFonts w:ascii="Times New Roman" w:hAnsi="Times New Roman" w:cs="Times New Roman"/>
          <w:sz w:val="24"/>
          <w:szCs w:val="24"/>
        </w:rPr>
        <w:t xml:space="preserve"> at pre-trial conference stage.</w:t>
      </w:r>
      <w:r w:rsidR="00F44561">
        <w:rPr>
          <w:rFonts w:ascii="Times New Roman" w:hAnsi="Times New Roman" w:cs="Times New Roman"/>
          <w:sz w:val="24"/>
          <w:szCs w:val="24"/>
        </w:rPr>
        <w:t xml:space="preserve"> With the pre-collision value of the bus being readily ascertainable and the value of what was salvaged being put at $22 000.00 it is not difficult to quantify the plaintiff’s loss, which is the difference between the two figures. </w:t>
      </w:r>
    </w:p>
    <w:p w:rsidR="004F6BA6" w:rsidRDefault="004F6BA6" w:rsidP="00AB0FC7">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Accordingly judgment is entered against the defendant as follows-</w:t>
      </w:r>
    </w:p>
    <w:p w:rsidR="004F6BA6" w:rsidRDefault="004F6BA6" w:rsidP="00AB0F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Payment of the sum of US$64 643.20.</w:t>
      </w:r>
    </w:p>
    <w:p w:rsidR="004F6BA6" w:rsidRDefault="004F6BA6" w:rsidP="00AB0F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Interest on the sum</w:t>
      </w:r>
      <w:r w:rsidRPr="004F6BA6">
        <w:rPr>
          <w:rFonts w:ascii="Times New Roman" w:hAnsi="Times New Roman" w:cs="Times New Roman"/>
          <w:sz w:val="24"/>
          <w:szCs w:val="24"/>
        </w:rPr>
        <w:t xml:space="preserve"> </w:t>
      </w:r>
      <w:r>
        <w:rPr>
          <w:rFonts w:ascii="Times New Roman" w:hAnsi="Times New Roman" w:cs="Times New Roman"/>
          <w:sz w:val="24"/>
          <w:szCs w:val="24"/>
        </w:rPr>
        <w:t>of US$64 643.20 at the prescribed rate from the date of judgment to the date of payment in full.</w:t>
      </w:r>
    </w:p>
    <w:p w:rsidR="004F6BA6" w:rsidRDefault="004F6BA6" w:rsidP="00AB0FC7">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Costs of suit.</w:t>
      </w:r>
    </w:p>
    <w:p w:rsidR="004F6BA6" w:rsidRDefault="004F6BA6" w:rsidP="00AB0FC7">
      <w:pPr>
        <w:spacing w:line="360" w:lineRule="auto"/>
        <w:jc w:val="both"/>
        <w:rPr>
          <w:rFonts w:ascii="Times New Roman" w:hAnsi="Times New Roman" w:cs="Times New Roman"/>
          <w:sz w:val="24"/>
          <w:szCs w:val="24"/>
        </w:rPr>
      </w:pPr>
    </w:p>
    <w:p w:rsidR="008A41A1" w:rsidRDefault="008A41A1" w:rsidP="00AB0FC7">
      <w:pPr>
        <w:spacing w:line="360" w:lineRule="auto"/>
        <w:jc w:val="both"/>
        <w:rPr>
          <w:rFonts w:ascii="Times New Roman" w:hAnsi="Times New Roman" w:cs="Times New Roman"/>
          <w:sz w:val="24"/>
          <w:szCs w:val="24"/>
        </w:rPr>
      </w:pPr>
    </w:p>
    <w:p w:rsidR="004F6BA6" w:rsidRDefault="004F6BA6" w:rsidP="00773E10">
      <w:pPr>
        <w:spacing w:after="0" w:line="240" w:lineRule="auto"/>
        <w:jc w:val="both"/>
        <w:rPr>
          <w:rFonts w:ascii="Times New Roman" w:hAnsi="Times New Roman" w:cs="Times New Roman"/>
          <w:sz w:val="24"/>
          <w:szCs w:val="24"/>
        </w:rPr>
      </w:pPr>
      <w:r w:rsidRPr="004F6BA6">
        <w:rPr>
          <w:rFonts w:ascii="Times New Roman" w:hAnsi="Times New Roman" w:cs="Times New Roman"/>
          <w:i/>
          <w:sz w:val="24"/>
          <w:szCs w:val="24"/>
        </w:rPr>
        <w:t>Mhishi Legal Practice</w:t>
      </w:r>
      <w:r>
        <w:rPr>
          <w:rFonts w:ascii="Times New Roman" w:hAnsi="Times New Roman" w:cs="Times New Roman"/>
          <w:sz w:val="24"/>
          <w:szCs w:val="24"/>
        </w:rPr>
        <w:t>, plaintiff’s legal practitioners</w:t>
      </w:r>
    </w:p>
    <w:p w:rsidR="004F6BA6" w:rsidRPr="004F6BA6" w:rsidRDefault="004F6BA6" w:rsidP="00773E10">
      <w:pPr>
        <w:spacing w:after="0" w:line="240" w:lineRule="auto"/>
        <w:jc w:val="both"/>
        <w:rPr>
          <w:rFonts w:ascii="Times New Roman" w:hAnsi="Times New Roman" w:cs="Times New Roman"/>
          <w:sz w:val="24"/>
          <w:szCs w:val="24"/>
        </w:rPr>
      </w:pPr>
      <w:r w:rsidRPr="004F6BA6">
        <w:rPr>
          <w:rFonts w:ascii="Times New Roman" w:hAnsi="Times New Roman" w:cs="Times New Roman"/>
          <w:i/>
          <w:sz w:val="24"/>
          <w:szCs w:val="24"/>
        </w:rPr>
        <w:t>Ncube &amp; Partners</w:t>
      </w:r>
      <w:r>
        <w:rPr>
          <w:rFonts w:ascii="Times New Roman" w:hAnsi="Times New Roman" w:cs="Times New Roman"/>
          <w:sz w:val="24"/>
          <w:szCs w:val="24"/>
        </w:rPr>
        <w:t>, defendant’s legal practitioners</w:t>
      </w:r>
      <w:r w:rsidRPr="004F6BA6">
        <w:rPr>
          <w:rFonts w:ascii="Times New Roman" w:hAnsi="Times New Roman" w:cs="Times New Roman"/>
          <w:sz w:val="24"/>
          <w:szCs w:val="24"/>
        </w:rPr>
        <w:t xml:space="preserve">  </w:t>
      </w:r>
    </w:p>
    <w:p w:rsidR="00773803" w:rsidRPr="00B15EE3" w:rsidRDefault="00563346" w:rsidP="00AB0FC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3B2F">
        <w:rPr>
          <w:rFonts w:ascii="Times New Roman" w:hAnsi="Times New Roman" w:cs="Times New Roman"/>
          <w:sz w:val="24"/>
          <w:szCs w:val="24"/>
        </w:rPr>
        <w:t xml:space="preserve"> </w:t>
      </w:r>
      <w:r w:rsidR="00E83D50">
        <w:rPr>
          <w:rFonts w:ascii="Times New Roman" w:hAnsi="Times New Roman" w:cs="Times New Roman"/>
          <w:sz w:val="24"/>
          <w:szCs w:val="24"/>
        </w:rPr>
        <w:t xml:space="preserve"> </w:t>
      </w:r>
      <w:r w:rsidR="007F4B9E">
        <w:rPr>
          <w:rFonts w:ascii="Times New Roman" w:hAnsi="Times New Roman" w:cs="Times New Roman"/>
          <w:sz w:val="24"/>
          <w:szCs w:val="24"/>
        </w:rPr>
        <w:t xml:space="preserve"> </w:t>
      </w:r>
    </w:p>
    <w:sectPr w:rsidR="00773803" w:rsidRPr="00B15EE3">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842" w:rsidRDefault="00940842" w:rsidP="00F91479">
      <w:pPr>
        <w:spacing w:after="0" w:line="240" w:lineRule="auto"/>
      </w:pPr>
      <w:r>
        <w:separator/>
      </w:r>
    </w:p>
  </w:endnote>
  <w:endnote w:type="continuationSeparator" w:id="0">
    <w:p w:rsidR="00940842" w:rsidRDefault="00940842" w:rsidP="00F91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842" w:rsidRDefault="00940842" w:rsidP="00F91479">
      <w:pPr>
        <w:spacing w:after="0" w:line="240" w:lineRule="auto"/>
      </w:pPr>
      <w:r>
        <w:separator/>
      </w:r>
    </w:p>
  </w:footnote>
  <w:footnote w:type="continuationSeparator" w:id="0">
    <w:p w:rsidR="00940842" w:rsidRDefault="00940842" w:rsidP="00F91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1643854"/>
      <w:docPartObj>
        <w:docPartGallery w:val="Page Numbers (Top of Page)"/>
        <w:docPartUnique/>
      </w:docPartObj>
    </w:sdtPr>
    <w:sdtEndPr>
      <w:rPr>
        <w:noProof/>
      </w:rPr>
    </w:sdtEndPr>
    <w:sdtContent>
      <w:p w:rsidR="00F91479" w:rsidRDefault="00F91479">
        <w:pPr>
          <w:pStyle w:val="Header"/>
          <w:jc w:val="right"/>
          <w:rPr>
            <w:noProof/>
          </w:rPr>
        </w:pPr>
        <w:r>
          <w:fldChar w:fldCharType="begin"/>
        </w:r>
        <w:r>
          <w:instrText xml:space="preserve"> PAGE   \* MERGEFORMAT </w:instrText>
        </w:r>
        <w:r>
          <w:fldChar w:fldCharType="separate"/>
        </w:r>
        <w:r w:rsidR="007174D2">
          <w:rPr>
            <w:noProof/>
          </w:rPr>
          <w:t>1</w:t>
        </w:r>
        <w:r>
          <w:rPr>
            <w:noProof/>
          </w:rPr>
          <w:fldChar w:fldCharType="end"/>
        </w:r>
      </w:p>
      <w:p w:rsidR="00F91479" w:rsidRDefault="00F91479">
        <w:pPr>
          <w:pStyle w:val="Header"/>
          <w:jc w:val="right"/>
          <w:rPr>
            <w:noProof/>
          </w:rPr>
        </w:pPr>
        <w:r>
          <w:rPr>
            <w:noProof/>
          </w:rPr>
          <w:t>HH</w:t>
        </w:r>
        <w:r w:rsidR="00DA2D1E">
          <w:rPr>
            <w:noProof/>
          </w:rPr>
          <w:t xml:space="preserve"> 72-18</w:t>
        </w:r>
      </w:p>
      <w:p w:rsidR="00F91479" w:rsidRDefault="00F91479">
        <w:pPr>
          <w:pStyle w:val="Header"/>
          <w:jc w:val="right"/>
        </w:pPr>
        <w:r>
          <w:rPr>
            <w:noProof/>
          </w:rPr>
          <w:t>HC 12341/15</w:t>
        </w:r>
      </w:p>
    </w:sdtContent>
  </w:sdt>
  <w:p w:rsidR="00F91479" w:rsidRDefault="00F9147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AE07D9"/>
    <w:multiLevelType w:val="hybridMultilevel"/>
    <w:tmpl w:val="3614FDEE"/>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EE3"/>
    <w:rsid w:val="000058DB"/>
    <w:rsid w:val="0002024E"/>
    <w:rsid w:val="00060A2E"/>
    <w:rsid w:val="00060FAF"/>
    <w:rsid w:val="00076220"/>
    <w:rsid w:val="000A4F8B"/>
    <w:rsid w:val="000C0003"/>
    <w:rsid w:val="00106D16"/>
    <w:rsid w:val="00170941"/>
    <w:rsid w:val="00171770"/>
    <w:rsid w:val="001C5745"/>
    <w:rsid w:val="00232C05"/>
    <w:rsid w:val="00237B5F"/>
    <w:rsid w:val="002C489B"/>
    <w:rsid w:val="002D2607"/>
    <w:rsid w:val="002F67E3"/>
    <w:rsid w:val="00316E9B"/>
    <w:rsid w:val="0032318D"/>
    <w:rsid w:val="003460D8"/>
    <w:rsid w:val="0036514D"/>
    <w:rsid w:val="003931D3"/>
    <w:rsid w:val="003A66F6"/>
    <w:rsid w:val="00416831"/>
    <w:rsid w:val="00425693"/>
    <w:rsid w:val="004532D8"/>
    <w:rsid w:val="004833D2"/>
    <w:rsid w:val="00485E11"/>
    <w:rsid w:val="00495468"/>
    <w:rsid w:val="004F6BA6"/>
    <w:rsid w:val="00510E4B"/>
    <w:rsid w:val="00562540"/>
    <w:rsid w:val="00563346"/>
    <w:rsid w:val="00565D7A"/>
    <w:rsid w:val="005802F8"/>
    <w:rsid w:val="005909C5"/>
    <w:rsid w:val="005B1CB7"/>
    <w:rsid w:val="005D05DC"/>
    <w:rsid w:val="005F70C5"/>
    <w:rsid w:val="00605188"/>
    <w:rsid w:val="00622D58"/>
    <w:rsid w:val="00685261"/>
    <w:rsid w:val="00691DA9"/>
    <w:rsid w:val="006A2EA4"/>
    <w:rsid w:val="006F109D"/>
    <w:rsid w:val="00703022"/>
    <w:rsid w:val="0071497A"/>
    <w:rsid w:val="00716C3C"/>
    <w:rsid w:val="007174D2"/>
    <w:rsid w:val="007233C0"/>
    <w:rsid w:val="00740879"/>
    <w:rsid w:val="00745CEC"/>
    <w:rsid w:val="00773803"/>
    <w:rsid w:val="00773E10"/>
    <w:rsid w:val="00794780"/>
    <w:rsid w:val="007A7339"/>
    <w:rsid w:val="007C22DE"/>
    <w:rsid w:val="007F1C81"/>
    <w:rsid w:val="007F2BF7"/>
    <w:rsid w:val="007F4B9E"/>
    <w:rsid w:val="00806AC9"/>
    <w:rsid w:val="0083156F"/>
    <w:rsid w:val="00862652"/>
    <w:rsid w:val="00867395"/>
    <w:rsid w:val="00885916"/>
    <w:rsid w:val="008A41A1"/>
    <w:rsid w:val="008F7EBA"/>
    <w:rsid w:val="00912268"/>
    <w:rsid w:val="00940842"/>
    <w:rsid w:val="0095542C"/>
    <w:rsid w:val="00962D1B"/>
    <w:rsid w:val="00980C49"/>
    <w:rsid w:val="009C1D15"/>
    <w:rsid w:val="009C27A9"/>
    <w:rsid w:val="009C6550"/>
    <w:rsid w:val="00A466F4"/>
    <w:rsid w:val="00A553A5"/>
    <w:rsid w:val="00A70A90"/>
    <w:rsid w:val="00AB0FC7"/>
    <w:rsid w:val="00AD1211"/>
    <w:rsid w:val="00B02666"/>
    <w:rsid w:val="00B037F2"/>
    <w:rsid w:val="00B15EE3"/>
    <w:rsid w:val="00B17AFD"/>
    <w:rsid w:val="00B65307"/>
    <w:rsid w:val="00BB60D5"/>
    <w:rsid w:val="00BC5F7B"/>
    <w:rsid w:val="00BD6285"/>
    <w:rsid w:val="00C23961"/>
    <w:rsid w:val="00C34A36"/>
    <w:rsid w:val="00C37211"/>
    <w:rsid w:val="00C61F65"/>
    <w:rsid w:val="00C80D3B"/>
    <w:rsid w:val="00C95023"/>
    <w:rsid w:val="00CA1E2B"/>
    <w:rsid w:val="00CA6D06"/>
    <w:rsid w:val="00CD716C"/>
    <w:rsid w:val="00D2672E"/>
    <w:rsid w:val="00D53077"/>
    <w:rsid w:val="00D83B2F"/>
    <w:rsid w:val="00D92904"/>
    <w:rsid w:val="00DA2D1E"/>
    <w:rsid w:val="00DB2695"/>
    <w:rsid w:val="00DC6893"/>
    <w:rsid w:val="00DF5BA8"/>
    <w:rsid w:val="00E35988"/>
    <w:rsid w:val="00E677D3"/>
    <w:rsid w:val="00E71601"/>
    <w:rsid w:val="00E74E5B"/>
    <w:rsid w:val="00E83D50"/>
    <w:rsid w:val="00EC02E5"/>
    <w:rsid w:val="00ED07E7"/>
    <w:rsid w:val="00ED1B49"/>
    <w:rsid w:val="00EF0559"/>
    <w:rsid w:val="00F01528"/>
    <w:rsid w:val="00F44561"/>
    <w:rsid w:val="00F453F7"/>
    <w:rsid w:val="00F67340"/>
    <w:rsid w:val="00F80AB8"/>
    <w:rsid w:val="00F91479"/>
    <w:rsid w:val="00FE74B1"/>
    <w:rsid w:val="00FE7D3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8B1711-3019-446F-B9A8-28D39016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6BA6"/>
    <w:pPr>
      <w:ind w:left="720"/>
      <w:contextualSpacing/>
    </w:pPr>
  </w:style>
  <w:style w:type="paragraph" w:styleId="Header">
    <w:name w:val="header"/>
    <w:basedOn w:val="Normal"/>
    <w:link w:val="HeaderChar"/>
    <w:uiPriority w:val="99"/>
    <w:unhideWhenUsed/>
    <w:rsid w:val="00F914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479"/>
  </w:style>
  <w:style w:type="paragraph" w:styleId="Footer">
    <w:name w:val="footer"/>
    <w:basedOn w:val="Normal"/>
    <w:link w:val="FooterChar"/>
    <w:uiPriority w:val="99"/>
    <w:unhideWhenUsed/>
    <w:rsid w:val="00F914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479"/>
  </w:style>
  <w:style w:type="paragraph" w:styleId="BalloonText">
    <w:name w:val="Balloon Text"/>
    <w:basedOn w:val="Normal"/>
    <w:link w:val="BalloonTextChar"/>
    <w:uiPriority w:val="99"/>
    <w:semiHidden/>
    <w:unhideWhenUsed/>
    <w:rsid w:val="00F80A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A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2018-02-09T08:16:00Z</cp:lastPrinted>
  <dcterms:created xsi:type="dcterms:W3CDTF">2018-02-19T07:41:00Z</dcterms:created>
  <dcterms:modified xsi:type="dcterms:W3CDTF">2018-02-19T07:41:00Z</dcterms:modified>
</cp:coreProperties>
</file>