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49" w:rsidRPr="00760568" w:rsidRDefault="00313A49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>IN THE LABOUR COURT OF ZIMBABWE       JUDGMENT NO. LC/H/</w:t>
      </w:r>
      <w:r w:rsidR="00293415">
        <w:rPr>
          <w:b/>
          <w:sz w:val="22"/>
          <w:szCs w:val="22"/>
        </w:rPr>
        <w:t>170</w:t>
      </w:r>
      <w:r w:rsidR="001F0040">
        <w:rPr>
          <w:b/>
          <w:sz w:val="22"/>
          <w:szCs w:val="22"/>
        </w:rPr>
        <w:t xml:space="preserve"> </w:t>
      </w:r>
      <w:bookmarkStart w:id="0" w:name="_GoBack"/>
      <w:bookmarkEnd w:id="0"/>
      <w:r w:rsidRPr="00760568">
        <w:rPr>
          <w:b/>
          <w:sz w:val="22"/>
          <w:szCs w:val="22"/>
        </w:rPr>
        <w:t>/2016</w:t>
      </w:r>
    </w:p>
    <w:p w:rsidR="00313A49" w:rsidRPr="00760568" w:rsidRDefault="00313A49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 xml:space="preserve">HARARE, 17 FEBRUARY 2016 </w:t>
      </w:r>
      <w:r w:rsidRPr="00760568">
        <w:rPr>
          <w:b/>
          <w:sz w:val="22"/>
          <w:szCs w:val="22"/>
        </w:rPr>
        <w:tab/>
      </w:r>
      <w:r w:rsidRPr="00760568">
        <w:rPr>
          <w:b/>
          <w:sz w:val="22"/>
          <w:szCs w:val="22"/>
        </w:rPr>
        <w:tab/>
      </w:r>
      <w:r w:rsidRPr="00760568">
        <w:rPr>
          <w:b/>
          <w:sz w:val="22"/>
          <w:szCs w:val="22"/>
        </w:rPr>
        <w:tab/>
        <w:t xml:space="preserve">     </w:t>
      </w:r>
      <w:r w:rsidRPr="00760568">
        <w:rPr>
          <w:b/>
          <w:sz w:val="22"/>
          <w:szCs w:val="22"/>
        </w:rPr>
        <w:tab/>
        <w:t>CASE NO. LC/H/691/15</w:t>
      </w:r>
    </w:p>
    <w:p w:rsidR="00313A49" w:rsidRPr="00760568" w:rsidRDefault="00313A49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 xml:space="preserve">AND </w:t>
      </w:r>
      <w:r w:rsidR="00293415">
        <w:rPr>
          <w:b/>
          <w:sz w:val="22"/>
          <w:szCs w:val="22"/>
        </w:rPr>
        <w:t>18 MARCH</w:t>
      </w:r>
      <w:r w:rsidRPr="00760568">
        <w:rPr>
          <w:b/>
          <w:sz w:val="22"/>
          <w:szCs w:val="22"/>
        </w:rPr>
        <w:t xml:space="preserve"> 2016</w:t>
      </w:r>
    </w:p>
    <w:p w:rsidR="00313A49" w:rsidRPr="00760568" w:rsidRDefault="00313A49" w:rsidP="00313A49">
      <w:pPr>
        <w:spacing w:line="360" w:lineRule="auto"/>
        <w:jc w:val="both"/>
        <w:rPr>
          <w:sz w:val="22"/>
          <w:szCs w:val="22"/>
        </w:rPr>
      </w:pPr>
      <w:r w:rsidRPr="00760568">
        <w:rPr>
          <w:sz w:val="22"/>
          <w:szCs w:val="22"/>
        </w:rPr>
        <w:t>In the matter between:-</w:t>
      </w:r>
    </w:p>
    <w:p w:rsidR="00313A49" w:rsidRPr="00760568" w:rsidRDefault="00313A49" w:rsidP="00313A49">
      <w:pPr>
        <w:spacing w:line="360" w:lineRule="auto"/>
        <w:jc w:val="both"/>
        <w:rPr>
          <w:sz w:val="22"/>
          <w:szCs w:val="22"/>
        </w:rPr>
      </w:pPr>
    </w:p>
    <w:p w:rsidR="00313A49" w:rsidRPr="00760568" w:rsidRDefault="00313A49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>ZIMBABWE SCHOOLS DEVELOPMENT ASSOCIATIONS</w:t>
      </w:r>
      <w:r w:rsidRPr="00760568">
        <w:rPr>
          <w:b/>
          <w:sz w:val="22"/>
          <w:szCs w:val="22"/>
        </w:rPr>
        <w:tab/>
      </w:r>
      <w:r w:rsidRPr="00760568">
        <w:rPr>
          <w:b/>
          <w:sz w:val="22"/>
          <w:szCs w:val="22"/>
        </w:rPr>
        <w:tab/>
        <w:t>Appellant</w:t>
      </w:r>
    </w:p>
    <w:p w:rsidR="00E15C33" w:rsidRPr="00760568" w:rsidRDefault="00E15C33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>AND COMMITTEES</w:t>
      </w:r>
    </w:p>
    <w:p w:rsidR="00313A49" w:rsidRPr="00760568" w:rsidRDefault="00313A49" w:rsidP="00313A49">
      <w:pPr>
        <w:tabs>
          <w:tab w:val="left" w:pos="1995"/>
        </w:tabs>
        <w:spacing w:line="360" w:lineRule="auto"/>
        <w:jc w:val="both"/>
        <w:outlineLvl w:val="0"/>
        <w:rPr>
          <w:sz w:val="22"/>
          <w:szCs w:val="22"/>
        </w:rPr>
      </w:pPr>
      <w:r w:rsidRPr="00760568">
        <w:rPr>
          <w:sz w:val="22"/>
          <w:szCs w:val="22"/>
        </w:rPr>
        <w:t>And</w:t>
      </w:r>
      <w:r w:rsidRPr="00760568">
        <w:rPr>
          <w:sz w:val="22"/>
          <w:szCs w:val="22"/>
        </w:rPr>
        <w:tab/>
      </w:r>
    </w:p>
    <w:p w:rsidR="00313A49" w:rsidRPr="00760568" w:rsidRDefault="00E15C33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>THE REGISTRAR OF LABOUR N.O.</w:t>
      </w:r>
      <w:r w:rsidR="00313A49" w:rsidRPr="00760568">
        <w:rPr>
          <w:b/>
          <w:sz w:val="22"/>
          <w:szCs w:val="22"/>
        </w:rPr>
        <w:tab/>
      </w:r>
      <w:r w:rsidR="00313A49" w:rsidRPr="00760568">
        <w:rPr>
          <w:b/>
          <w:sz w:val="22"/>
          <w:szCs w:val="22"/>
        </w:rPr>
        <w:tab/>
      </w:r>
      <w:r w:rsidRPr="00760568">
        <w:rPr>
          <w:b/>
          <w:sz w:val="22"/>
          <w:szCs w:val="22"/>
        </w:rPr>
        <w:tab/>
      </w:r>
      <w:r w:rsidRPr="00760568">
        <w:rPr>
          <w:b/>
          <w:sz w:val="22"/>
          <w:szCs w:val="22"/>
        </w:rPr>
        <w:tab/>
      </w:r>
      <w:r w:rsidRPr="00760568">
        <w:rPr>
          <w:b/>
          <w:sz w:val="22"/>
          <w:szCs w:val="22"/>
        </w:rPr>
        <w:tab/>
      </w:r>
      <w:r w:rsidR="003F629D" w:rsidRPr="00760568">
        <w:rPr>
          <w:b/>
          <w:sz w:val="22"/>
          <w:szCs w:val="22"/>
        </w:rPr>
        <w:t>1</w:t>
      </w:r>
      <w:r w:rsidR="003F629D" w:rsidRPr="00760568">
        <w:rPr>
          <w:b/>
          <w:sz w:val="22"/>
          <w:szCs w:val="22"/>
          <w:vertAlign w:val="superscript"/>
        </w:rPr>
        <w:t>st</w:t>
      </w:r>
      <w:r w:rsidR="003F629D" w:rsidRPr="00760568">
        <w:rPr>
          <w:b/>
          <w:sz w:val="22"/>
          <w:szCs w:val="22"/>
        </w:rPr>
        <w:t xml:space="preserve"> </w:t>
      </w:r>
      <w:r w:rsidR="00313A49" w:rsidRPr="00760568">
        <w:rPr>
          <w:b/>
          <w:sz w:val="22"/>
          <w:szCs w:val="22"/>
        </w:rPr>
        <w:t>Respondent</w:t>
      </w:r>
    </w:p>
    <w:p w:rsidR="003F629D" w:rsidRPr="00760568" w:rsidRDefault="003F629D" w:rsidP="00313A49">
      <w:pPr>
        <w:spacing w:line="360" w:lineRule="auto"/>
        <w:jc w:val="both"/>
        <w:rPr>
          <w:sz w:val="22"/>
          <w:szCs w:val="22"/>
        </w:rPr>
      </w:pPr>
      <w:r w:rsidRPr="00760568">
        <w:rPr>
          <w:sz w:val="22"/>
          <w:szCs w:val="22"/>
        </w:rPr>
        <w:t>And</w:t>
      </w:r>
    </w:p>
    <w:p w:rsidR="003F629D" w:rsidRPr="00760568" w:rsidRDefault="003F629D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>NATIONAL ASSOCIATION OF SCHOOL</w:t>
      </w:r>
      <w:r w:rsidR="00760568" w:rsidRPr="00760568">
        <w:rPr>
          <w:b/>
          <w:sz w:val="22"/>
          <w:szCs w:val="22"/>
        </w:rPr>
        <w:tab/>
      </w:r>
      <w:r w:rsidR="00760568">
        <w:rPr>
          <w:b/>
          <w:sz w:val="22"/>
          <w:szCs w:val="22"/>
        </w:rPr>
        <w:tab/>
      </w:r>
      <w:r w:rsidR="00760568" w:rsidRPr="00760568">
        <w:rPr>
          <w:b/>
          <w:sz w:val="22"/>
          <w:szCs w:val="22"/>
        </w:rPr>
        <w:tab/>
      </w:r>
      <w:r w:rsidR="00760568" w:rsidRPr="00760568">
        <w:rPr>
          <w:b/>
          <w:sz w:val="22"/>
          <w:szCs w:val="22"/>
        </w:rPr>
        <w:tab/>
      </w:r>
      <w:r w:rsidR="00760568" w:rsidRPr="00760568">
        <w:rPr>
          <w:b/>
          <w:sz w:val="22"/>
          <w:szCs w:val="22"/>
        </w:rPr>
        <w:tab/>
        <w:t>2</w:t>
      </w:r>
      <w:r w:rsidR="00760568" w:rsidRPr="00760568">
        <w:rPr>
          <w:b/>
          <w:sz w:val="22"/>
          <w:szCs w:val="22"/>
          <w:vertAlign w:val="superscript"/>
        </w:rPr>
        <w:t>nd</w:t>
      </w:r>
      <w:r w:rsidR="00760568" w:rsidRPr="00760568">
        <w:rPr>
          <w:b/>
          <w:sz w:val="22"/>
          <w:szCs w:val="22"/>
        </w:rPr>
        <w:t xml:space="preserve"> Responden</w:t>
      </w:r>
      <w:r w:rsidR="00760568">
        <w:rPr>
          <w:b/>
          <w:sz w:val="22"/>
          <w:szCs w:val="22"/>
        </w:rPr>
        <w:t>t</w:t>
      </w:r>
      <w:r w:rsidRPr="00760568">
        <w:rPr>
          <w:b/>
          <w:sz w:val="22"/>
          <w:szCs w:val="22"/>
        </w:rPr>
        <w:t xml:space="preserve"> </w:t>
      </w:r>
    </w:p>
    <w:p w:rsidR="003F629D" w:rsidRPr="00760568" w:rsidRDefault="003F629D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>DEVELOPMENT ASSOCIATIONS &amp; COMMITTEES</w:t>
      </w:r>
    </w:p>
    <w:p w:rsidR="00313A49" w:rsidRPr="00760568" w:rsidRDefault="00313A49" w:rsidP="00313A49">
      <w:pPr>
        <w:spacing w:line="360" w:lineRule="auto"/>
        <w:jc w:val="both"/>
        <w:rPr>
          <w:b/>
          <w:sz w:val="22"/>
          <w:szCs w:val="22"/>
        </w:rPr>
      </w:pPr>
    </w:p>
    <w:p w:rsidR="00313A49" w:rsidRDefault="00313A49" w:rsidP="00313A49">
      <w:pPr>
        <w:spacing w:line="360" w:lineRule="auto"/>
        <w:jc w:val="both"/>
        <w:outlineLvl w:val="0"/>
      </w:pPr>
      <w:r>
        <w:t xml:space="preserve">Before Honourable L.M. Murasi, Judge                             </w:t>
      </w:r>
    </w:p>
    <w:p w:rsidR="00313A49" w:rsidRPr="00047C13" w:rsidRDefault="00313A49" w:rsidP="00313A49">
      <w:pPr>
        <w:spacing w:line="360" w:lineRule="auto"/>
        <w:jc w:val="both"/>
      </w:pPr>
      <w:r w:rsidRPr="00047C13">
        <w:tab/>
      </w:r>
      <w:r w:rsidRPr="00047C13">
        <w:tab/>
      </w:r>
      <w:r w:rsidRPr="00047C13">
        <w:tab/>
      </w:r>
    </w:p>
    <w:p w:rsidR="00313A49" w:rsidRPr="00760568" w:rsidRDefault="00313A49" w:rsidP="00313A49">
      <w:pPr>
        <w:spacing w:line="360" w:lineRule="auto"/>
        <w:jc w:val="both"/>
        <w:rPr>
          <w:b/>
          <w:sz w:val="22"/>
          <w:szCs w:val="22"/>
        </w:rPr>
      </w:pPr>
      <w:r w:rsidRPr="00760568">
        <w:rPr>
          <w:b/>
          <w:sz w:val="22"/>
          <w:szCs w:val="22"/>
        </w:rPr>
        <w:t>For Appellant</w:t>
      </w:r>
      <w:r w:rsidR="00760568">
        <w:rPr>
          <w:b/>
          <w:sz w:val="22"/>
          <w:szCs w:val="22"/>
        </w:rPr>
        <w:tab/>
      </w:r>
      <w:r w:rsidRPr="00760568">
        <w:rPr>
          <w:b/>
          <w:sz w:val="22"/>
          <w:szCs w:val="22"/>
        </w:rPr>
        <w:tab/>
      </w:r>
      <w:r w:rsidR="00AF2B46">
        <w:rPr>
          <w:b/>
          <w:sz w:val="22"/>
          <w:szCs w:val="22"/>
        </w:rPr>
        <w:t>Mr M. Nkomo</w:t>
      </w:r>
      <w:r w:rsidRPr="00760568">
        <w:rPr>
          <w:b/>
          <w:sz w:val="22"/>
          <w:szCs w:val="22"/>
        </w:rPr>
        <w:t xml:space="preserve"> (Legal Practitioner)</w:t>
      </w:r>
    </w:p>
    <w:p w:rsidR="00313A49" w:rsidRPr="00760568" w:rsidRDefault="00760568" w:rsidP="00313A4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</w:t>
      </w:r>
      <w:r w:rsidR="00AF2B46">
        <w:rPr>
          <w:b/>
          <w:sz w:val="22"/>
          <w:szCs w:val="22"/>
        </w:rPr>
        <w:t>2</w:t>
      </w:r>
      <w:r w:rsidR="00AF2B46" w:rsidRPr="00AF2B46">
        <w:rPr>
          <w:b/>
          <w:sz w:val="22"/>
          <w:szCs w:val="22"/>
          <w:vertAlign w:val="superscript"/>
        </w:rPr>
        <w:t>nd</w:t>
      </w:r>
      <w:r w:rsidR="00AF2B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Respondent</w:t>
      </w:r>
      <w:r>
        <w:rPr>
          <w:b/>
          <w:sz w:val="22"/>
          <w:szCs w:val="22"/>
        </w:rPr>
        <w:tab/>
      </w:r>
      <w:r w:rsidR="00313A49" w:rsidRPr="00760568">
        <w:rPr>
          <w:b/>
          <w:sz w:val="22"/>
          <w:szCs w:val="22"/>
        </w:rPr>
        <w:tab/>
      </w:r>
      <w:r w:rsidR="00AF2B46">
        <w:rPr>
          <w:b/>
          <w:sz w:val="22"/>
          <w:szCs w:val="22"/>
        </w:rPr>
        <w:t xml:space="preserve">Mr W. </w:t>
      </w:r>
      <w:proofErr w:type="spellStart"/>
      <w:r w:rsidR="00AF2B46">
        <w:rPr>
          <w:b/>
          <w:sz w:val="22"/>
          <w:szCs w:val="22"/>
        </w:rPr>
        <w:t>Muzenda</w:t>
      </w:r>
      <w:proofErr w:type="spellEnd"/>
      <w:r w:rsidR="00C7099D">
        <w:rPr>
          <w:b/>
          <w:sz w:val="22"/>
          <w:szCs w:val="22"/>
        </w:rPr>
        <w:t xml:space="preserve"> (Legal Practitioner)</w:t>
      </w:r>
    </w:p>
    <w:p w:rsidR="00313A49" w:rsidRPr="00047C13" w:rsidRDefault="00313A49" w:rsidP="00313A49">
      <w:pPr>
        <w:spacing w:line="360" w:lineRule="auto"/>
        <w:jc w:val="both"/>
        <w:rPr>
          <w:b/>
        </w:rPr>
      </w:pPr>
    </w:p>
    <w:p w:rsidR="00313A49" w:rsidRDefault="00313A49" w:rsidP="00313A49">
      <w:pPr>
        <w:spacing w:line="360" w:lineRule="auto"/>
        <w:jc w:val="both"/>
        <w:outlineLvl w:val="0"/>
        <w:rPr>
          <w:b/>
        </w:rPr>
      </w:pPr>
      <w:r>
        <w:rPr>
          <w:b/>
        </w:rPr>
        <w:t>MURASI J:</w:t>
      </w:r>
    </w:p>
    <w:p w:rsidR="00F9492E" w:rsidRDefault="00F9492E" w:rsidP="00313A49">
      <w:pPr>
        <w:spacing w:line="360" w:lineRule="auto"/>
        <w:jc w:val="both"/>
        <w:outlineLvl w:val="0"/>
        <w:rPr>
          <w:b/>
        </w:rPr>
      </w:pPr>
    </w:p>
    <w:p w:rsidR="00F9492E" w:rsidRDefault="00F9492E" w:rsidP="007F3EAB">
      <w:pPr>
        <w:spacing w:line="360" w:lineRule="auto"/>
        <w:ind w:firstLine="720"/>
        <w:jc w:val="both"/>
        <w:outlineLvl w:val="0"/>
      </w:pPr>
      <w:r>
        <w:t>This is an appeal against the d</w:t>
      </w:r>
      <w:r w:rsidR="00C7099D">
        <w:t>ecision of Registrar of Labour a</w:t>
      </w:r>
      <w:r>
        <w:t>llowing the registration of second respondent in terms of section 45</w:t>
      </w:r>
      <w:r w:rsidR="00CF78D7">
        <w:t xml:space="preserve"> of the Labour Act, [Chapter 28:01].  Appellant is dissatisfied with the decisi</w:t>
      </w:r>
      <w:r w:rsidR="00C7099D">
        <w:t>on and has</w:t>
      </w:r>
      <w:r w:rsidR="00CF78D7">
        <w:t xml:space="preserve"> appealed to this Court.  Appellant’s </w:t>
      </w:r>
      <w:r w:rsidR="007F3EAB">
        <w:t>grounds of appeal are as follows:</w:t>
      </w:r>
    </w:p>
    <w:p w:rsidR="001B13C1" w:rsidRDefault="001B13C1" w:rsidP="00DC13D7">
      <w:pPr>
        <w:jc w:val="both"/>
        <w:outlineLvl w:val="0"/>
      </w:pPr>
    </w:p>
    <w:p w:rsidR="001B13C1" w:rsidRDefault="001B13C1" w:rsidP="001B13C1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t>The Registrar erred at law by disregarding the general rule enshrined in section 45 (i) (</w:t>
      </w:r>
      <w:proofErr w:type="gramStart"/>
      <w:r>
        <w:t>iv</w:t>
      </w:r>
      <w:proofErr w:type="gramEnd"/>
      <w:r>
        <w:t xml:space="preserve">) of the Labour Act </w:t>
      </w:r>
      <w:r w:rsidR="00EF66A8">
        <w:t xml:space="preserve">[Chapter 28:01] on the desirability of reducing to the least possible member, </w:t>
      </w:r>
      <w:r w:rsidR="0019543A">
        <w:t>the number</w:t>
      </w:r>
      <w:r w:rsidR="003A0716">
        <w:t xml:space="preserve"> of entities with which employees</w:t>
      </w:r>
      <w:r w:rsidR="00EF66A8">
        <w:t xml:space="preserve"> and employers have to negotiate.</w:t>
      </w:r>
    </w:p>
    <w:p w:rsidR="00EF66A8" w:rsidRDefault="00EF66A8" w:rsidP="001B13C1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t>The Registrar</w:t>
      </w:r>
      <w:r w:rsidR="00C17948">
        <w:t xml:space="preserve"> misdirec</w:t>
      </w:r>
      <w:r w:rsidR="0019543A">
        <w:t>ted herself and erred at law when she observed the legal provisions contained in the Constitution and the Act allow for multi</w:t>
      </w:r>
      <w:r w:rsidR="007C3924">
        <w:t>plicity of associations within the sector while she disregarded the provisions within which such multiplicity should be pursued.</w:t>
      </w:r>
    </w:p>
    <w:p w:rsidR="00957395" w:rsidRDefault="00957395" w:rsidP="001B13C1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lastRenderedPageBreak/>
        <w:t>The Registrar grossly misdirected herself when she held that objections were lodged by association</w:t>
      </w:r>
      <w:r w:rsidR="00FB3B18">
        <w:t>s</w:t>
      </w:r>
      <w:r>
        <w:t xml:space="preserve"> seeking to protect t</w:t>
      </w:r>
      <w:r w:rsidR="00F772ED">
        <w:t>h</w:t>
      </w:r>
      <w:r>
        <w:t>eir turf in so-doing she abdicated her responsibility enshrined in section 45 (1) of the Labour Act to consider the re</w:t>
      </w:r>
      <w:r w:rsidR="00FB3B18">
        <w:t>presentation</w:t>
      </w:r>
      <w:r w:rsidR="00F92194">
        <w:t>s made by interested persons against registration of the employers’ organisation.</w:t>
      </w:r>
    </w:p>
    <w:p w:rsidR="00F92194" w:rsidRDefault="003676E6" w:rsidP="001B13C1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t xml:space="preserve">The Registrar did not take into account the substance of the objections filed by the Appellant and the National Employment Council for the Welfare and Educational </w:t>
      </w:r>
      <w:r w:rsidR="00A024EC">
        <w:t>Association.</w:t>
      </w:r>
    </w:p>
    <w:p w:rsidR="00EF69A9" w:rsidRDefault="00EF69A9" w:rsidP="00DC13D7">
      <w:pPr>
        <w:jc w:val="both"/>
        <w:outlineLvl w:val="0"/>
      </w:pPr>
    </w:p>
    <w:p w:rsidR="00FC0BBC" w:rsidRDefault="000D245F" w:rsidP="00EF69A9">
      <w:pPr>
        <w:spacing w:line="360" w:lineRule="auto"/>
        <w:jc w:val="both"/>
        <w:outlineLvl w:val="0"/>
      </w:pPr>
      <w:r>
        <w:t>I</w:t>
      </w:r>
      <w:r w:rsidR="00FC0BBC">
        <w:t xml:space="preserve"> should state that the 1</w:t>
      </w:r>
      <w:r w:rsidR="00FC0BBC" w:rsidRPr="00FC0BBC">
        <w:rPr>
          <w:vertAlign w:val="superscript"/>
        </w:rPr>
        <w:t>st</w:t>
      </w:r>
      <w:r w:rsidR="00FC0BBC">
        <w:t xml:space="preserve"> respondent was not represented at the hearing and no papers were filed on the Registrar’s behalf.</w:t>
      </w:r>
    </w:p>
    <w:p w:rsidR="000D245F" w:rsidRDefault="000D245F" w:rsidP="00DC13D7">
      <w:pPr>
        <w:jc w:val="both"/>
        <w:outlineLvl w:val="0"/>
      </w:pPr>
    </w:p>
    <w:p w:rsidR="000D245F" w:rsidRDefault="000D245F" w:rsidP="00D909E6">
      <w:pPr>
        <w:spacing w:line="360" w:lineRule="auto"/>
        <w:ind w:firstLine="720"/>
        <w:jc w:val="both"/>
        <w:outlineLvl w:val="0"/>
      </w:pPr>
      <w:r w:rsidRPr="00853F3E">
        <w:rPr>
          <w:i/>
        </w:rPr>
        <w:t>Mr Nkomo</w:t>
      </w:r>
      <w:r>
        <w:t xml:space="preserve"> for the appellant stated that he abided by the documents filed of record</w:t>
      </w:r>
      <w:r w:rsidR="00064352">
        <w:t>.  He stated that the constitutional provision sought to be relied upon by the 2</w:t>
      </w:r>
      <w:r w:rsidR="00064352" w:rsidRPr="00064352">
        <w:rPr>
          <w:vertAlign w:val="superscript"/>
        </w:rPr>
        <w:t>nd</w:t>
      </w:r>
      <w:r w:rsidR="00064352">
        <w:t xml:space="preserve"> respondent should be read in </w:t>
      </w:r>
      <w:r w:rsidR="008D5D8A">
        <w:t xml:space="preserve">tandem with the existing legislation which has not been struck down as being inconsistent with the Constitution.  It was submitted that the provisions of the Constitution do not operate in a vacuum and the relevant section, which is section 45 of the Labour Act, should have </w:t>
      </w:r>
      <w:r w:rsidR="001121DE">
        <w:t>been interpreted accordingly.  It was argued in the heads of argument that the Registrar had violated the general rule in section 45 of</w:t>
      </w:r>
      <w:r w:rsidR="001B3D1C">
        <w:t xml:space="preserve"> the Act.  It was further submitted that 2</w:t>
      </w:r>
      <w:r w:rsidR="001B3D1C" w:rsidRPr="001B3D1C">
        <w:rPr>
          <w:vertAlign w:val="superscript"/>
        </w:rPr>
        <w:t>nd</w:t>
      </w:r>
      <w:r w:rsidR="001B3D1C">
        <w:t xml:space="preserve"> respondent had not discharged the onus of showing the necessity of registering another </w:t>
      </w:r>
      <w:r w:rsidR="00941E4A">
        <w:t xml:space="preserve">association. </w:t>
      </w:r>
      <w:r w:rsidR="00853F3E">
        <w:t xml:space="preserve"> </w:t>
      </w:r>
      <w:r w:rsidR="00853F3E" w:rsidRPr="00853F3E">
        <w:rPr>
          <w:i/>
        </w:rPr>
        <w:t>Mr Nkomo</w:t>
      </w:r>
      <w:r w:rsidR="00853F3E">
        <w:t xml:space="preserve"> stated that the wording of the general rule in the </w:t>
      </w:r>
      <w:r w:rsidR="008500F2">
        <w:t>section was “minimalist”, tha</w:t>
      </w:r>
      <w:r w:rsidR="00E826F2">
        <w:t xml:space="preserve">t is, the </w:t>
      </w:r>
      <w:proofErr w:type="gramStart"/>
      <w:r w:rsidR="00E826F2">
        <w:t>number of entities we</w:t>
      </w:r>
      <w:r w:rsidR="008500F2">
        <w:t>re</w:t>
      </w:r>
      <w:proofErr w:type="gramEnd"/>
      <w:r w:rsidR="008500F2">
        <w:t xml:space="preserve"> to be kept as low as possible</w:t>
      </w:r>
      <w:r w:rsidR="008034F7">
        <w:t>.  It was further stated that the 1</w:t>
      </w:r>
      <w:r w:rsidR="008034F7" w:rsidRPr="008034F7">
        <w:rPr>
          <w:vertAlign w:val="superscript"/>
        </w:rPr>
        <w:t>st</w:t>
      </w:r>
      <w:r w:rsidR="008034F7">
        <w:t xml:space="preserve"> respondent had taken an armchair approach and drew a simplistic conclusion that was legal</w:t>
      </w:r>
      <w:r w:rsidR="00941E4A">
        <w:t>ly</w:t>
      </w:r>
      <w:r w:rsidR="008034F7">
        <w:t xml:space="preserve"> unsustainable.  </w:t>
      </w:r>
      <w:r w:rsidR="008034F7" w:rsidRPr="00E43A47">
        <w:rPr>
          <w:i/>
        </w:rPr>
        <w:t>Mr Nkomo</w:t>
      </w:r>
      <w:r w:rsidR="007C054F">
        <w:t xml:space="preserve"> further </w:t>
      </w:r>
      <w:r w:rsidR="004C28DB">
        <w:t>argued in his heads of argument that 1</w:t>
      </w:r>
      <w:r w:rsidR="004C28DB" w:rsidRPr="004C28DB">
        <w:rPr>
          <w:vertAlign w:val="superscript"/>
        </w:rPr>
        <w:t>st</w:t>
      </w:r>
      <w:r w:rsidR="004C28DB">
        <w:t xml:space="preserve"> respondent had disregarded evidence placed before her and </w:t>
      </w:r>
      <w:r w:rsidR="00E6124E">
        <w:t>submissions</w:t>
      </w:r>
      <w:r w:rsidR="004C28DB">
        <w:t xml:space="preserve"> on the </w:t>
      </w:r>
      <w:r w:rsidR="00E6124E">
        <w:t>undesirability of adding more employers’ organisations.</w:t>
      </w:r>
    </w:p>
    <w:p w:rsidR="00304795" w:rsidRDefault="00304795" w:rsidP="00E826F2">
      <w:pPr>
        <w:ind w:firstLine="720"/>
        <w:jc w:val="both"/>
        <w:outlineLvl w:val="0"/>
      </w:pPr>
    </w:p>
    <w:p w:rsidR="00304795" w:rsidRDefault="00304795" w:rsidP="00D909E6">
      <w:pPr>
        <w:spacing w:line="360" w:lineRule="auto"/>
        <w:ind w:firstLine="720"/>
        <w:jc w:val="both"/>
        <w:outlineLvl w:val="0"/>
      </w:pPr>
      <w:r w:rsidRPr="00A3794A">
        <w:rPr>
          <w:i/>
        </w:rPr>
        <w:t>Mr Muzenda</w:t>
      </w:r>
      <w:r>
        <w:t xml:space="preserve"> for the 2</w:t>
      </w:r>
      <w:r w:rsidRPr="00304795">
        <w:rPr>
          <w:vertAlign w:val="superscript"/>
        </w:rPr>
        <w:t>nd</w:t>
      </w:r>
      <w:r>
        <w:t xml:space="preserve"> respondent also stated that he abided by the heads of argument filed of record.  He submitted that the Constitution was the s</w:t>
      </w:r>
      <w:r w:rsidR="00842506">
        <w:t>upreme law and every legislation was to confirm to its provisions.  In this vein it was stated that every employer and emplo</w:t>
      </w:r>
      <w:r w:rsidR="00223FC1">
        <w:t xml:space="preserve">yee was free to form organisations of their choice or to </w:t>
      </w:r>
      <w:r w:rsidR="00223FC1">
        <w:lastRenderedPageBreak/>
        <w:t>join other organisations.  It was argued that the 1</w:t>
      </w:r>
      <w:r w:rsidR="00223FC1" w:rsidRPr="00223FC1">
        <w:rPr>
          <w:vertAlign w:val="superscript"/>
        </w:rPr>
        <w:t>st</w:t>
      </w:r>
      <w:r w:rsidR="00223FC1">
        <w:t xml:space="preserve"> respondent was therefore correct in stating that section 45 of the Labour Act allowed for a </w:t>
      </w:r>
      <w:r w:rsidR="00230BEC">
        <w:t>plurality</w:t>
      </w:r>
      <w:r w:rsidR="00007E41">
        <w:t xml:space="preserve"> of organisations.</w:t>
      </w:r>
      <w:r w:rsidR="00230BEC">
        <w:t xml:space="preserve">  It was further submitted that the </w:t>
      </w:r>
      <w:r w:rsidR="00847BF5">
        <w:t>registration of 2</w:t>
      </w:r>
      <w:r w:rsidR="00847BF5" w:rsidRPr="00847BF5">
        <w:rPr>
          <w:vertAlign w:val="superscript"/>
        </w:rPr>
        <w:t>nd</w:t>
      </w:r>
      <w:r w:rsidR="00847BF5">
        <w:t xml:space="preserve"> re</w:t>
      </w:r>
      <w:r w:rsidR="003D5EF0">
        <w:t xml:space="preserve">spondent created a platform for employers to make a choice as to which organisation to join.  </w:t>
      </w:r>
      <w:r w:rsidR="003D5EF0" w:rsidRPr="00A3794A">
        <w:rPr>
          <w:i/>
        </w:rPr>
        <w:t xml:space="preserve">Mr </w:t>
      </w:r>
      <w:r w:rsidR="0016014A" w:rsidRPr="00A3794A">
        <w:rPr>
          <w:i/>
        </w:rPr>
        <w:t>Muzenda</w:t>
      </w:r>
      <w:r w:rsidR="0016014A">
        <w:t xml:space="preserve"> stated that 1</w:t>
      </w:r>
      <w:r w:rsidR="0016014A" w:rsidRPr="0016014A">
        <w:rPr>
          <w:vertAlign w:val="superscript"/>
        </w:rPr>
        <w:t>st</w:t>
      </w:r>
      <w:r w:rsidR="0016014A">
        <w:t xml:space="preserve"> respondent could not be faulted for registering 2</w:t>
      </w:r>
      <w:r w:rsidR="0016014A" w:rsidRPr="0016014A">
        <w:rPr>
          <w:vertAlign w:val="superscript"/>
        </w:rPr>
        <w:t>nd</w:t>
      </w:r>
      <w:r w:rsidR="0016014A">
        <w:t xml:space="preserve"> respondent.</w:t>
      </w:r>
    </w:p>
    <w:p w:rsidR="00FE46D7" w:rsidRDefault="00FE46D7" w:rsidP="00E826F2">
      <w:pPr>
        <w:ind w:firstLine="720"/>
        <w:jc w:val="both"/>
        <w:outlineLvl w:val="0"/>
      </w:pPr>
    </w:p>
    <w:p w:rsidR="00FE46D7" w:rsidRDefault="00FE46D7" w:rsidP="00D909E6">
      <w:pPr>
        <w:spacing w:line="360" w:lineRule="auto"/>
        <w:ind w:firstLine="720"/>
        <w:jc w:val="both"/>
        <w:outlineLvl w:val="0"/>
      </w:pPr>
      <w:r>
        <w:t>In making a determination of this matter it is pertinent that the provisions of the statute be considered</w:t>
      </w:r>
      <w:r w:rsidR="0036459E">
        <w:t>.  The factors which 1</w:t>
      </w:r>
      <w:r w:rsidR="0036459E" w:rsidRPr="0036459E">
        <w:rPr>
          <w:vertAlign w:val="superscript"/>
        </w:rPr>
        <w:t>st</w:t>
      </w:r>
      <w:r w:rsidR="0036459E">
        <w:t xml:space="preserve"> respondent was required to take into account in making a decision are provided for in section 45 of the Labour Act.  It is also </w:t>
      </w:r>
      <w:r w:rsidR="00440810">
        <w:t>correct that the Act enjoins the 1</w:t>
      </w:r>
      <w:r w:rsidR="00440810" w:rsidRPr="00D05A7C">
        <w:rPr>
          <w:vertAlign w:val="superscript"/>
        </w:rPr>
        <w:t>st</w:t>
      </w:r>
      <w:r w:rsidR="00D05A7C">
        <w:t xml:space="preserve"> respondent to give reasons for the decision arrived at.  Section 45 (1) (a) (i)</w:t>
      </w:r>
      <w:r w:rsidR="00952257">
        <w:t xml:space="preserve"> provides that </w:t>
      </w:r>
      <w:r w:rsidR="00124F4B">
        <w:t>1</w:t>
      </w:r>
      <w:r w:rsidR="00124F4B" w:rsidRPr="00F16DDE">
        <w:rPr>
          <w:vertAlign w:val="superscript"/>
        </w:rPr>
        <w:t>st</w:t>
      </w:r>
      <w:r w:rsidR="00124F4B">
        <w:t xml:space="preserve"> respondent</w:t>
      </w:r>
      <w:r w:rsidR="00146C59">
        <w:t xml:space="preserve"> should take </w:t>
      </w:r>
      <w:r w:rsidR="00587C59">
        <w:t>into account representations made by parties to the application concerned.  Considerations in sub-paragraph</w:t>
      </w:r>
      <w:r w:rsidR="00124F4B">
        <w:t xml:space="preserve">s (iii), (iv) and (vi) also relate to the </w:t>
      </w:r>
      <w:r w:rsidR="001D259D">
        <w:t>peculiarities of the concerned undertaking.</w:t>
      </w:r>
    </w:p>
    <w:p w:rsidR="001D259D" w:rsidRDefault="001D259D" w:rsidP="00E826F2">
      <w:pPr>
        <w:ind w:firstLine="720"/>
        <w:jc w:val="both"/>
        <w:outlineLvl w:val="0"/>
      </w:pPr>
    </w:p>
    <w:p w:rsidR="00BC5A35" w:rsidRDefault="001D259D" w:rsidP="00BC5A35">
      <w:pPr>
        <w:spacing w:line="360" w:lineRule="auto"/>
        <w:ind w:firstLine="720"/>
        <w:jc w:val="both"/>
        <w:outlineLvl w:val="0"/>
      </w:pPr>
      <w:r>
        <w:t>I will re-produce 1</w:t>
      </w:r>
      <w:r w:rsidRPr="001D259D">
        <w:rPr>
          <w:vertAlign w:val="superscript"/>
        </w:rPr>
        <w:t>st</w:t>
      </w:r>
      <w:r>
        <w:t xml:space="preserve"> respondent</w:t>
      </w:r>
      <w:r w:rsidR="00D561F8">
        <w:t>’s findings which are given as “O</w:t>
      </w:r>
      <w:r>
        <w:t xml:space="preserve">bservations”.  </w:t>
      </w:r>
      <w:r w:rsidR="00BC5A35">
        <w:t>She states thus</w:t>
      </w:r>
      <w:r w:rsidR="00D561F8">
        <w:t>:</w:t>
      </w:r>
    </w:p>
    <w:p w:rsidR="00BC5A35" w:rsidRDefault="00BC5A35" w:rsidP="00E826F2">
      <w:pPr>
        <w:jc w:val="both"/>
        <w:outlineLvl w:val="0"/>
      </w:pPr>
    </w:p>
    <w:p w:rsidR="00CE6BFF" w:rsidRDefault="008B2F5B" w:rsidP="00CE6BFF">
      <w:pPr>
        <w:spacing w:line="276" w:lineRule="auto"/>
        <w:ind w:left="1440" w:hanging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“1.</w:t>
      </w:r>
      <w:r>
        <w:rPr>
          <w:sz w:val="22"/>
          <w:szCs w:val="22"/>
        </w:rPr>
        <w:tab/>
      </w:r>
      <w:r w:rsidR="008D6E5A" w:rsidRPr="008B2F5B">
        <w:rPr>
          <w:sz w:val="22"/>
          <w:szCs w:val="22"/>
        </w:rPr>
        <w:t xml:space="preserve">Objections are being lodged by </w:t>
      </w:r>
      <w:r w:rsidR="00B32024" w:rsidRPr="008B2F5B">
        <w:rPr>
          <w:sz w:val="22"/>
          <w:szCs w:val="22"/>
        </w:rPr>
        <w:t>associations seeking to protect their turf and limit competition.  There are no thresholds stipu</w:t>
      </w:r>
      <w:r w:rsidR="00D561F8" w:rsidRPr="008B2F5B">
        <w:rPr>
          <w:sz w:val="22"/>
          <w:szCs w:val="22"/>
        </w:rPr>
        <w:t>lating how many members entitle</w:t>
      </w:r>
      <w:r w:rsidR="00B32024" w:rsidRPr="008B2F5B">
        <w:rPr>
          <w:sz w:val="22"/>
          <w:szCs w:val="22"/>
        </w:rPr>
        <w:t xml:space="preserve"> an applicant to reg</w:t>
      </w:r>
      <w:r w:rsidR="007F333C" w:rsidRPr="008B2F5B">
        <w:rPr>
          <w:sz w:val="22"/>
          <w:szCs w:val="22"/>
        </w:rPr>
        <w:t>istration.</w:t>
      </w:r>
    </w:p>
    <w:p w:rsidR="007C4A28" w:rsidRDefault="00415103" w:rsidP="007C4A28">
      <w:pPr>
        <w:spacing w:line="276" w:lineRule="auto"/>
        <w:ind w:left="1440" w:hanging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6BFF">
        <w:rPr>
          <w:sz w:val="22"/>
          <w:szCs w:val="22"/>
        </w:rPr>
        <w:t>2.</w:t>
      </w:r>
      <w:r w:rsidR="00CE6BFF">
        <w:rPr>
          <w:sz w:val="22"/>
          <w:szCs w:val="22"/>
        </w:rPr>
        <w:tab/>
      </w:r>
      <w:r w:rsidR="007F333C" w:rsidRPr="00CE6BFF">
        <w:rPr>
          <w:sz w:val="22"/>
          <w:szCs w:val="22"/>
        </w:rPr>
        <w:t xml:space="preserve">The legal provisions as contained in the Constitution and the </w:t>
      </w:r>
      <w:r w:rsidR="001700F3" w:rsidRPr="00CE6BFF">
        <w:rPr>
          <w:sz w:val="22"/>
          <w:szCs w:val="22"/>
        </w:rPr>
        <w:t>Act allow for mult</w:t>
      </w:r>
      <w:r w:rsidR="003705C2" w:rsidRPr="00CE6BFF">
        <w:rPr>
          <w:sz w:val="22"/>
          <w:szCs w:val="22"/>
        </w:rPr>
        <w:t>iplicity of associations within a sector.</w:t>
      </w:r>
    </w:p>
    <w:p w:rsidR="003705C2" w:rsidRPr="007C4A28" w:rsidRDefault="00415103" w:rsidP="007C4A28">
      <w:pPr>
        <w:spacing w:line="276" w:lineRule="auto"/>
        <w:ind w:left="1440" w:hanging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C4A28">
        <w:rPr>
          <w:sz w:val="22"/>
          <w:szCs w:val="22"/>
        </w:rPr>
        <w:t>3.</w:t>
      </w:r>
      <w:r w:rsidR="007C4A28">
        <w:rPr>
          <w:sz w:val="22"/>
          <w:szCs w:val="22"/>
        </w:rPr>
        <w:tab/>
      </w:r>
      <w:r w:rsidR="003705C2" w:rsidRPr="007C4A28">
        <w:rPr>
          <w:sz w:val="22"/>
          <w:szCs w:val="22"/>
        </w:rPr>
        <w:t>Registration of another employer organisation will not upset the collective bargaining</w:t>
      </w:r>
      <w:r w:rsidR="00E211B8" w:rsidRPr="007C4A28">
        <w:rPr>
          <w:sz w:val="22"/>
          <w:szCs w:val="22"/>
        </w:rPr>
        <w:t xml:space="preserve"> set up for the industry but will in fact broaden the base for consultation before collective bargaining.  It would</w:t>
      </w:r>
      <w:r w:rsidR="00C13313" w:rsidRPr="007C4A28">
        <w:rPr>
          <w:sz w:val="22"/>
          <w:szCs w:val="22"/>
        </w:rPr>
        <w:t xml:space="preserve"> afford the majority of employers in the industry access to representation by a registered employer’s organisation of their choice.  Healthy </w:t>
      </w:r>
      <w:r w:rsidR="007D0B2E" w:rsidRPr="007C4A28">
        <w:rPr>
          <w:sz w:val="22"/>
          <w:szCs w:val="22"/>
        </w:rPr>
        <w:t>competition will rid the sector of mono</w:t>
      </w:r>
      <w:r w:rsidR="004C5160" w:rsidRPr="007C4A28">
        <w:rPr>
          <w:sz w:val="22"/>
          <w:szCs w:val="22"/>
        </w:rPr>
        <w:t>po</w:t>
      </w:r>
      <w:r w:rsidR="007D0B2E" w:rsidRPr="007C4A28">
        <w:rPr>
          <w:sz w:val="22"/>
          <w:szCs w:val="22"/>
        </w:rPr>
        <w:t>listic tendencies and infuse good governance.”</w:t>
      </w:r>
    </w:p>
    <w:p w:rsidR="009A05EB" w:rsidRDefault="009A05EB" w:rsidP="009A05EB">
      <w:pPr>
        <w:pStyle w:val="ListParagraph"/>
        <w:spacing w:line="360" w:lineRule="auto"/>
        <w:jc w:val="both"/>
        <w:outlineLvl w:val="0"/>
      </w:pPr>
    </w:p>
    <w:p w:rsidR="00604128" w:rsidRDefault="00A422ED" w:rsidP="00BC51CA">
      <w:pPr>
        <w:spacing w:line="360" w:lineRule="auto"/>
        <w:ind w:firstLine="720"/>
        <w:jc w:val="both"/>
        <w:outlineLvl w:val="0"/>
      </w:pPr>
      <w:r>
        <w:t xml:space="preserve">A reading of these </w:t>
      </w:r>
      <w:r w:rsidR="00501DED">
        <w:t>“</w:t>
      </w:r>
      <w:r>
        <w:t>observations”</w:t>
      </w:r>
      <w:r w:rsidR="00604128">
        <w:t xml:space="preserve"> leaves on with the inescapable view that there must have been a preconception first and then a determined passion to support the pre</w:t>
      </w:r>
      <w:r w:rsidR="0025600F">
        <w:t xml:space="preserve">-conception.  The Court does not find </w:t>
      </w:r>
      <w:r w:rsidR="00645957">
        <w:t>any reasons for arriving at the decision.  There is no an</w:t>
      </w:r>
      <w:r w:rsidR="00EA4264">
        <w:t xml:space="preserve">alysis of the evidence that was given by parties during the </w:t>
      </w:r>
      <w:r w:rsidR="00563382">
        <w:t>accreditation</w:t>
      </w:r>
      <w:r w:rsidR="00382E49">
        <w:t xml:space="preserve"> proceedings.  I will not lose sight of the fact that the 1</w:t>
      </w:r>
      <w:r w:rsidR="00382E49" w:rsidRPr="00382E49">
        <w:rPr>
          <w:vertAlign w:val="superscript"/>
        </w:rPr>
        <w:t>st</w:t>
      </w:r>
      <w:r w:rsidR="00382E49">
        <w:t xml:space="preserve"> respondent is </w:t>
      </w:r>
      <w:r w:rsidR="00382E49">
        <w:lastRenderedPageBreak/>
        <w:t xml:space="preserve">not a court of law and therefore the detail that </w:t>
      </w:r>
      <w:r w:rsidR="00006DFC">
        <w:t xml:space="preserve">would be expected from a court of law would be somewhat lacking in the record.  However one would expect </w:t>
      </w:r>
      <w:r w:rsidR="00563382">
        <w:t>1</w:t>
      </w:r>
      <w:r w:rsidR="00563382" w:rsidRPr="0080686B">
        <w:rPr>
          <w:vertAlign w:val="superscript"/>
        </w:rPr>
        <w:t>st</w:t>
      </w:r>
      <w:r w:rsidR="00563382">
        <w:t xml:space="preserve"> respondent</w:t>
      </w:r>
      <w:r w:rsidR="007A6C64">
        <w:t xml:space="preserve"> to at least gi</w:t>
      </w:r>
      <w:r w:rsidR="00974EB9">
        <w:t>ve</w:t>
      </w:r>
      <w:r w:rsidR="007A6C64">
        <w:t xml:space="preserve"> reasons for arriving at</w:t>
      </w:r>
      <w:r w:rsidR="00563382">
        <w:t xml:space="preserve"> that decision.</w:t>
      </w:r>
    </w:p>
    <w:p w:rsidR="007725FF" w:rsidRDefault="007725FF" w:rsidP="002E1A56">
      <w:pPr>
        <w:jc w:val="both"/>
        <w:outlineLvl w:val="0"/>
      </w:pPr>
    </w:p>
    <w:p w:rsidR="007725FF" w:rsidRDefault="007725FF" w:rsidP="00BC51CA">
      <w:pPr>
        <w:spacing w:line="360" w:lineRule="auto"/>
        <w:ind w:firstLine="720"/>
        <w:jc w:val="both"/>
        <w:outlineLvl w:val="0"/>
      </w:pPr>
      <w:r>
        <w:t xml:space="preserve">A similar matter came up for consideration by McNally JA (as he then was) in </w:t>
      </w:r>
      <w:r w:rsidR="003E4C97" w:rsidRPr="000B5063">
        <w:rPr>
          <w:i/>
        </w:rPr>
        <w:t>Agricultural</w:t>
      </w:r>
      <w:r w:rsidRPr="000B5063">
        <w:rPr>
          <w:i/>
        </w:rPr>
        <w:t xml:space="preserve"> Labour</w:t>
      </w:r>
      <w:r w:rsidR="00BC51CA" w:rsidRPr="000B5063">
        <w:rPr>
          <w:i/>
        </w:rPr>
        <w:t xml:space="preserve"> Bureau &amp; Another</w:t>
      </w:r>
      <w:r w:rsidR="00BC51CA">
        <w:t xml:space="preserve"> vs </w:t>
      </w:r>
      <w:r w:rsidR="00BC51CA" w:rsidRPr="000B5063">
        <w:rPr>
          <w:i/>
        </w:rPr>
        <w:t>Zimbabwe Agro-Industry Workers Union</w:t>
      </w:r>
      <w:r w:rsidR="00BC51CA">
        <w:t xml:space="preserve"> 1998 (2) ZLR (SC)</w:t>
      </w:r>
      <w:r w:rsidR="00E7612B">
        <w:t>.  In that case the Court held that the brief reasons given by the Registrar were such that it was not possible to determine whether the Registrar had properly exercise</w:t>
      </w:r>
      <w:r w:rsidR="003F2D04">
        <w:t>d his discretion as a number of important salient questions were left unanswered</w:t>
      </w:r>
      <w:r w:rsidR="00E67C91">
        <w:t>.  The Court had this say:</w:t>
      </w:r>
    </w:p>
    <w:p w:rsidR="00E67C91" w:rsidRDefault="00E67C91" w:rsidP="002E1A56">
      <w:pPr>
        <w:ind w:firstLine="720"/>
        <w:jc w:val="both"/>
        <w:outlineLvl w:val="0"/>
      </w:pPr>
    </w:p>
    <w:p w:rsidR="00E67C91" w:rsidRPr="002E1A56" w:rsidRDefault="00E67C91" w:rsidP="002E1A56">
      <w:pPr>
        <w:spacing w:line="276" w:lineRule="auto"/>
        <w:ind w:left="720"/>
        <w:jc w:val="both"/>
        <w:outlineLvl w:val="0"/>
        <w:rPr>
          <w:sz w:val="22"/>
          <w:szCs w:val="22"/>
        </w:rPr>
      </w:pPr>
      <w:r w:rsidRPr="002E1A56">
        <w:rPr>
          <w:sz w:val="22"/>
          <w:szCs w:val="22"/>
        </w:rPr>
        <w:t>“It seems to me, that he has not done so.  This does not necessarily mean that he</w:t>
      </w:r>
      <w:r w:rsidR="00CF2D18" w:rsidRPr="002E1A56">
        <w:rPr>
          <w:sz w:val="22"/>
          <w:szCs w:val="22"/>
        </w:rPr>
        <w:t xml:space="preserve"> has</w:t>
      </w:r>
      <w:r w:rsidR="0073688A" w:rsidRPr="002E1A56">
        <w:rPr>
          <w:sz w:val="22"/>
          <w:szCs w:val="22"/>
        </w:rPr>
        <w:t xml:space="preserve"> come to a wrong conclusion.  It means only that neither the LRT (Labour Relations Tribunal) nor this court can determine whether he has properly exercised his discretion.  He has not </w:t>
      </w:r>
      <w:r w:rsidR="00974EB9">
        <w:rPr>
          <w:sz w:val="22"/>
          <w:szCs w:val="22"/>
        </w:rPr>
        <w:t>complie</w:t>
      </w:r>
      <w:r w:rsidR="008A3175" w:rsidRPr="002E1A56">
        <w:rPr>
          <w:sz w:val="22"/>
          <w:szCs w:val="22"/>
        </w:rPr>
        <w:t>d with the requirements:</w:t>
      </w:r>
    </w:p>
    <w:p w:rsidR="008A3175" w:rsidRPr="002E1A56" w:rsidRDefault="008A3175" w:rsidP="002E1A56">
      <w:pPr>
        <w:pStyle w:val="ListParagraph"/>
        <w:numPr>
          <w:ilvl w:val="0"/>
          <w:numId w:val="5"/>
        </w:numPr>
        <w:spacing w:line="276" w:lineRule="auto"/>
        <w:jc w:val="both"/>
        <w:outlineLvl w:val="0"/>
        <w:rPr>
          <w:sz w:val="22"/>
          <w:szCs w:val="22"/>
        </w:rPr>
      </w:pPr>
      <w:r w:rsidRPr="002E1A56">
        <w:rPr>
          <w:sz w:val="22"/>
          <w:szCs w:val="22"/>
        </w:rPr>
        <w:t>that he shall give his reasons;</w:t>
      </w:r>
    </w:p>
    <w:p w:rsidR="008A3175" w:rsidRPr="002E1A56" w:rsidRDefault="00BD6625" w:rsidP="002E1A56">
      <w:pPr>
        <w:pStyle w:val="ListParagraph"/>
        <w:numPr>
          <w:ilvl w:val="0"/>
          <w:numId w:val="5"/>
        </w:numPr>
        <w:spacing w:line="276" w:lineRule="auto"/>
        <w:jc w:val="both"/>
        <w:outlineLvl w:val="0"/>
        <w:rPr>
          <w:sz w:val="22"/>
          <w:szCs w:val="22"/>
        </w:rPr>
      </w:pPr>
      <w:r w:rsidRPr="002E1A56">
        <w:rPr>
          <w:sz w:val="22"/>
          <w:szCs w:val="22"/>
        </w:rPr>
        <w:t>that he shall take into account the considerations set out in section 45.</w:t>
      </w:r>
      <w:r w:rsidR="002E1A56" w:rsidRPr="002E1A56">
        <w:rPr>
          <w:sz w:val="22"/>
          <w:szCs w:val="22"/>
        </w:rPr>
        <w:t>”</w:t>
      </w:r>
    </w:p>
    <w:p w:rsidR="00F87545" w:rsidRDefault="00F87545" w:rsidP="002E1A56">
      <w:pPr>
        <w:jc w:val="both"/>
        <w:outlineLvl w:val="0"/>
      </w:pPr>
    </w:p>
    <w:p w:rsidR="00F87545" w:rsidRDefault="00F87545" w:rsidP="00093827">
      <w:pPr>
        <w:spacing w:line="360" w:lineRule="auto"/>
        <w:ind w:firstLine="720"/>
        <w:jc w:val="both"/>
        <w:outlineLvl w:val="0"/>
      </w:pPr>
      <w:r>
        <w:t xml:space="preserve">In </w:t>
      </w:r>
      <w:r w:rsidRPr="002E1A56">
        <w:rPr>
          <w:i/>
        </w:rPr>
        <w:t>casu</w:t>
      </w:r>
      <w:r>
        <w:t>, it is not possible to determine why 1</w:t>
      </w:r>
      <w:r w:rsidRPr="00F87545">
        <w:rPr>
          <w:vertAlign w:val="superscript"/>
        </w:rPr>
        <w:t>st</w:t>
      </w:r>
      <w:r>
        <w:t xml:space="preserve"> respondent found 2</w:t>
      </w:r>
      <w:r w:rsidRPr="00F87545">
        <w:rPr>
          <w:vertAlign w:val="superscript"/>
        </w:rPr>
        <w:t>nd</w:t>
      </w:r>
      <w:r>
        <w:t xml:space="preserve"> respond</w:t>
      </w:r>
      <w:r w:rsidR="00674F6C">
        <w:t>ent’s application to be meritorious as against the submissions of the appellant.  No reasons are given for arriv</w:t>
      </w:r>
      <w:r w:rsidR="00093827">
        <w:t>ing at the decision.  1</w:t>
      </w:r>
      <w:r w:rsidR="00093827" w:rsidRPr="00093827">
        <w:rPr>
          <w:vertAlign w:val="superscript"/>
        </w:rPr>
        <w:t>st</w:t>
      </w:r>
      <w:r w:rsidR="00093827">
        <w:t xml:space="preserve"> respondent merely states as follows:</w:t>
      </w:r>
    </w:p>
    <w:p w:rsidR="00325665" w:rsidRDefault="00325665" w:rsidP="00325665">
      <w:pPr>
        <w:ind w:firstLine="720"/>
        <w:jc w:val="both"/>
        <w:outlineLvl w:val="0"/>
      </w:pPr>
    </w:p>
    <w:p w:rsidR="00325665" w:rsidRPr="00325665" w:rsidRDefault="00325665" w:rsidP="00325665">
      <w:pPr>
        <w:spacing w:line="276" w:lineRule="auto"/>
        <w:ind w:left="720"/>
        <w:jc w:val="both"/>
        <w:outlineLvl w:val="0"/>
        <w:rPr>
          <w:sz w:val="22"/>
          <w:szCs w:val="22"/>
        </w:rPr>
      </w:pPr>
      <w:r w:rsidRPr="00325665">
        <w:rPr>
          <w:sz w:val="22"/>
          <w:szCs w:val="22"/>
        </w:rPr>
        <w:t>“Objections are being lodged by associations seeking to protect their turf and limit competition.”</w:t>
      </w:r>
    </w:p>
    <w:p w:rsidR="00093827" w:rsidRDefault="00093827" w:rsidP="002E1A56">
      <w:pPr>
        <w:ind w:firstLine="720"/>
        <w:jc w:val="both"/>
        <w:outlineLvl w:val="0"/>
      </w:pPr>
    </w:p>
    <w:p w:rsidR="00093827" w:rsidRDefault="00093827" w:rsidP="00093827">
      <w:pPr>
        <w:spacing w:line="360" w:lineRule="auto"/>
        <w:ind w:firstLine="720"/>
        <w:jc w:val="both"/>
        <w:outlineLvl w:val="0"/>
      </w:pPr>
      <w:r>
        <w:t xml:space="preserve">The reasons for making such a finding </w:t>
      </w:r>
      <w:r w:rsidR="00A4313B">
        <w:t>remain obscure.  The failure to give reasons also do not show whether 1</w:t>
      </w:r>
      <w:r w:rsidR="00A4313B" w:rsidRPr="00EF785F">
        <w:rPr>
          <w:vertAlign w:val="superscript"/>
        </w:rPr>
        <w:t>st</w:t>
      </w:r>
      <w:r w:rsidR="00EF785F">
        <w:t xml:space="preserve"> respondent has compiled with the provisions</w:t>
      </w:r>
      <w:r w:rsidR="00A844C8">
        <w:t xml:space="preserve"> of section 45 under which several criteria are to be taken into account in determining the application.  There is a </w:t>
      </w:r>
      <w:r w:rsidR="00657F40">
        <w:t xml:space="preserve">dearth of evidence </w:t>
      </w:r>
      <w:r w:rsidR="00657F40" w:rsidRPr="00357D20">
        <w:rPr>
          <w:i/>
        </w:rPr>
        <w:t>ex facie</w:t>
      </w:r>
      <w:r w:rsidR="00657F40">
        <w:t xml:space="preserve"> the determination</w:t>
      </w:r>
      <w:r w:rsidR="00357D20">
        <w:t xml:space="preserve"> </w:t>
      </w:r>
      <w:r w:rsidR="00553F42">
        <w:t>to arrive at the conclusion that section 45 was c</w:t>
      </w:r>
      <w:r w:rsidR="003F0A14">
        <w:t>omplied with. This Court is not i</w:t>
      </w:r>
      <w:r w:rsidR="00961615">
        <w:t xml:space="preserve">n a position to comment on the </w:t>
      </w:r>
      <w:r w:rsidR="000F35E7">
        <w:t>merits of the application made by 2</w:t>
      </w:r>
      <w:r w:rsidR="000F35E7" w:rsidRPr="000F35E7">
        <w:rPr>
          <w:vertAlign w:val="superscript"/>
        </w:rPr>
        <w:t>nd</w:t>
      </w:r>
      <w:r w:rsidR="000F35E7">
        <w:t xml:space="preserve"> respondent and the opposing submissions made by appellant in the tribunal </w:t>
      </w:r>
      <w:r w:rsidR="000F35E7" w:rsidRPr="002D62A0">
        <w:rPr>
          <w:i/>
        </w:rPr>
        <w:t>a quo</w:t>
      </w:r>
      <w:r w:rsidR="002D62A0">
        <w:t xml:space="preserve"> due to insufficient evidence.</w:t>
      </w:r>
    </w:p>
    <w:p w:rsidR="00394298" w:rsidRDefault="00394298" w:rsidP="001E65CB">
      <w:pPr>
        <w:ind w:firstLine="720"/>
        <w:jc w:val="both"/>
        <w:outlineLvl w:val="0"/>
      </w:pPr>
    </w:p>
    <w:p w:rsidR="00394298" w:rsidRDefault="00394298" w:rsidP="00093827">
      <w:pPr>
        <w:spacing w:line="360" w:lineRule="auto"/>
        <w:ind w:firstLine="720"/>
        <w:jc w:val="both"/>
        <w:outlineLvl w:val="0"/>
      </w:pPr>
      <w:r>
        <w:lastRenderedPageBreak/>
        <w:t>In my view the 1</w:t>
      </w:r>
      <w:r w:rsidRPr="00394298">
        <w:rPr>
          <w:vertAlign w:val="superscript"/>
        </w:rPr>
        <w:t>st</w:t>
      </w:r>
      <w:r>
        <w:t xml:space="preserve"> respondent is required to give reasons and to take specified </w:t>
      </w:r>
      <w:r w:rsidR="0042099A">
        <w:t>considerations into account.  If he fails to do so, the proper course of action wi</w:t>
      </w:r>
      <w:r w:rsidR="009369DD">
        <w:t xml:space="preserve">ll </w:t>
      </w:r>
      <w:r w:rsidR="00FA361C">
        <w:t>be to remit the matter to 1</w:t>
      </w:r>
      <w:r w:rsidR="00FA361C" w:rsidRPr="00FA361C">
        <w:rPr>
          <w:vertAlign w:val="superscript"/>
        </w:rPr>
        <w:t>st</w:t>
      </w:r>
      <w:r w:rsidR="00FA361C">
        <w:t xml:space="preserve"> respondent to re-hear the matter.</w:t>
      </w:r>
    </w:p>
    <w:p w:rsidR="00FA361C" w:rsidRDefault="00FA361C" w:rsidP="001E65CB">
      <w:pPr>
        <w:jc w:val="both"/>
        <w:outlineLvl w:val="0"/>
      </w:pPr>
    </w:p>
    <w:p w:rsidR="00FA361C" w:rsidRDefault="00FA361C" w:rsidP="00FA361C">
      <w:pPr>
        <w:spacing w:line="360" w:lineRule="auto"/>
        <w:jc w:val="both"/>
        <w:outlineLvl w:val="0"/>
      </w:pPr>
      <w:r>
        <w:t>In the result the Court makes the following order:</w:t>
      </w:r>
    </w:p>
    <w:p w:rsidR="00FA361C" w:rsidRDefault="00FA361C" w:rsidP="00FA361C">
      <w:pPr>
        <w:spacing w:line="360" w:lineRule="auto"/>
        <w:jc w:val="both"/>
        <w:outlineLvl w:val="0"/>
      </w:pPr>
    </w:p>
    <w:p w:rsidR="00FA361C" w:rsidRDefault="00FA361C" w:rsidP="00FA361C">
      <w:pPr>
        <w:pStyle w:val="ListParagraph"/>
        <w:numPr>
          <w:ilvl w:val="0"/>
          <w:numId w:val="6"/>
        </w:numPr>
        <w:spacing w:line="360" w:lineRule="auto"/>
        <w:jc w:val="both"/>
        <w:outlineLvl w:val="0"/>
      </w:pPr>
      <w:r>
        <w:t>The appeal is allowed.</w:t>
      </w:r>
    </w:p>
    <w:p w:rsidR="00FA361C" w:rsidRDefault="00FA361C" w:rsidP="00FA361C">
      <w:pPr>
        <w:pStyle w:val="ListParagraph"/>
        <w:numPr>
          <w:ilvl w:val="0"/>
          <w:numId w:val="6"/>
        </w:numPr>
        <w:spacing w:line="360" w:lineRule="auto"/>
        <w:jc w:val="both"/>
        <w:outlineLvl w:val="0"/>
      </w:pPr>
      <w:r>
        <w:t>The decision of the Registrar is set aside.</w:t>
      </w:r>
    </w:p>
    <w:p w:rsidR="00FA361C" w:rsidRDefault="00FA361C" w:rsidP="00FA361C">
      <w:pPr>
        <w:pStyle w:val="ListParagraph"/>
        <w:numPr>
          <w:ilvl w:val="0"/>
          <w:numId w:val="6"/>
        </w:numPr>
        <w:spacing w:line="360" w:lineRule="auto"/>
        <w:jc w:val="both"/>
        <w:outlineLvl w:val="0"/>
      </w:pPr>
      <w:r>
        <w:t xml:space="preserve">The matter is remitted to the Registrar </w:t>
      </w:r>
      <w:r w:rsidR="008413A7">
        <w:t xml:space="preserve">for </w:t>
      </w:r>
      <w:r>
        <w:t>re-hearing</w:t>
      </w:r>
      <w:r w:rsidR="00C06796">
        <w:t>, in light of observations made by this Court.</w:t>
      </w:r>
    </w:p>
    <w:p w:rsidR="00C06796" w:rsidRDefault="00C06796" w:rsidP="00FA361C">
      <w:pPr>
        <w:pStyle w:val="ListParagraph"/>
        <w:numPr>
          <w:ilvl w:val="0"/>
          <w:numId w:val="6"/>
        </w:numPr>
        <w:spacing w:line="360" w:lineRule="auto"/>
        <w:jc w:val="both"/>
        <w:outlineLvl w:val="0"/>
      </w:pPr>
      <w:r>
        <w:t>Each party to bear its own costs.</w:t>
      </w:r>
    </w:p>
    <w:p w:rsidR="00C06796" w:rsidRDefault="00C06796" w:rsidP="00C06796">
      <w:pPr>
        <w:spacing w:line="360" w:lineRule="auto"/>
        <w:jc w:val="both"/>
        <w:outlineLvl w:val="0"/>
      </w:pPr>
    </w:p>
    <w:p w:rsidR="00971386" w:rsidRDefault="00971386" w:rsidP="00C06796">
      <w:pPr>
        <w:spacing w:line="360" w:lineRule="auto"/>
        <w:jc w:val="both"/>
        <w:outlineLvl w:val="0"/>
      </w:pPr>
    </w:p>
    <w:p w:rsidR="00971386" w:rsidRDefault="00971386" w:rsidP="00C06796">
      <w:pPr>
        <w:spacing w:line="360" w:lineRule="auto"/>
        <w:jc w:val="both"/>
        <w:outlineLvl w:val="0"/>
      </w:pPr>
      <w:r w:rsidRPr="001E65CB">
        <w:rPr>
          <w:i/>
        </w:rPr>
        <w:t>Donsa-Nkomo &amp; Mutangi Legal Practice</w:t>
      </w:r>
      <w:r>
        <w:t>, appellant’s legal practitioners</w:t>
      </w:r>
    </w:p>
    <w:p w:rsidR="00971386" w:rsidRDefault="005C04A3" w:rsidP="00C06796">
      <w:pPr>
        <w:spacing w:line="360" w:lineRule="auto"/>
        <w:jc w:val="both"/>
        <w:outlineLvl w:val="0"/>
      </w:pPr>
      <w:r w:rsidRPr="001E65CB">
        <w:rPr>
          <w:i/>
        </w:rPr>
        <w:t>Muzenda &amp; Chitsama Attorneys</w:t>
      </w:r>
      <w:r>
        <w:t>, 2</w:t>
      </w:r>
      <w:r w:rsidRPr="005C04A3">
        <w:rPr>
          <w:vertAlign w:val="superscript"/>
        </w:rPr>
        <w:t>nd</w:t>
      </w:r>
      <w:r>
        <w:t xml:space="preserve"> respondent’s legal practitioners</w:t>
      </w:r>
    </w:p>
    <w:p w:rsidR="00093827" w:rsidRDefault="00093827" w:rsidP="00F87545">
      <w:pPr>
        <w:spacing w:line="360" w:lineRule="auto"/>
        <w:jc w:val="both"/>
        <w:outlineLvl w:val="0"/>
      </w:pPr>
    </w:p>
    <w:p w:rsidR="00E6124E" w:rsidRPr="00F9492E" w:rsidRDefault="00E6124E" w:rsidP="00EF69A9">
      <w:pPr>
        <w:spacing w:line="360" w:lineRule="auto"/>
        <w:jc w:val="both"/>
        <w:outlineLvl w:val="0"/>
      </w:pPr>
    </w:p>
    <w:p w:rsidR="00BF1A91" w:rsidRDefault="00BF1A91"/>
    <w:sectPr w:rsidR="00BF1A91" w:rsidSect="00B62B84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5E" w:rsidRDefault="00C12E5E" w:rsidP="00B62B84">
      <w:r>
        <w:separator/>
      </w:r>
    </w:p>
  </w:endnote>
  <w:endnote w:type="continuationSeparator" w:id="0">
    <w:p w:rsidR="00C12E5E" w:rsidRDefault="00C12E5E" w:rsidP="00B6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214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44C8" w:rsidRDefault="00A844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0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844C8" w:rsidRDefault="00A84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5E" w:rsidRDefault="00C12E5E" w:rsidP="00B62B84">
      <w:r>
        <w:separator/>
      </w:r>
    </w:p>
  </w:footnote>
  <w:footnote w:type="continuationSeparator" w:id="0">
    <w:p w:rsidR="00C12E5E" w:rsidRDefault="00C12E5E" w:rsidP="00B62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C8" w:rsidRPr="00B62B84" w:rsidRDefault="00A844C8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293415">
      <w:rPr>
        <w:lang w:val="en-ZW"/>
      </w:rPr>
      <w:t>170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4D01"/>
    <w:multiLevelType w:val="hybridMultilevel"/>
    <w:tmpl w:val="21AE57A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18B6"/>
    <w:multiLevelType w:val="hybridMultilevel"/>
    <w:tmpl w:val="75440FF6"/>
    <w:lvl w:ilvl="0" w:tplc="3009000F">
      <w:start w:val="1"/>
      <w:numFmt w:val="decimal"/>
      <w:lvlText w:val="%1.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5319B0"/>
    <w:multiLevelType w:val="hybridMultilevel"/>
    <w:tmpl w:val="4ABC9FD2"/>
    <w:lvl w:ilvl="0" w:tplc="6A189298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3418D3"/>
    <w:multiLevelType w:val="hybridMultilevel"/>
    <w:tmpl w:val="21925994"/>
    <w:lvl w:ilvl="0" w:tplc="56E65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A6B1C"/>
    <w:multiLevelType w:val="hybridMultilevel"/>
    <w:tmpl w:val="67E8AE60"/>
    <w:lvl w:ilvl="0" w:tplc="CF8E22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3C1ABE"/>
    <w:multiLevelType w:val="hybridMultilevel"/>
    <w:tmpl w:val="25268ED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E5569"/>
    <w:multiLevelType w:val="hybridMultilevel"/>
    <w:tmpl w:val="83B42B56"/>
    <w:lvl w:ilvl="0" w:tplc="3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441E8"/>
    <w:multiLevelType w:val="hybridMultilevel"/>
    <w:tmpl w:val="4FDE8944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C3EBA"/>
    <w:multiLevelType w:val="hybridMultilevel"/>
    <w:tmpl w:val="BAB4FC4A"/>
    <w:lvl w:ilvl="0" w:tplc="5CFC87A2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512" w:hanging="360"/>
      </w:pPr>
    </w:lvl>
    <w:lvl w:ilvl="2" w:tplc="3009001B" w:tentative="1">
      <w:start w:val="1"/>
      <w:numFmt w:val="lowerRoman"/>
      <w:lvlText w:val="%3."/>
      <w:lvlJc w:val="right"/>
      <w:pPr>
        <w:ind w:left="2232" w:hanging="180"/>
      </w:pPr>
    </w:lvl>
    <w:lvl w:ilvl="3" w:tplc="3009000F" w:tentative="1">
      <w:start w:val="1"/>
      <w:numFmt w:val="decimal"/>
      <w:lvlText w:val="%4."/>
      <w:lvlJc w:val="left"/>
      <w:pPr>
        <w:ind w:left="2952" w:hanging="360"/>
      </w:pPr>
    </w:lvl>
    <w:lvl w:ilvl="4" w:tplc="30090019" w:tentative="1">
      <w:start w:val="1"/>
      <w:numFmt w:val="lowerLetter"/>
      <w:lvlText w:val="%5."/>
      <w:lvlJc w:val="left"/>
      <w:pPr>
        <w:ind w:left="3672" w:hanging="360"/>
      </w:pPr>
    </w:lvl>
    <w:lvl w:ilvl="5" w:tplc="3009001B" w:tentative="1">
      <w:start w:val="1"/>
      <w:numFmt w:val="lowerRoman"/>
      <w:lvlText w:val="%6."/>
      <w:lvlJc w:val="right"/>
      <w:pPr>
        <w:ind w:left="4392" w:hanging="180"/>
      </w:pPr>
    </w:lvl>
    <w:lvl w:ilvl="6" w:tplc="3009000F" w:tentative="1">
      <w:start w:val="1"/>
      <w:numFmt w:val="decimal"/>
      <w:lvlText w:val="%7."/>
      <w:lvlJc w:val="left"/>
      <w:pPr>
        <w:ind w:left="5112" w:hanging="360"/>
      </w:pPr>
    </w:lvl>
    <w:lvl w:ilvl="7" w:tplc="30090019" w:tentative="1">
      <w:start w:val="1"/>
      <w:numFmt w:val="lowerLetter"/>
      <w:lvlText w:val="%8."/>
      <w:lvlJc w:val="left"/>
      <w:pPr>
        <w:ind w:left="5832" w:hanging="360"/>
      </w:pPr>
    </w:lvl>
    <w:lvl w:ilvl="8" w:tplc="3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68070DD"/>
    <w:multiLevelType w:val="hybridMultilevel"/>
    <w:tmpl w:val="2F0C2DF8"/>
    <w:lvl w:ilvl="0" w:tplc="04128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B34FF"/>
    <w:multiLevelType w:val="hybridMultilevel"/>
    <w:tmpl w:val="99A60C5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49"/>
    <w:rsid w:val="00006DFC"/>
    <w:rsid w:val="00007E41"/>
    <w:rsid w:val="00064352"/>
    <w:rsid w:val="00093827"/>
    <w:rsid w:val="000B5063"/>
    <w:rsid w:val="000D245F"/>
    <w:rsid w:val="000F35E7"/>
    <w:rsid w:val="001121DE"/>
    <w:rsid w:val="00124F4B"/>
    <w:rsid w:val="00146C59"/>
    <w:rsid w:val="0016014A"/>
    <w:rsid w:val="001700F3"/>
    <w:rsid w:val="0019543A"/>
    <w:rsid w:val="001B13C1"/>
    <w:rsid w:val="001B3D1C"/>
    <w:rsid w:val="001D259D"/>
    <w:rsid w:val="001E65CB"/>
    <w:rsid w:val="001F0040"/>
    <w:rsid w:val="00223FC1"/>
    <w:rsid w:val="00230BEC"/>
    <w:rsid w:val="00246400"/>
    <w:rsid w:val="00251026"/>
    <w:rsid w:val="0025600F"/>
    <w:rsid w:val="00257D38"/>
    <w:rsid w:val="0028232D"/>
    <w:rsid w:val="00293415"/>
    <w:rsid w:val="002D62A0"/>
    <w:rsid w:val="002E1A56"/>
    <w:rsid w:val="00304795"/>
    <w:rsid w:val="00313A49"/>
    <w:rsid w:val="00325665"/>
    <w:rsid w:val="00357D20"/>
    <w:rsid w:val="0036459E"/>
    <w:rsid w:val="003676E6"/>
    <w:rsid w:val="003705C2"/>
    <w:rsid w:val="00382E49"/>
    <w:rsid w:val="00394298"/>
    <w:rsid w:val="003A0716"/>
    <w:rsid w:val="003C6BC6"/>
    <w:rsid w:val="003D5EF0"/>
    <w:rsid w:val="003E4C97"/>
    <w:rsid w:val="003F0A14"/>
    <w:rsid w:val="003F2D04"/>
    <w:rsid w:val="003F629D"/>
    <w:rsid w:val="00415103"/>
    <w:rsid w:val="0042099A"/>
    <w:rsid w:val="00421EBB"/>
    <w:rsid w:val="00440810"/>
    <w:rsid w:val="00446D7B"/>
    <w:rsid w:val="0045774C"/>
    <w:rsid w:val="004C28DB"/>
    <w:rsid w:val="004C5160"/>
    <w:rsid w:val="004D02ED"/>
    <w:rsid w:val="00501DED"/>
    <w:rsid w:val="00553F42"/>
    <w:rsid w:val="00563382"/>
    <w:rsid w:val="00570D94"/>
    <w:rsid w:val="00587C59"/>
    <w:rsid w:val="005B1125"/>
    <w:rsid w:val="005C04A3"/>
    <w:rsid w:val="005F4F5E"/>
    <w:rsid w:val="00604128"/>
    <w:rsid w:val="00645957"/>
    <w:rsid w:val="00657F40"/>
    <w:rsid w:val="00674F6C"/>
    <w:rsid w:val="00700D89"/>
    <w:rsid w:val="0073688A"/>
    <w:rsid w:val="00760568"/>
    <w:rsid w:val="00765771"/>
    <w:rsid w:val="007725FF"/>
    <w:rsid w:val="007952BA"/>
    <w:rsid w:val="007A6C64"/>
    <w:rsid w:val="007C054F"/>
    <w:rsid w:val="007C3924"/>
    <w:rsid w:val="007C4A28"/>
    <w:rsid w:val="007D0B2E"/>
    <w:rsid w:val="007F333C"/>
    <w:rsid w:val="007F3EAB"/>
    <w:rsid w:val="008034F7"/>
    <w:rsid w:val="0080686B"/>
    <w:rsid w:val="008413A7"/>
    <w:rsid w:val="00842506"/>
    <w:rsid w:val="00847BF5"/>
    <w:rsid w:val="008500F2"/>
    <w:rsid w:val="00853F3E"/>
    <w:rsid w:val="008A3175"/>
    <w:rsid w:val="008B2F5B"/>
    <w:rsid w:val="008D5D8A"/>
    <w:rsid w:val="008D6E5A"/>
    <w:rsid w:val="009369DD"/>
    <w:rsid w:val="00941E4A"/>
    <w:rsid w:val="00952257"/>
    <w:rsid w:val="00957395"/>
    <w:rsid w:val="00961615"/>
    <w:rsid w:val="00971386"/>
    <w:rsid w:val="00974EB9"/>
    <w:rsid w:val="009A05EB"/>
    <w:rsid w:val="00A024EC"/>
    <w:rsid w:val="00A3794A"/>
    <w:rsid w:val="00A422ED"/>
    <w:rsid w:val="00A4313B"/>
    <w:rsid w:val="00A844C8"/>
    <w:rsid w:val="00AF2B46"/>
    <w:rsid w:val="00B22DBE"/>
    <w:rsid w:val="00B32024"/>
    <w:rsid w:val="00B62B84"/>
    <w:rsid w:val="00BA1488"/>
    <w:rsid w:val="00BC51CA"/>
    <w:rsid w:val="00BC5A35"/>
    <w:rsid w:val="00BD6625"/>
    <w:rsid w:val="00BF1A91"/>
    <w:rsid w:val="00C00138"/>
    <w:rsid w:val="00C06796"/>
    <w:rsid w:val="00C12E5E"/>
    <w:rsid w:val="00C13313"/>
    <w:rsid w:val="00C17948"/>
    <w:rsid w:val="00C7099D"/>
    <w:rsid w:val="00CE6BFF"/>
    <w:rsid w:val="00CF2D18"/>
    <w:rsid w:val="00CF78D7"/>
    <w:rsid w:val="00D05A7C"/>
    <w:rsid w:val="00D561F8"/>
    <w:rsid w:val="00D909E6"/>
    <w:rsid w:val="00DC13D7"/>
    <w:rsid w:val="00E15C33"/>
    <w:rsid w:val="00E211B8"/>
    <w:rsid w:val="00E43A47"/>
    <w:rsid w:val="00E6124E"/>
    <w:rsid w:val="00E67C91"/>
    <w:rsid w:val="00E7612B"/>
    <w:rsid w:val="00E826F2"/>
    <w:rsid w:val="00EA4264"/>
    <w:rsid w:val="00EF66A8"/>
    <w:rsid w:val="00EF69A9"/>
    <w:rsid w:val="00EF785F"/>
    <w:rsid w:val="00F16DDE"/>
    <w:rsid w:val="00F35D2A"/>
    <w:rsid w:val="00F772ED"/>
    <w:rsid w:val="00F87545"/>
    <w:rsid w:val="00F92194"/>
    <w:rsid w:val="00F9492E"/>
    <w:rsid w:val="00FA361C"/>
    <w:rsid w:val="00FB3B18"/>
    <w:rsid w:val="00FC0BBC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4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B8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2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B84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EB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B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4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B8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2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B84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EB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B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F3AF-C98D-407B-A153-DEF42948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2016-03-11T13:12:00Z</cp:lastPrinted>
  <dcterms:created xsi:type="dcterms:W3CDTF">2016-03-11T07:44:00Z</dcterms:created>
  <dcterms:modified xsi:type="dcterms:W3CDTF">2016-03-11T13:15:00Z</dcterms:modified>
</cp:coreProperties>
</file>