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0F2D4" w14:textId="6860A780" w:rsidR="001C2C4B" w:rsidRPr="005960CE" w:rsidRDefault="001C2C4B" w:rsidP="001466BB">
      <w:pPr>
        <w:spacing w:after="0" w:line="240" w:lineRule="auto"/>
        <w:rPr>
          <w:rFonts w:ascii="Times New Roman" w:hAnsi="Times New Roman" w:cs="Times New Roman"/>
          <w:sz w:val="24"/>
          <w:szCs w:val="24"/>
          <w:lang w:val="en-GB"/>
        </w:rPr>
      </w:pPr>
      <w:bookmarkStart w:id="0" w:name="_GoBack"/>
      <w:bookmarkEnd w:id="0"/>
      <w:r>
        <w:rPr>
          <w:rFonts w:ascii="Times New Roman" w:hAnsi="Times New Roman" w:cs="Times New Roman"/>
          <w:sz w:val="24"/>
          <w:szCs w:val="24"/>
          <w:lang w:val="en-GB"/>
        </w:rPr>
        <w:t>ZIMBABWE RURAL DISTRICT COUNCILS WORKERS UNION</w:t>
      </w:r>
    </w:p>
    <w:p w14:paraId="39C42125" w14:textId="77777777" w:rsidR="001466BB" w:rsidRPr="005960CE" w:rsidRDefault="001466BB" w:rsidP="001466BB">
      <w:pPr>
        <w:spacing w:after="0" w:line="240" w:lineRule="auto"/>
        <w:rPr>
          <w:rFonts w:ascii="Times New Roman" w:hAnsi="Times New Roman" w:cs="Times New Roman"/>
          <w:sz w:val="24"/>
          <w:szCs w:val="24"/>
          <w:lang w:val="en-GB"/>
        </w:rPr>
      </w:pPr>
      <w:r w:rsidRPr="005960CE">
        <w:rPr>
          <w:rFonts w:ascii="Times New Roman" w:hAnsi="Times New Roman" w:cs="Times New Roman"/>
          <w:sz w:val="24"/>
          <w:szCs w:val="24"/>
          <w:lang w:val="en-GB"/>
        </w:rPr>
        <w:t xml:space="preserve">versus </w:t>
      </w:r>
    </w:p>
    <w:p w14:paraId="34386893" w14:textId="6F1781CC" w:rsidR="001466BB" w:rsidRDefault="001C2C4B" w:rsidP="001466BB">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MAZOWE RURAL DISTRICT COUNCIL</w:t>
      </w:r>
    </w:p>
    <w:p w14:paraId="4497BE64" w14:textId="77A48A3B" w:rsidR="001C2C4B" w:rsidRDefault="001C2C4B" w:rsidP="001466BB">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and</w:t>
      </w:r>
    </w:p>
    <w:p w14:paraId="6DDF8868" w14:textId="39FF2696" w:rsidR="001C2C4B" w:rsidRDefault="001C2C4B" w:rsidP="001466BB">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GADAGA N.O</w:t>
      </w:r>
    </w:p>
    <w:p w14:paraId="7310AAF6" w14:textId="77777777" w:rsidR="001466BB" w:rsidRPr="005960CE" w:rsidRDefault="001466BB" w:rsidP="001466BB">
      <w:pPr>
        <w:spacing w:after="0" w:line="240" w:lineRule="auto"/>
        <w:rPr>
          <w:rFonts w:ascii="Times New Roman" w:hAnsi="Times New Roman" w:cs="Times New Roman"/>
          <w:sz w:val="24"/>
          <w:szCs w:val="24"/>
          <w:lang w:val="en-GB"/>
        </w:rPr>
      </w:pPr>
    </w:p>
    <w:p w14:paraId="617B9E38" w14:textId="77777777" w:rsidR="001466BB" w:rsidRPr="005960CE" w:rsidRDefault="001466BB" w:rsidP="001466BB">
      <w:pPr>
        <w:spacing w:after="0" w:line="240" w:lineRule="auto"/>
        <w:rPr>
          <w:rFonts w:ascii="Times New Roman" w:hAnsi="Times New Roman" w:cs="Times New Roman"/>
          <w:sz w:val="24"/>
          <w:szCs w:val="24"/>
          <w:lang w:val="en-GB"/>
        </w:rPr>
      </w:pPr>
    </w:p>
    <w:p w14:paraId="5E71B81D" w14:textId="77777777" w:rsidR="001466BB" w:rsidRPr="005960CE" w:rsidRDefault="001466BB" w:rsidP="001466BB">
      <w:pPr>
        <w:spacing w:after="0" w:line="240" w:lineRule="auto"/>
        <w:rPr>
          <w:rFonts w:ascii="Times New Roman" w:hAnsi="Times New Roman" w:cs="Times New Roman"/>
          <w:sz w:val="24"/>
          <w:szCs w:val="24"/>
          <w:lang w:val="en-GB"/>
        </w:rPr>
      </w:pPr>
      <w:r w:rsidRPr="005960CE">
        <w:rPr>
          <w:rFonts w:ascii="Times New Roman" w:hAnsi="Times New Roman" w:cs="Times New Roman"/>
          <w:sz w:val="24"/>
          <w:szCs w:val="24"/>
          <w:lang w:val="en-GB"/>
        </w:rPr>
        <w:t>HIGH COURT OF ZIMBABWE</w:t>
      </w:r>
    </w:p>
    <w:p w14:paraId="4BB10E58" w14:textId="77777777" w:rsidR="001466BB" w:rsidRPr="005960CE" w:rsidRDefault="001466BB" w:rsidP="001466BB">
      <w:pPr>
        <w:spacing w:after="0" w:line="240" w:lineRule="auto"/>
        <w:rPr>
          <w:rFonts w:ascii="Times New Roman" w:hAnsi="Times New Roman" w:cs="Times New Roman"/>
          <w:b/>
          <w:bCs/>
          <w:sz w:val="24"/>
          <w:szCs w:val="24"/>
          <w:lang w:val="en-GB"/>
        </w:rPr>
      </w:pPr>
      <w:r w:rsidRPr="005960CE">
        <w:rPr>
          <w:rFonts w:ascii="Times New Roman" w:hAnsi="Times New Roman" w:cs="Times New Roman"/>
          <w:b/>
          <w:bCs/>
          <w:sz w:val="24"/>
          <w:szCs w:val="24"/>
          <w:lang w:val="en-GB"/>
        </w:rPr>
        <w:t>TAKUVA J</w:t>
      </w:r>
    </w:p>
    <w:p w14:paraId="62802FB1" w14:textId="366656AD" w:rsidR="001466BB" w:rsidRPr="005960CE" w:rsidRDefault="001466BB" w:rsidP="001466BB">
      <w:pPr>
        <w:spacing w:after="0" w:line="240" w:lineRule="auto"/>
        <w:rPr>
          <w:rFonts w:ascii="Times New Roman" w:hAnsi="Times New Roman" w:cs="Times New Roman"/>
          <w:sz w:val="24"/>
          <w:szCs w:val="24"/>
          <w:lang w:val="en-GB"/>
        </w:rPr>
      </w:pPr>
      <w:r w:rsidRPr="005960CE">
        <w:rPr>
          <w:rFonts w:ascii="Times New Roman" w:hAnsi="Times New Roman" w:cs="Times New Roman"/>
          <w:sz w:val="24"/>
          <w:szCs w:val="24"/>
          <w:lang w:val="en-GB"/>
        </w:rPr>
        <w:t xml:space="preserve">HARARE; </w:t>
      </w:r>
      <w:r w:rsidR="00A81BA7">
        <w:rPr>
          <w:rFonts w:ascii="Times New Roman" w:hAnsi="Times New Roman" w:cs="Times New Roman"/>
          <w:sz w:val="24"/>
          <w:szCs w:val="24"/>
          <w:lang w:val="en-GB"/>
        </w:rPr>
        <w:t>2</w:t>
      </w:r>
      <w:r w:rsidR="001C2C4B">
        <w:rPr>
          <w:rFonts w:ascii="Times New Roman" w:hAnsi="Times New Roman" w:cs="Times New Roman"/>
          <w:sz w:val="24"/>
          <w:szCs w:val="24"/>
          <w:lang w:val="en-GB"/>
        </w:rPr>
        <w:t xml:space="preserve">5 November and </w:t>
      </w:r>
      <w:r w:rsidR="000E5F8D">
        <w:rPr>
          <w:rFonts w:ascii="Times New Roman" w:hAnsi="Times New Roman" w:cs="Times New Roman"/>
          <w:sz w:val="24"/>
          <w:szCs w:val="24"/>
          <w:lang w:val="en-GB"/>
        </w:rPr>
        <w:t>20</w:t>
      </w:r>
      <w:r w:rsidR="001C2C4B">
        <w:rPr>
          <w:rFonts w:ascii="Times New Roman" w:hAnsi="Times New Roman" w:cs="Times New Roman"/>
          <w:sz w:val="24"/>
          <w:szCs w:val="24"/>
          <w:lang w:val="en-GB"/>
        </w:rPr>
        <w:t xml:space="preserve"> March 2025</w:t>
      </w:r>
    </w:p>
    <w:p w14:paraId="6AB27E74" w14:textId="77777777" w:rsidR="001466BB" w:rsidRDefault="001466BB" w:rsidP="001466BB">
      <w:pPr>
        <w:spacing w:after="0" w:line="240" w:lineRule="auto"/>
        <w:rPr>
          <w:rFonts w:ascii="Times New Roman" w:hAnsi="Times New Roman" w:cs="Times New Roman"/>
          <w:sz w:val="24"/>
          <w:szCs w:val="24"/>
          <w:lang w:val="en-GB"/>
        </w:rPr>
      </w:pPr>
    </w:p>
    <w:p w14:paraId="5CAA0A38" w14:textId="77777777" w:rsidR="001466BB" w:rsidRPr="005960CE" w:rsidRDefault="001466BB" w:rsidP="001466BB">
      <w:pPr>
        <w:spacing w:after="0" w:line="240" w:lineRule="auto"/>
        <w:rPr>
          <w:rFonts w:ascii="Times New Roman" w:hAnsi="Times New Roman" w:cs="Times New Roman"/>
          <w:sz w:val="24"/>
          <w:szCs w:val="24"/>
          <w:lang w:val="en-GB"/>
        </w:rPr>
      </w:pPr>
    </w:p>
    <w:p w14:paraId="0256FDA2" w14:textId="3B46182B" w:rsidR="001466BB" w:rsidRDefault="001C2C4B" w:rsidP="001466BB">
      <w:pPr>
        <w:spacing w:after="0" w:line="24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Court Application for Registration of an Arbitral Award In Terms Of Section 98(14) Of The Labour Act</w:t>
      </w:r>
    </w:p>
    <w:p w14:paraId="5E4CE9EB" w14:textId="77777777" w:rsidR="001466BB" w:rsidRPr="005960CE" w:rsidRDefault="001466BB" w:rsidP="001466BB">
      <w:pPr>
        <w:spacing w:after="0" w:line="240" w:lineRule="auto"/>
        <w:rPr>
          <w:rFonts w:ascii="Times New Roman" w:hAnsi="Times New Roman" w:cs="Times New Roman"/>
          <w:b/>
          <w:bCs/>
          <w:sz w:val="24"/>
          <w:szCs w:val="24"/>
          <w:lang w:val="en-GB"/>
        </w:rPr>
      </w:pPr>
    </w:p>
    <w:p w14:paraId="47B6D3CF" w14:textId="77777777" w:rsidR="001466BB" w:rsidRPr="005960CE" w:rsidRDefault="001466BB" w:rsidP="001466BB">
      <w:pPr>
        <w:spacing w:after="0" w:line="240" w:lineRule="auto"/>
        <w:rPr>
          <w:rFonts w:ascii="Times New Roman" w:hAnsi="Times New Roman" w:cs="Times New Roman"/>
          <w:b/>
          <w:bCs/>
          <w:sz w:val="24"/>
          <w:szCs w:val="24"/>
          <w:lang w:val="en-GB"/>
        </w:rPr>
      </w:pPr>
    </w:p>
    <w:p w14:paraId="4BE88B35" w14:textId="25BC890B" w:rsidR="001466BB" w:rsidRPr="005960CE" w:rsidRDefault="00A81BA7" w:rsidP="001466BB">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T E Mudzuri</w:t>
      </w:r>
      <w:r w:rsidR="001466BB" w:rsidRPr="005960CE">
        <w:rPr>
          <w:rFonts w:ascii="Times New Roman" w:hAnsi="Times New Roman" w:cs="Times New Roman"/>
          <w:i/>
          <w:iCs/>
          <w:sz w:val="24"/>
          <w:szCs w:val="24"/>
          <w:lang w:val="en-GB"/>
        </w:rPr>
        <w:t>,</w:t>
      </w:r>
      <w:r w:rsidR="001466BB" w:rsidRPr="005960CE">
        <w:rPr>
          <w:rFonts w:ascii="Times New Roman" w:hAnsi="Times New Roman" w:cs="Times New Roman"/>
          <w:sz w:val="24"/>
          <w:szCs w:val="24"/>
          <w:lang w:val="en-GB"/>
        </w:rPr>
        <w:t xml:space="preserve"> for the applicant</w:t>
      </w:r>
    </w:p>
    <w:p w14:paraId="33315662" w14:textId="464EA32E" w:rsidR="001466BB" w:rsidRDefault="00A81BA7" w:rsidP="001466BB">
      <w:pPr>
        <w:spacing w:after="0" w:line="240" w:lineRule="auto"/>
        <w:rPr>
          <w:rFonts w:ascii="Times New Roman" w:hAnsi="Times New Roman" w:cs="Times New Roman"/>
          <w:sz w:val="24"/>
          <w:szCs w:val="24"/>
          <w:lang w:val="en-GB"/>
        </w:rPr>
      </w:pPr>
      <w:r>
        <w:rPr>
          <w:rFonts w:ascii="Times New Roman" w:hAnsi="Times New Roman" w:cs="Times New Roman"/>
          <w:i/>
          <w:iCs/>
          <w:sz w:val="24"/>
          <w:szCs w:val="24"/>
          <w:lang w:val="en-GB"/>
        </w:rPr>
        <w:t>M Mavhiringidze</w:t>
      </w:r>
      <w:r w:rsidR="001466BB" w:rsidRPr="005960CE">
        <w:rPr>
          <w:rFonts w:ascii="Times New Roman" w:hAnsi="Times New Roman" w:cs="Times New Roman"/>
          <w:i/>
          <w:iCs/>
          <w:sz w:val="24"/>
          <w:szCs w:val="24"/>
          <w:lang w:val="en-GB"/>
        </w:rPr>
        <w:t>,</w:t>
      </w:r>
      <w:r w:rsidR="001466BB" w:rsidRPr="005960CE">
        <w:rPr>
          <w:rFonts w:ascii="Times New Roman" w:hAnsi="Times New Roman" w:cs="Times New Roman"/>
          <w:sz w:val="24"/>
          <w:szCs w:val="24"/>
          <w:lang w:val="en-GB"/>
        </w:rPr>
        <w:t xml:space="preserve"> for the</w:t>
      </w:r>
      <w:r>
        <w:rPr>
          <w:rFonts w:ascii="Times New Roman" w:hAnsi="Times New Roman" w:cs="Times New Roman"/>
          <w:sz w:val="24"/>
          <w:szCs w:val="24"/>
          <w:lang w:val="en-GB"/>
        </w:rPr>
        <w:t>1</w:t>
      </w:r>
      <w:r>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w:t>
      </w:r>
      <w:r w:rsidR="001466BB">
        <w:rPr>
          <w:rFonts w:ascii="Times New Roman" w:hAnsi="Times New Roman" w:cs="Times New Roman"/>
          <w:sz w:val="24"/>
          <w:szCs w:val="24"/>
          <w:lang w:val="en-GB"/>
        </w:rPr>
        <w:t>r</w:t>
      </w:r>
      <w:r w:rsidR="001466BB" w:rsidRPr="005960CE">
        <w:rPr>
          <w:rFonts w:ascii="Times New Roman" w:hAnsi="Times New Roman" w:cs="Times New Roman"/>
          <w:sz w:val="24"/>
          <w:szCs w:val="24"/>
          <w:lang w:val="en-GB"/>
        </w:rPr>
        <w:t>espondent</w:t>
      </w:r>
    </w:p>
    <w:p w14:paraId="3E29B8CF" w14:textId="77777777" w:rsidR="00A81BA7" w:rsidRPr="005960CE" w:rsidRDefault="00A81BA7" w:rsidP="001466BB">
      <w:pPr>
        <w:spacing w:after="0" w:line="240" w:lineRule="auto"/>
        <w:rPr>
          <w:rFonts w:ascii="Times New Roman" w:hAnsi="Times New Roman" w:cs="Times New Roman"/>
          <w:sz w:val="24"/>
          <w:szCs w:val="24"/>
          <w:lang w:val="en-GB"/>
        </w:rPr>
      </w:pPr>
    </w:p>
    <w:p w14:paraId="06CBB72F" w14:textId="77777777" w:rsidR="001466BB" w:rsidRDefault="001466BB" w:rsidP="001466BB">
      <w:pPr>
        <w:spacing w:line="276" w:lineRule="auto"/>
        <w:rPr>
          <w:rFonts w:ascii="Century Gothic" w:hAnsi="Century Gothic"/>
          <w:sz w:val="24"/>
          <w:szCs w:val="24"/>
          <w:lang w:val="en-GB"/>
        </w:rPr>
      </w:pPr>
    </w:p>
    <w:p w14:paraId="0F9DD7F2" w14:textId="169C8658" w:rsidR="001466BB" w:rsidRDefault="001466BB" w:rsidP="0042024A">
      <w:pPr>
        <w:spacing w:line="360" w:lineRule="auto"/>
        <w:ind w:firstLine="720"/>
        <w:jc w:val="both"/>
        <w:rPr>
          <w:rFonts w:ascii="Times New Roman" w:hAnsi="Times New Roman" w:cs="Times New Roman"/>
          <w:sz w:val="24"/>
          <w:szCs w:val="24"/>
          <w:lang w:val="en-GB"/>
        </w:rPr>
      </w:pPr>
      <w:r w:rsidRPr="005960CE">
        <w:rPr>
          <w:rFonts w:ascii="Times New Roman" w:hAnsi="Times New Roman" w:cs="Times New Roman"/>
          <w:sz w:val="24"/>
          <w:szCs w:val="24"/>
          <w:lang w:val="en-GB"/>
        </w:rPr>
        <w:t>TAKUVA J:</w:t>
      </w:r>
      <w:r w:rsidR="001C2C4B">
        <w:rPr>
          <w:rFonts w:ascii="Times New Roman" w:hAnsi="Times New Roman" w:cs="Times New Roman"/>
          <w:sz w:val="24"/>
          <w:szCs w:val="24"/>
          <w:lang w:val="en-GB"/>
        </w:rPr>
        <w:t xml:space="preserve">  This is an application in which applicant seeks the registration of an arbitration award wherein first respondent was ordered to pay USD $295 200.00 as transport and housing allowances for the period of July 2022 to March 2023, USD$70434.00 as water allowance for the period July 2022 to March 2024, ZiG $1771686.00 for the period July 2022 to March 2024 USD $163779.54 as salaries for the period January to March 2024, USD$258000 for the period June 2022 to March 2024.  Therefore</w:t>
      </w:r>
      <w:r w:rsidR="00ED5AC8">
        <w:rPr>
          <w:rFonts w:ascii="Times New Roman" w:hAnsi="Times New Roman" w:cs="Times New Roman"/>
          <w:sz w:val="24"/>
          <w:szCs w:val="24"/>
          <w:lang w:val="en-GB"/>
        </w:rPr>
        <w:t>, first respondent is to pay a total of USD$787413.54 and ZiG 1771686.00.</w:t>
      </w:r>
    </w:p>
    <w:p w14:paraId="17A855F5" w14:textId="3BE66F09" w:rsidR="00ED5AC8" w:rsidRPr="00ED5AC8" w:rsidRDefault="00ED5AC8" w:rsidP="00ED5AC8">
      <w:pPr>
        <w:spacing w:after="0" w:line="360" w:lineRule="auto"/>
        <w:ind w:firstLine="720"/>
        <w:jc w:val="both"/>
        <w:rPr>
          <w:rFonts w:ascii="Times New Roman" w:hAnsi="Times New Roman" w:cs="Times New Roman"/>
          <w:sz w:val="24"/>
          <w:szCs w:val="24"/>
          <w:u w:val="single"/>
          <w:lang w:val="en-GB"/>
        </w:rPr>
      </w:pPr>
      <w:r w:rsidRPr="00ED5AC8">
        <w:rPr>
          <w:rFonts w:ascii="Times New Roman" w:hAnsi="Times New Roman" w:cs="Times New Roman"/>
          <w:sz w:val="24"/>
          <w:szCs w:val="24"/>
          <w:u w:val="single"/>
          <w:lang w:val="en-GB"/>
        </w:rPr>
        <w:t>BACKGROUND FACTS</w:t>
      </w:r>
    </w:p>
    <w:p w14:paraId="155432FB" w14:textId="77777777" w:rsidR="00ED5AC8" w:rsidRDefault="00ED5AC8" w:rsidP="00ED5AC8">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Applicant referred a labour dispute to a Conciliator for the National Employment Council for Rural District Councils pertaining to non payment of salaries and allowances for the period July 2022 to March 2024.  After a certificate of no settlement was issued, the matter was referred to the second respondent who is an independent arbitrator for compulsory arbitration.  The parties appeared before the arbitrator who issued an award against the first respondent.  The applicant has filed this chamber application for registration of the award.  The purpose of registration is clearly enforcement.</w:t>
      </w:r>
    </w:p>
    <w:p w14:paraId="7AEB99D1" w14:textId="77777777" w:rsidR="00ED5AC8" w:rsidRPr="00641EBD" w:rsidRDefault="00ED5AC8" w:rsidP="00ED5AC8">
      <w:pPr>
        <w:spacing w:after="0" w:line="360" w:lineRule="auto"/>
        <w:ind w:firstLine="720"/>
        <w:jc w:val="both"/>
        <w:rPr>
          <w:rFonts w:ascii="Times New Roman" w:hAnsi="Times New Roman" w:cs="Times New Roman"/>
          <w:sz w:val="24"/>
          <w:szCs w:val="24"/>
          <w:u w:val="single"/>
          <w:lang w:val="en-GB"/>
        </w:rPr>
      </w:pPr>
      <w:r w:rsidRPr="00641EBD">
        <w:rPr>
          <w:rFonts w:ascii="Times New Roman" w:hAnsi="Times New Roman" w:cs="Times New Roman"/>
          <w:sz w:val="24"/>
          <w:szCs w:val="24"/>
          <w:u w:val="single"/>
          <w:lang w:val="en-GB"/>
        </w:rPr>
        <w:lastRenderedPageBreak/>
        <w:t>APPLICANTS CASE</w:t>
      </w:r>
    </w:p>
    <w:p w14:paraId="02867F0A" w14:textId="2F8E5C88" w:rsidR="00ED5AC8" w:rsidRDefault="00ED5AC8" w:rsidP="00ED5AC8">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Applicant conten</w:t>
      </w:r>
      <w:r w:rsidR="00A81BA7">
        <w:rPr>
          <w:rFonts w:ascii="Times New Roman" w:hAnsi="Times New Roman" w:cs="Times New Roman"/>
          <w:sz w:val="24"/>
          <w:szCs w:val="24"/>
          <w:lang w:val="en-GB"/>
        </w:rPr>
        <w:t>d</w:t>
      </w:r>
      <w:r>
        <w:rPr>
          <w:rFonts w:ascii="Times New Roman" w:hAnsi="Times New Roman" w:cs="Times New Roman"/>
          <w:sz w:val="24"/>
          <w:szCs w:val="24"/>
          <w:lang w:val="en-GB"/>
        </w:rPr>
        <w:t xml:space="preserve">s that since the award sounds in money it is registrable in terms of s 98(14) of the Labour Act.  The fact that there exists an appeal </w:t>
      </w:r>
      <w:r w:rsidR="003E39B5">
        <w:rPr>
          <w:rFonts w:ascii="Times New Roman" w:hAnsi="Times New Roman" w:cs="Times New Roman"/>
          <w:sz w:val="24"/>
          <w:szCs w:val="24"/>
          <w:lang w:val="en-GB"/>
        </w:rPr>
        <w:t>o</w:t>
      </w:r>
      <w:r w:rsidR="00A81BA7">
        <w:rPr>
          <w:rFonts w:ascii="Times New Roman" w:hAnsi="Times New Roman" w:cs="Times New Roman"/>
          <w:sz w:val="24"/>
          <w:szCs w:val="24"/>
          <w:lang w:val="en-GB"/>
        </w:rPr>
        <w:t>r</w:t>
      </w:r>
      <w:r w:rsidR="003E39B5">
        <w:rPr>
          <w:rFonts w:ascii="Times New Roman" w:hAnsi="Times New Roman" w:cs="Times New Roman"/>
          <w:sz w:val="24"/>
          <w:szCs w:val="24"/>
          <w:lang w:val="en-GB"/>
        </w:rPr>
        <w:t xml:space="preserve"> review does not suspend or bar the process of registration.  It was also denied </w:t>
      </w:r>
      <w:r w:rsidR="00641EBD">
        <w:rPr>
          <w:rFonts w:ascii="Times New Roman" w:hAnsi="Times New Roman" w:cs="Times New Roman"/>
          <w:sz w:val="24"/>
          <w:szCs w:val="24"/>
          <w:lang w:val="en-GB"/>
        </w:rPr>
        <w:t xml:space="preserve">that the amount reflected in the award </w:t>
      </w:r>
      <w:r w:rsidR="009F1E9D">
        <w:rPr>
          <w:rFonts w:ascii="Times New Roman" w:hAnsi="Times New Roman" w:cs="Times New Roman"/>
          <w:sz w:val="24"/>
          <w:szCs w:val="24"/>
          <w:lang w:val="en-GB"/>
        </w:rPr>
        <w:t xml:space="preserve">has been paid in full.  The suggestion that the process would result in a </w:t>
      </w:r>
      <w:r w:rsidR="009F1E9D" w:rsidRPr="000C226C">
        <w:rPr>
          <w:rFonts w:ascii="Times New Roman" w:hAnsi="Times New Roman" w:cs="Times New Roman"/>
          <w:i/>
          <w:iCs/>
          <w:sz w:val="24"/>
          <w:szCs w:val="24"/>
          <w:lang w:val="en-GB"/>
        </w:rPr>
        <w:t>brutum fulme</w:t>
      </w:r>
      <w:r w:rsidR="00A81BA7">
        <w:rPr>
          <w:rFonts w:ascii="Times New Roman" w:hAnsi="Times New Roman" w:cs="Times New Roman"/>
          <w:i/>
          <w:iCs/>
          <w:sz w:val="24"/>
          <w:szCs w:val="24"/>
          <w:lang w:val="en-GB"/>
        </w:rPr>
        <w:t>n</w:t>
      </w:r>
      <w:r w:rsidR="000C226C">
        <w:rPr>
          <w:rFonts w:ascii="Times New Roman" w:hAnsi="Times New Roman" w:cs="Times New Roman"/>
          <w:sz w:val="24"/>
          <w:szCs w:val="24"/>
          <w:lang w:val="en-GB"/>
        </w:rPr>
        <w:t xml:space="preserve"> was challenged by the applicant.  On the merits applicant argued that registration is an administrative process </w:t>
      </w:r>
      <w:r w:rsidR="00A81BA7">
        <w:rPr>
          <w:rFonts w:ascii="Times New Roman" w:hAnsi="Times New Roman" w:cs="Times New Roman"/>
          <w:sz w:val="24"/>
          <w:szCs w:val="24"/>
          <w:lang w:val="en-GB"/>
        </w:rPr>
        <w:t>to</w:t>
      </w:r>
      <w:r w:rsidR="000C226C">
        <w:rPr>
          <w:rFonts w:ascii="Times New Roman" w:hAnsi="Times New Roman" w:cs="Times New Roman"/>
          <w:sz w:val="24"/>
          <w:szCs w:val="24"/>
          <w:lang w:val="en-GB"/>
        </w:rPr>
        <w:t xml:space="preserve"> facilitate enforcement of an award.  Further, applicant submitted forcefully that as long as the arbitral award has not been suspended or set aside on review or appeal in terms of the Labour Act, there will be no basis upon which a court may decline registration of the same.</w:t>
      </w:r>
    </w:p>
    <w:p w14:paraId="12CC51C3" w14:textId="4BEE8E94" w:rsidR="000C226C" w:rsidRPr="000C226C" w:rsidRDefault="000C226C" w:rsidP="00ED5AC8">
      <w:pPr>
        <w:spacing w:after="0" w:line="360" w:lineRule="auto"/>
        <w:ind w:firstLine="720"/>
        <w:jc w:val="both"/>
        <w:rPr>
          <w:rFonts w:ascii="Times New Roman" w:hAnsi="Times New Roman" w:cs="Times New Roman"/>
          <w:sz w:val="24"/>
          <w:szCs w:val="24"/>
          <w:u w:val="single"/>
          <w:lang w:val="en-GB"/>
        </w:rPr>
      </w:pPr>
      <w:r w:rsidRPr="000C226C">
        <w:rPr>
          <w:rFonts w:ascii="Times New Roman" w:hAnsi="Times New Roman" w:cs="Times New Roman"/>
          <w:sz w:val="24"/>
          <w:szCs w:val="24"/>
          <w:u w:val="single"/>
          <w:lang w:val="en-GB"/>
        </w:rPr>
        <w:t>FIRST RESPONDENT’S CASE</w:t>
      </w:r>
    </w:p>
    <w:p w14:paraId="7E9005E9" w14:textId="77777777" w:rsidR="000C226C" w:rsidRDefault="000C226C" w:rsidP="00ED5AC8">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argument here was that fundamentally, the award was not registrable because there is an application for stay of execution pending in the Labour Court.  Further, it was argued that the amount in the award has since been paid by the first respondent.</w:t>
      </w:r>
    </w:p>
    <w:p w14:paraId="1BE1B944" w14:textId="77777777" w:rsidR="000C226C" w:rsidRPr="000C226C" w:rsidRDefault="000C226C" w:rsidP="00ED5AC8">
      <w:pPr>
        <w:spacing w:after="0" w:line="360" w:lineRule="auto"/>
        <w:ind w:firstLine="720"/>
        <w:jc w:val="both"/>
        <w:rPr>
          <w:rFonts w:ascii="Times New Roman" w:hAnsi="Times New Roman" w:cs="Times New Roman"/>
          <w:sz w:val="24"/>
          <w:szCs w:val="24"/>
          <w:u w:val="single"/>
          <w:lang w:val="en-GB"/>
        </w:rPr>
      </w:pPr>
      <w:r w:rsidRPr="000C226C">
        <w:rPr>
          <w:rFonts w:ascii="Times New Roman" w:hAnsi="Times New Roman" w:cs="Times New Roman"/>
          <w:sz w:val="24"/>
          <w:szCs w:val="24"/>
          <w:u w:val="single"/>
          <w:lang w:val="en-GB"/>
        </w:rPr>
        <w:t>The Law and Analysis</w:t>
      </w:r>
    </w:p>
    <w:p w14:paraId="5B585A78" w14:textId="1846B000" w:rsidR="000C226C" w:rsidRDefault="000C226C" w:rsidP="00ED5AC8">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is </w:t>
      </w:r>
      <w:r w:rsidR="000243D7">
        <w:rPr>
          <w:rFonts w:ascii="Times New Roman" w:hAnsi="Times New Roman" w:cs="Times New Roman"/>
          <w:sz w:val="24"/>
          <w:szCs w:val="24"/>
          <w:lang w:val="en-GB"/>
        </w:rPr>
        <w:t xml:space="preserve">trite that the role or duty of a court in an application </w:t>
      </w:r>
      <w:r w:rsidR="00B534DA">
        <w:rPr>
          <w:rFonts w:ascii="Times New Roman" w:hAnsi="Times New Roman" w:cs="Times New Roman"/>
          <w:sz w:val="24"/>
          <w:szCs w:val="24"/>
          <w:lang w:val="en-GB"/>
        </w:rPr>
        <w:t>f</w:t>
      </w:r>
      <w:r w:rsidR="00A81BA7">
        <w:rPr>
          <w:rFonts w:ascii="Times New Roman" w:hAnsi="Times New Roman" w:cs="Times New Roman"/>
          <w:sz w:val="24"/>
          <w:szCs w:val="24"/>
          <w:lang w:val="en-GB"/>
        </w:rPr>
        <w:t>or</w:t>
      </w:r>
      <w:r w:rsidR="000243D7">
        <w:rPr>
          <w:rFonts w:ascii="Times New Roman" w:hAnsi="Times New Roman" w:cs="Times New Roman"/>
          <w:sz w:val="24"/>
          <w:szCs w:val="24"/>
          <w:lang w:val="en-GB"/>
        </w:rPr>
        <w:t xml:space="preserve"> </w:t>
      </w:r>
      <w:r w:rsidR="00A81BA7">
        <w:rPr>
          <w:rFonts w:ascii="Times New Roman" w:hAnsi="Times New Roman" w:cs="Times New Roman"/>
          <w:sz w:val="24"/>
          <w:szCs w:val="24"/>
          <w:lang w:val="en-GB"/>
        </w:rPr>
        <w:t xml:space="preserve">registration </w:t>
      </w:r>
      <w:r w:rsidR="00B534DA">
        <w:rPr>
          <w:rFonts w:ascii="Times New Roman" w:hAnsi="Times New Roman" w:cs="Times New Roman"/>
          <w:sz w:val="24"/>
          <w:szCs w:val="24"/>
          <w:lang w:val="en-GB"/>
        </w:rPr>
        <w:t xml:space="preserve">of </w:t>
      </w:r>
      <w:r w:rsidR="000243D7">
        <w:rPr>
          <w:rFonts w:ascii="Times New Roman" w:hAnsi="Times New Roman" w:cs="Times New Roman"/>
          <w:sz w:val="24"/>
          <w:szCs w:val="24"/>
          <w:lang w:val="en-GB"/>
        </w:rPr>
        <w:t xml:space="preserve">an arbitral award is to check and ensure that the formalities have been complied with.  The requirements were listed and discussed in </w:t>
      </w:r>
      <w:r w:rsidR="000243D7" w:rsidRPr="00A81BA7">
        <w:rPr>
          <w:rFonts w:ascii="Times New Roman" w:hAnsi="Times New Roman" w:cs="Times New Roman"/>
          <w:i/>
          <w:iCs/>
          <w:sz w:val="24"/>
          <w:szCs w:val="24"/>
          <w:lang w:val="en-GB"/>
        </w:rPr>
        <w:t xml:space="preserve">Biltrans Services (Pvt) Ltd </w:t>
      </w:r>
      <w:r w:rsidR="000243D7" w:rsidRPr="00A81BA7">
        <w:rPr>
          <w:rFonts w:ascii="Times New Roman" w:hAnsi="Times New Roman" w:cs="Times New Roman"/>
          <w:sz w:val="24"/>
          <w:szCs w:val="24"/>
          <w:lang w:val="en-GB"/>
        </w:rPr>
        <w:t>v</w:t>
      </w:r>
      <w:r w:rsidR="000243D7" w:rsidRPr="00A81BA7">
        <w:rPr>
          <w:rFonts w:ascii="Times New Roman" w:hAnsi="Times New Roman" w:cs="Times New Roman"/>
          <w:i/>
          <w:iCs/>
          <w:sz w:val="24"/>
          <w:szCs w:val="24"/>
          <w:lang w:val="en-GB"/>
        </w:rPr>
        <w:t xml:space="preserve"> The Minister of Public Service, Labour &amp; Ors</w:t>
      </w:r>
      <w:r w:rsidR="000243D7">
        <w:rPr>
          <w:rFonts w:ascii="Times New Roman" w:hAnsi="Times New Roman" w:cs="Times New Roman"/>
          <w:sz w:val="24"/>
          <w:szCs w:val="24"/>
          <w:lang w:val="en-GB"/>
        </w:rPr>
        <w:t xml:space="preserve"> CCZ 16/2016 as</w:t>
      </w:r>
      <w:r w:rsidR="00A81BA7">
        <w:rPr>
          <w:rFonts w:ascii="Times New Roman" w:hAnsi="Times New Roman" w:cs="Times New Roman"/>
          <w:sz w:val="24"/>
          <w:szCs w:val="24"/>
          <w:lang w:val="en-GB"/>
        </w:rPr>
        <w:t>;</w:t>
      </w:r>
      <w:r w:rsidR="000243D7">
        <w:rPr>
          <w:rFonts w:ascii="Times New Roman" w:hAnsi="Times New Roman" w:cs="Times New Roman"/>
          <w:sz w:val="24"/>
          <w:szCs w:val="24"/>
          <w:lang w:val="en-GB"/>
        </w:rPr>
        <w:t xml:space="preserve"> </w:t>
      </w:r>
    </w:p>
    <w:p w14:paraId="7E08C2E3" w14:textId="616F9B40" w:rsidR="000243D7" w:rsidRDefault="000243D7" w:rsidP="000243D7">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award must have been granted by a competent arbitrator</w:t>
      </w:r>
    </w:p>
    <w:p w14:paraId="56D58CEF" w14:textId="0E30AFBA" w:rsidR="000243D7" w:rsidRDefault="000243D7" w:rsidP="000243D7">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award must sound in money</w:t>
      </w:r>
    </w:p>
    <w:p w14:paraId="2434E2A9" w14:textId="1975CE14" w:rsidR="000243D7" w:rsidRDefault="000243D7" w:rsidP="000243D7">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award is still extant and has not been set aside on review or appeal </w:t>
      </w:r>
    </w:p>
    <w:p w14:paraId="6E08A53E" w14:textId="49372B0A" w:rsidR="000243D7" w:rsidRDefault="000243D7" w:rsidP="000243D7">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litigants are the parties to the award</w:t>
      </w:r>
    </w:p>
    <w:p w14:paraId="5F9A8919" w14:textId="46F7F020" w:rsidR="000243D7" w:rsidRDefault="000243D7" w:rsidP="000243D7">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award must be certified as an award of the arbitrator.</w:t>
      </w:r>
    </w:p>
    <w:p w14:paraId="6747965D" w14:textId="77777777" w:rsidR="003D27D1" w:rsidRDefault="000243D7" w:rsidP="000243D7">
      <w:pPr>
        <w:spacing w:after="0"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w:t>
      </w:r>
      <w:r w:rsidRPr="000243D7">
        <w:rPr>
          <w:rFonts w:ascii="Times New Roman" w:hAnsi="Times New Roman" w:cs="Times New Roman"/>
          <w:i/>
          <w:iCs/>
          <w:sz w:val="24"/>
          <w:szCs w:val="24"/>
          <w:lang w:val="en-GB"/>
        </w:rPr>
        <w:t xml:space="preserve">Loveld Rhino Trust </w:t>
      </w:r>
      <w:r w:rsidRPr="000243D7">
        <w:rPr>
          <w:rFonts w:ascii="Times New Roman" w:hAnsi="Times New Roman" w:cs="Times New Roman"/>
          <w:sz w:val="24"/>
          <w:szCs w:val="24"/>
          <w:lang w:val="en-GB"/>
        </w:rPr>
        <w:t>v</w:t>
      </w:r>
      <w:r w:rsidRPr="000243D7">
        <w:rPr>
          <w:rFonts w:ascii="Times New Roman" w:hAnsi="Times New Roman" w:cs="Times New Roman"/>
          <w:i/>
          <w:iCs/>
          <w:sz w:val="24"/>
          <w:szCs w:val="24"/>
          <w:lang w:val="en-GB"/>
        </w:rPr>
        <w:t xml:space="preserve"> Senele Dhlomo Bhala</w:t>
      </w:r>
      <w:r>
        <w:rPr>
          <w:rFonts w:ascii="Times New Roman" w:hAnsi="Times New Roman" w:cs="Times New Roman"/>
          <w:sz w:val="24"/>
          <w:szCs w:val="24"/>
          <w:lang w:val="en-GB"/>
        </w:rPr>
        <w:t xml:space="preserve"> SC 34/20, it was</w:t>
      </w:r>
      <w:r w:rsidR="003D27D1">
        <w:rPr>
          <w:rFonts w:ascii="Times New Roman" w:hAnsi="Times New Roman" w:cs="Times New Roman"/>
          <w:sz w:val="24"/>
          <w:szCs w:val="24"/>
          <w:lang w:val="en-GB"/>
        </w:rPr>
        <w:t xml:space="preserve"> stated that;</w:t>
      </w:r>
    </w:p>
    <w:p w14:paraId="624BBA23" w14:textId="4FAC3796" w:rsidR="000243D7" w:rsidRDefault="003D27D1" w:rsidP="00ED4353">
      <w:pPr>
        <w:spacing w:after="0" w:line="240" w:lineRule="auto"/>
        <w:ind w:left="720"/>
        <w:jc w:val="both"/>
        <w:rPr>
          <w:rFonts w:ascii="Times New Roman" w:hAnsi="Times New Roman" w:cs="Times New Roman"/>
          <w:lang w:val="en-GB"/>
        </w:rPr>
      </w:pPr>
      <w:r w:rsidRPr="00ED4353">
        <w:rPr>
          <w:rFonts w:ascii="Times New Roman" w:hAnsi="Times New Roman" w:cs="Times New Roman"/>
          <w:lang w:val="en-GB"/>
        </w:rPr>
        <w:t xml:space="preserve">“The noting of an appeal to the Labour Court does not affect the registration of an arbitral award.  An arbitral award remains an arbitral award despite registration by the High Court or the Magistrates Court.  In terms of s 98(14) of the Act, </w:t>
      </w:r>
      <w:r w:rsidRPr="00ED4353">
        <w:rPr>
          <w:rFonts w:ascii="Times New Roman" w:hAnsi="Times New Roman" w:cs="Times New Roman"/>
          <w:u w:val="single"/>
          <w:lang w:val="en-GB"/>
        </w:rPr>
        <w:t>the application for an interim determination pending appeal does not affect the registration of an arbitral award pending appeal.”</w:t>
      </w:r>
      <w:r w:rsidRPr="00ED4353">
        <w:rPr>
          <w:rFonts w:ascii="Times New Roman" w:hAnsi="Times New Roman" w:cs="Times New Roman"/>
          <w:lang w:val="en-GB"/>
        </w:rPr>
        <w:t xml:space="preserve"> (my emphasis).</w:t>
      </w:r>
      <w:r w:rsidR="000243D7" w:rsidRPr="00ED4353">
        <w:rPr>
          <w:rFonts w:ascii="Times New Roman" w:hAnsi="Times New Roman" w:cs="Times New Roman"/>
          <w:lang w:val="en-GB"/>
        </w:rPr>
        <w:t xml:space="preserve"> </w:t>
      </w:r>
    </w:p>
    <w:p w14:paraId="57228CDF" w14:textId="77777777" w:rsidR="00ED4353" w:rsidRPr="00ED4353" w:rsidRDefault="00ED4353" w:rsidP="00ED4353">
      <w:pPr>
        <w:spacing w:after="0" w:line="240" w:lineRule="auto"/>
        <w:ind w:left="720"/>
        <w:jc w:val="both"/>
        <w:rPr>
          <w:rFonts w:ascii="Times New Roman" w:hAnsi="Times New Roman" w:cs="Times New Roman"/>
          <w:lang w:val="en-GB"/>
        </w:rPr>
      </w:pPr>
    </w:p>
    <w:p w14:paraId="712DC211" w14:textId="5EC02C88" w:rsidR="003D27D1" w:rsidRDefault="003D27D1" w:rsidP="00ED4353">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Also, in terms of s 92 E(2) of the Labour Act, an appeal in terms of the Act does not have the effect of suspending the registration of the arbitral award.  Registration is distinct from execution.  The Legisla</w:t>
      </w:r>
      <w:r w:rsidR="00A81BA7">
        <w:rPr>
          <w:rFonts w:ascii="Times New Roman" w:hAnsi="Times New Roman" w:cs="Times New Roman"/>
          <w:sz w:val="24"/>
          <w:szCs w:val="24"/>
          <w:lang w:val="en-GB"/>
        </w:rPr>
        <w:t>ture</w:t>
      </w:r>
      <w:r>
        <w:rPr>
          <w:rFonts w:ascii="Times New Roman" w:hAnsi="Times New Roman" w:cs="Times New Roman"/>
          <w:sz w:val="24"/>
          <w:szCs w:val="24"/>
          <w:lang w:val="en-GB"/>
        </w:rPr>
        <w:t xml:space="preserve"> </w:t>
      </w:r>
      <w:r w:rsidR="006A2BB9">
        <w:rPr>
          <w:rFonts w:ascii="Times New Roman" w:hAnsi="Times New Roman" w:cs="Times New Roman"/>
          <w:sz w:val="24"/>
          <w:szCs w:val="24"/>
          <w:lang w:val="en-GB"/>
        </w:rPr>
        <w:t xml:space="preserve">has consciously and deliberately decided that arbitral awards in the </w:t>
      </w:r>
      <w:r w:rsidR="006A2BB9" w:rsidRPr="00A81BA7">
        <w:rPr>
          <w:rFonts w:ascii="Times New Roman" w:hAnsi="Times New Roman" w:cs="Times New Roman"/>
          <w:i/>
          <w:iCs/>
          <w:sz w:val="24"/>
          <w:szCs w:val="24"/>
          <w:lang w:val="en-GB"/>
        </w:rPr>
        <w:lastRenderedPageBreak/>
        <w:t>real</w:t>
      </w:r>
      <w:r w:rsidR="00A81BA7" w:rsidRPr="00A81BA7">
        <w:rPr>
          <w:rFonts w:ascii="Times New Roman" w:hAnsi="Times New Roman" w:cs="Times New Roman"/>
          <w:i/>
          <w:iCs/>
          <w:sz w:val="24"/>
          <w:szCs w:val="24"/>
          <w:lang w:val="en-GB"/>
        </w:rPr>
        <w:t xml:space="preserve">m </w:t>
      </w:r>
      <w:r w:rsidR="006A2BB9">
        <w:rPr>
          <w:rFonts w:ascii="Times New Roman" w:hAnsi="Times New Roman" w:cs="Times New Roman"/>
          <w:sz w:val="24"/>
          <w:szCs w:val="24"/>
          <w:lang w:val="en-GB"/>
        </w:rPr>
        <w:t>of labour relations sho</w:t>
      </w:r>
      <w:r w:rsidR="00A81BA7">
        <w:rPr>
          <w:rFonts w:ascii="Times New Roman" w:hAnsi="Times New Roman" w:cs="Times New Roman"/>
          <w:sz w:val="24"/>
          <w:szCs w:val="24"/>
          <w:lang w:val="en-GB"/>
        </w:rPr>
        <w:t>uld</w:t>
      </w:r>
      <w:r w:rsidR="006A2BB9">
        <w:rPr>
          <w:rFonts w:ascii="Times New Roman" w:hAnsi="Times New Roman" w:cs="Times New Roman"/>
          <w:sz w:val="24"/>
          <w:szCs w:val="24"/>
          <w:lang w:val="en-GB"/>
        </w:rPr>
        <w:t xml:space="preserve"> be enforced despite any pending appeal and notwithstanding any inconvenience that such enforcement might entail.</w:t>
      </w:r>
    </w:p>
    <w:p w14:paraId="45CC6580" w14:textId="472AF62A" w:rsidR="006A2BB9" w:rsidRDefault="006A2BB9" w:rsidP="00ED4353">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In light of the above</w:t>
      </w:r>
      <w:r w:rsidR="00A81BA7">
        <w:rPr>
          <w:rFonts w:ascii="Times New Roman" w:hAnsi="Times New Roman" w:cs="Times New Roman"/>
          <w:sz w:val="24"/>
          <w:szCs w:val="24"/>
          <w:lang w:val="en-GB"/>
        </w:rPr>
        <w:t>,</w:t>
      </w:r>
      <w:r>
        <w:rPr>
          <w:rFonts w:ascii="Times New Roman" w:hAnsi="Times New Roman" w:cs="Times New Roman"/>
          <w:sz w:val="24"/>
          <w:szCs w:val="24"/>
          <w:lang w:val="en-GB"/>
        </w:rPr>
        <w:t xml:space="preserve"> any submission that an appeal review o</w:t>
      </w:r>
      <w:r w:rsidR="00A81BA7">
        <w:rPr>
          <w:rFonts w:ascii="Times New Roman" w:hAnsi="Times New Roman" w:cs="Times New Roman"/>
          <w:sz w:val="24"/>
          <w:szCs w:val="24"/>
          <w:lang w:val="en-GB"/>
        </w:rPr>
        <w:t>r</w:t>
      </w:r>
      <w:r>
        <w:rPr>
          <w:rFonts w:ascii="Times New Roman" w:hAnsi="Times New Roman" w:cs="Times New Roman"/>
          <w:sz w:val="24"/>
          <w:szCs w:val="24"/>
          <w:lang w:val="en-GB"/>
        </w:rPr>
        <w:t xml:space="preserve"> any application for stay of execution suspends the process of registration of an arbitral award lacks merit.</w:t>
      </w:r>
    </w:p>
    <w:p w14:paraId="6E2E59F9" w14:textId="1409F87A" w:rsidR="006A2BB9" w:rsidRDefault="00ED4353" w:rsidP="00590D37">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As</w:t>
      </w:r>
      <w:r w:rsidR="00CC0ECC">
        <w:rPr>
          <w:rFonts w:ascii="Times New Roman" w:hAnsi="Times New Roman" w:cs="Times New Roman"/>
          <w:sz w:val="24"/>
          <w:szCs w:val="24"/>
          <w:lang w:val="en-GB"/>
        </w:rPr>
        <w:t xml:space="preserve"> regards </w:t>
      </w:r>
      <w:r w:rsidR="00CC0ECC" w:rsidRPr="00CC0ECC">
        <w:rPr>
          <w:rFonts w:ascii="Times New Roman" w:hAnsi="Times New Roman" w:cs="Times New Roman"/>
          <w:i/>
          <w:iCs/>
          <w:sz w:val="24"/>
          <w:szCs w:val="24"/>
          <w:lang w:val="en-GB"/>
        </w:rPr>
        <w:t>bruntum fulmen</w:t>
      </w:r>
      <w:r w:rsidR="00CC0ECC">
        <w:rPr>
          <w:rFonts w:ascii="Times New Roman" w:hAnsi="Times New Roman" w:cs="Times New Roman"/>
          <w:sz w:val="24"/>
          <w:szCs w:val="24"/>
          <w:lang w:val="en-GB"/>
        </w:rPr>
        <w:t xml:space="preserve">, my </w:t>
      </w:r>
      <w:r w:rsidR="005B20F9">
        <w:rPr>
          <w:rFonts w:ascii="Times New Roman" w:hAnsi="Times New Roman" w:cs="Times New Roman"/>
          <w:sz w:val="24"/>
          <w:szCs w:val="24"/>
          <w:lang w:val="en-GB"/>
        </w:rPr>
        <w:t xml:space="preserve">view is that it does not come in here.  A </w:t>
      </w:r>
      <w:r w:rsidR="005B20F9" w:rsidRPr="005B20F9">
        <w:rPr>
          <w:rFonts w:ascii="Times New Roman" w:hAnsi="Times New Roman" w:cs="Times New Roman"/>
          <w:i/>
          <w:iCs/>
          <w:sz w:val="24"/>
          <w:szCs w:val="24"/>
          <w:lang w:val="en-GB"/>
        </w:rPr>
        <w:t xml:space="preserve">brutum fulmen </w:t>
      </w:r>
      <w:r w:rsidR="005B20F9">
        <w:rPr>
          <w:rFonts w:ascii="Times New Roman" w:hAnsi="Times New Roman" w:cs="Times New Roman"/>
          <w:sz w:val="24"/>
          <w:szCs w:val="24"/>
          <w:lang w:val="en-GB"/>
        </w:rPr>
        <w:t xml:space="preserve">is </w:t>
      </w:r>
      <w:r w:rsidR="00A81BA7">
        <w:rPr>
          <w:rFonts w:ascii="Times New Roman" w:hAnsi="Times New Roman" w:cs="Times New Roman"/>
          <w:sz w:val="24"/>
          <w:szCs w:val="24"/>
          <w:lang w:val="en-GB"/>
        </w:rPr>
        <w:t xml:space="preserve">a </w:t>
      </w:r>
      <w:r w:rsidR="005B20F9">
        <w:rPr>
          <w:rFonts w:ascii="Times New Roman" w:hAnsi="Times New Roman" w:cs="Times New Roman"/>
          <w:sz w:val="24"/>
          <w:szCs w:val="24"/>
          <w:lang w:val="en-GB"/>
        </w:rPr>
        <w:t xml:space="preserve">judgment </w:t>
      </w:r>
      <w:r w:rsidR="00590D37">
        <w:rPr>
          <w:rFonts w:ascii="Times New Roman" w:hAnsi="Times New Roman" w:cs="Times New Roman"/>
          <w:sz w:val="24"/>
          <w:szCs w:val="24"/>
          <w:lang w:val="en-GB"/>
        </w:rPr>
        <w:t xml:space="preserve">that can not be enforced.  In </w:t>
      </w:r>
      <w:r w:rsidR="00590D37" w:rsidRPr="00F26739">
        <w:rPr>
          <w:rFonts w:ascii="Times New Roman" w:hAnsi="Times New Roman" w:cs="Times New Roman"/>
          <w:i/>
          <w:iCs/>
          <w:sz w:val="24"/>
          <w:szCs w:val="24"/>
          <w:lang w:val="en-GB"/>
        </w:rPr>
        <w:t xml:space="preserve">S </w:t>
      </w:r>
      <w:r w:rsidR="00590D37" w:rsidRPr="00F26739">
        <w:rPr>
          <w:rFonts w:ascii="Times New Roman" w:hAnsi="Times New Roman" w:cs="Times New Roman"/>
          <w:sz w:val="24"/>
          <w:szCs w:val="24"/>
          <w:lang w:val="en-GB"/>
        </w:rPr>
        <w:t>v</w:t>
      </w:r>
      <w:r w:rsidR="00590D37" w:rsidRPr="00F26739">
        <w:rPr>
          <w:rFonts w:ascii="Times New Roman" w:hAnsi="Times New Roman" w:cs="Times New Roman"/>
          <w:i/>
          <w:iCs/>
          <w:sz w:val="24"/>
          <w:szCs w:val="24"/>
          <w:lang w:val="en-GB"/>
        </w:rPr>
        <w:t xml:space="preserve"> Madzokere &amp; Ors</w:t>
      </w:r>
      <w:r w:rsidR="00590D37">
        <w:rPr>
          <w:rFonts w:ascii="Times New Roman" w:hAnsi="Times New Roman" w:cs="Times New Roman"/>
          <w:sz w:val="24"/>
          <w:szCs w:val="24"/>
          <w:lang w:val="en-GB"/>
        </w:rPr>
        <w:t xml:space="preserve"> (B 199 of 2012) (2012) ZWHHC 182 it was held that “such an order will be </w:t>
      </w:r>
      <w:r w:rsidR="00F26739" w:rsidRPr="00F26739">
        <w:rPr>
          <w:rFonts w:ascii="Times New Roman" w:hAnsi="Times New Roman" w:cs="Times New Roman"/>
          <w:i/>
          <w:iCs/>
          <w:sz w:val="24"/>
          <w:szCs w:val="24"/>
          <w:lang w:val="en-GB"/>
        </w:rPr>
        <w:t>brutum fulmen</w:t>
      </w:r>
      <w:r w:rsidR="00F26739">
        <w:rPr>
          <w:rFonts w:ascii="Times New Roman" w:hAnsi="Times New Roman" w:cs="Times New Roman"/>
          <w:sz w:val="24"/>
          <w:szCs w:val="24"/>
          <w:lang w:val="en-GB"/>
        </w:rPr>
        <w:t>, that is to say; a harmless thunder bolt of no force or effect.  In the unlikely event that such an order was ever to be given</w:t>
      </w:r>
      <w:r w:rsidR="00A81BA7">
        <w:rPr>
          <w:rFonts w:ascii="Times New Roman" w:hAnsi="Times New Roman" w:cs="Times New Roman"/>
          <w:sz w:val="24"/>
          <w:szCs w:val="24"/>
          <w:lang w:val="en-GB"/>
        </w:rPr>
        <w:t>,</w:t>
      </w:r>
      <w:r w:rsidR="00F26739">
        <w:rPr>
          <w:rFonts w:ascii="Times New Roman" w:hAnsi="Times New Roman" w:cs="Times New Roman"/>
          <w:sz w:val="24"/>
          <w:szCs w:val="24"/>
          <w:lang w:val="en-GB"/>
        </w:rPr>
        <w:t xml:space="preserve"> the end result will be highly predictable.”</w:t>
      </w:r>
    </w:p>
    <w:p w14:paraId="7F0E365B" w14:textId="77777777" w:rsidR="00FE318B" w:rsidRDefault="00F26739" w:rsidP="00590D37">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w:t>
      </w:r>
      <w:r w:rsidRPr="006D3F02">
        <w:rPr>
          <w:rFonts w:ascii="Times New Roman" w:hAnsi="Times New Roman" w:cs="Times New Roman"/>
          <w:i/>
          <w:iCs/>
          <w:sz w:val="24"/>
          <w:szCs w:val="24"/>
          <w:lang w:val="en-GB"/>
        </w:rPr>
        <w:t>casu</w:t>
      </w:r>
      <w:r>
        <w:rPr>
          <w:rFonts w:ascii="Times New Roman" w:hAnsi="Times New Roman" w:cs="Times New Roman"/>
          <w:sz w:val="24"/>
          <w:szCs w:val="24"/>
          <w:lang w:val="en-GB"/>
        </w:rPr>
        <w:t xml:space="preserve">, the concept of </w:t>
      </w:r>
      <w:r w:rsidRPr="00F26739">
        <w:rPr>
          <w:rFonts w:ascii="Times New Roman" w:hAnsi="Times New Roman" w:cs="Times New Roman"/>
          <w:i/>
          <w:iCs/>
          <w:sz w:val="24"/>
          <w:szCs w:val="24"/>
          <w:lang w:val="en-GB"/>
        </w:rPr>
        <w:t>brutum fulmen</w:t>
      </w:r>
      <w:r>
        <w:rPr>
          <w:rFonts w:ascii="Times New Roman" w:hAnsi="Times New Roman" w:cs="Times New Roman"/>
          <w:sz w:val="24"/>
          <w:szCs w:val="24"/>
          <w:lang w:val="en-GB"/>
        </w:rPr>
        <w:t xml:space="preserve"> is</w:t>
      </w:r>
      <w:r w:rsidR="00FE318B">
        <w:rPr>
          <w:rFonts w:ascii="Times New Roman" w:hAnsi="Times New Roman" w:cs="Times New Roman"/>
          <w:sz w:val="24"/>
          <w:szCs w:val="24"/>
          <w:lang w:val="en-GB"/>
        </w:rPr>
        <w:t xml:space="preserve"> misplaced because the order sought is capable of being enforced.</w:t>
      </w:r>
    </w:p>
    <w:p w14:paraId="558C801D" w14:textId="354BBCA2" w:rsidR="00F26739" w:rsidRDefault="00FE318B" w:rsidP="00590D37">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Finally, I find that the applicant has fulfilled the requirements for the application </w:t>
      </w:r>
      <w:r w:rsidR="00D24889">
        <w:rPr>
          <w:rFonts w:ascii="Times New Roman" w:hAnsi="Times New Roman" w:cs="Times New Roman"/>
          <w:sz w:val="24"/>
          <w:szCs w:val="24"/>
          <w:lang w:val="en-GB"/>
        </w:rPr>
        <w:t>to</w:t>
      </w:r>
      <w:r w:rsidR="0091111A">
        <w:rPr>
          <w:rFonts w:ascii="Times New Roman" w:hAnsi="Times New Roman" w:cs="Times New Roman"/>
          <w:sz w:val="24"/>
          <w:szCs w:val="24"/>
          <w:lang w:val="en-GB"/>
        </w:rPr>
        <w:t xml:space="preserve"> be </w:t>
      </w:r>
      <w:r w:rsidR="00A81BA7">
        <w:rPr>
          <w:rFonts w:ascii="Times New Roman" w:hAnsi="Times New Roman" w:cs="Times New Roman"/>
          <w:sz w:val="24"/>
          <w:szCs w:val="24"/>
          <w:lang w:val="en-GB"/>
        </w:rPr>
        <w:t>granted</w:t>
      </w:r>
      <w:r w:rsidR="00D24889">
        <w:rPr>
          <w:rFonts w:ascii="Times New Roman" w:hAnsi="Times New Roman" w:cs="Times New Roman"/>
          <w:sz w:val="24"/>
          <w:szCs w:val="24"/>
          <w:lang w:val="en-GB"/>
        </w:rPr>
        <w:t xml:space="preserve">.  </w:t>
      </w:r>
      <w:r w:rsidR="002822EF">
        <w:rPr>
          <w:rFonts w:ascii="Times New Roman" w:hAnsi="Times New Roman" w:cs="Times New Roman"/>
          <w:sz w:val="24"/>
          <w:szCs w:val="24"/>
          <w:lang w:val="en-GB"/>
        </w:rPr>
        <w:t>The arbitrator made a ruling on the dispute that was before him.  He resolved the issue in favour of the applicant.  The applicant was therefore within its rights to seek registration of the award.</w:t>
      </w:r>
    </w:p>
    <w:p w14:paraId="0B1D90BD" w14:textId="54EA92C2" w:rsidR="002822EF" w:rsidRDefault="002822EF" w:rsidP="00590D37">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However, the record shows that the first respondent approached the Labour Court under LC/H/348/24 and obtained a partial order of stay.  What appears from the judgment is that the stay excluded an amount to the June f US$102700.00</w:t>
      </w:r>
      <w:r w:rsidR="00A81BA7">
        <w:rPr>
          <w:rFonts w:ascii="Times New Roman" w:hAnsi="Times New Roman" w:cs="Times New Roman"/>
          <w:sz w:val="24"/>
          <w:szCs w:val="24"/>
          <w:lang w:val="en-GB"/>
        </w:rPr>
        <w:t>, r</w:t>
      </w:r>
      <w:r>
        <w:rPr>
          <w:rFonts w:ascii="Times New Roman" w:hAnsi="Times New Roman" w:cs="Times New Roman"/>
          <w:sz w:val="24"/>
          <w:szCs w:val="24"/>
          <w:lang w:val="en-GB"/>
        </w:rPr>
        <w:t>espondent has agreed to be owing.  It follows, therefore, that, provisionally, the present application seeks registration of the said amount in terms of the Labour Court judgment.</w:t>
      </w:r>
    </w:p>
    <w:p w14:paraId="3B604244" w14:textId="08100B14" w:rsidR="002822EF" w:rsidRDefault="002822EF" w:rsidP="00590D37">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Accordingly, it is ordered that;</w:t>
      </w:r>
    </w:p>
    <w:p w14:paraId="20B42EB9" w14:textId="77777777" w:rsidR="002822EF" w:rsidRDefault="002822EF" w:rsidP="002822EF">
      <w:pPr>
        <w:pStyle w:val="ListParagraph"/>
        <w:numPr>
          <w:ilvl w:val="0"/>
          <w:numId w:val="2"/>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application succeeds</w:t>
      </w:r>
    </w:p>
    <w:p w14:paraId="20E8E5BF" w14:textId="77777777" w:rsidR="002822EF" w:rsidRDefault="002822EF" w:rsidP="002822EF">
      <w:pPr>
        <w:pStyle w:val="ListParagraph"/>
        <w:numPr>
          <w:ilvl w:val="0"/>
          <w:numId w:val="2"/>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arbitral award in the sum of US$102700.00 be and is hereby registered as an order of this court</w:t>
      </w:r>
    </w:p>
    <w:p w14:paraId="7F307FA8" w14:textId="77777777" w:rsidR="002822EF" w:rsidRDefault="002822EF" w:rsidP="002822EF">
      <w:pPr>
        <w:pStyle w:val="ListParagraph"/>
        <w:numPr>
          <w:ilvl w:val="0"/>
          <w:numId w:val="2"/>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respondent be is hereby ordered to pay the applicant US$102700.00</w:t>
      </w:r>
    </w:p>
    <w:p w14:paraId="76132A05" w14:textId="2CF66010" w:rsidR="002822EF" w:rsidRPr="00A81BA7" w:rsidRDefault="002822EF" w:rsidP="002822EF">
      <w:pPr>
        <w:pStyle w:val="ListParagraph"/>
        <w:numPr>
          <w:ilvl w:val="0"/>
          <w:numId w:val="2"/>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Respondent pays costs of suit.</w:t>
      </w:r>
    </w:p>
    <w:p w14:paraId="50717E4F" w14:textId="77777777" w:rsidR="002822EF" w:rsidRDefault="002822EF" w:rsidP="002822EF">
      <w:pPr>
        <w:spacing w:after="0" w:line="360" w:lineRule="auto"/>
        <w:jc w:val="both"/>
        <w:rPr>
          <w:rFonts w:ascii="Times New Roman" w:hAnsi="Times New Roman" w:cs="Times New Roman"/>
          <w:sz w:val="24"/>
          <w:szCs w:val="24"/>
          <w:lang w:val="en-GB"/>
        </w:rPr>
      </w:pPr>
    </w:p>
    <w:p w14:paraId="79FEA8BC" w14:textId="0E666B5B" w:rsidR="00A81BA7" w:rsidRDefault="002822EF" w:rsidP="002822EF">
      <w:pPr>
        <w:spacing w:after="0" w:line="360" w:lineRule="auto"/>
        <w:jc w:val="both"/>
        <w:rPr>
          <w:rFonts w:ascii="Times New Roman" w:hAnsi="Times New Roman" w:cs="Times New Roman"/>
          <w:b/>
          <w:bCs/>
          <w:sz w:val="24"/>
          <w:szCs w:val="24"/>
          <w:lang w:val="en-GB"/>
        </w:rPr>
      </w:pPr>
      <w:r w:rsidRPr="002822EF">
        <w:rPr>
          <w:rFonts w:ascii="Times New Roman" w:hAnsi="Times New Roman" w:cs="Times New Roman"/>
          <w:b/>
          <w:bCs/>
          <w:smallCaps/>
          <w:sz w:val="24"/>
          <w:szCs w:val="24"/>
          <w:lang w:val="en-GB"/>
        </w:rPr>
        <w:t>Takuva</w:t>
      </w:r>
      <w:r w:rsidRPr="002822EF">
        <w:rPr>
          <w:rFonts w:ascii="Times New Roman" w:hAnsi="Times New Roman" w:cs="Times New Roman"/>
          <w:b/>
          <w:bCs/>
          <w:sz w:val="24"/>
          <w:szCs w:val="24"/>
          <w:lang w:val="en-GB"/>
        </w:rPr>
        <w:t xml:space="preserve"> J:………………………………</w:t>
      </w:r>
    </w:p>
    <w:p w14:paraId="3A1DA4A7" w14:textId="60C4B72C" w:rsidR="00A81BA7" w:rsidRPr="00A81BA7" w:rsidRDefault="00A81BA7" w:rsidP="00A81BA7">
      <w:pPr>
        <w:spacing w:after="0" w:line="240" w:lineRule="auto"/>
        <w:rPr>
          <w:rFonts w:ascii="Times New Roman" w:hAnsi="Times New Roman" w:cs="Times New Roman"/>
          <w:sz w:val="24"/>
          <w:szCs w:val="24"/>
          <w:lang w:val="en-GB"/>
        </w:rPr>
      </w:pPr>
      <w:r w:rsidRPr="00A81BA7">
        <w:rPr>
          <w:rFonts w:ascii="Times New Roman" w:hAnsi="Times New Roman" w:cs="Times New Roman"/>
          <w:i/>
          <w:iCs/>
          <w:sz w:val="24"/>
          <w:szCs w:val="24"/>
          <w:lang w:val="en-GB"/>
        </w:rPr>
        <w:t>Lawman Law Chambers</w:t>
      </w:r>
      <w:r w:rsidRPr="00A81BA7">
        <w:rPr>
          <w:rFonts w:ascii="Times New Roman" w:hAnsi="Times New Roman" w:cs="Times New Roman"/>
          <w:sz w:val="24"/>
          <w:szCs w:val="24"/>
          <w:lang w:val="en-GB"/>
        </w:rPr>
        <w:t>, applicants’ legal practitioners</w:t>
      </w:r>
    </w:p>
    <w:p w14:paraId="135D4325" w14:textId="3E98FE74" w:rsidR="00A81BA7" w:rsidRPr="00A81BA7" w:rsidRDefault="00A81BA7" w:rsidP="00A81BA7">
      <w:pPr>
        <w:spacing w:after="0" w:line="240" w:lineRule="auto"/>
        <w:rPr>
          <w:rFonts w:ascii="Times New Roman" w:hAnsi="Times New Roman" w:cs="Times New Roman"/>
          <w:sz w:val="24"/>
          <w:szCs w:val="24"/>
          <w:lang w:val="en-GB"/>
        </w:rPr>
      </w:pPr>
      <w:r w:rsidRPr="00A81BA7">
        <w:rPr>
          <w:rFonts w:ascii="Times New Roman" w:hAnsi="Times New Roman" w:cs="Times New Roman"/>
          <w:i/>
          <w:iCs/>
          <w:sz w:val="24"/>
          <w:szCs w:val="24"/>
          <w:lang w:val="en-GB"/>
        </w:rPr>
        <w:t>Mavhiringidze and Mashanyare Legal Practitioners</w:t>
      </w:r>
      <w:r w:rsidRPr="00A81BA7">
        <w:rPr>
          <w:rFonts w:ascii="Times New Roman" w:hAnsi="Times New Roman" w:cs="Times New Roman"/>
          <w:sz w:val="24"/>
          <w:szCs w:val="24"/>
          <w:lang w:val="en-GB"/>
        </w:rPr>
        <w:t>, first respondents’ legal practitioners</w:t>
      </w:r>
    </w:p>
    <w:sectPr w:rsidR="00A81BA7" w:rsidRPr="00A81BA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1C83F" w14:textId="77777777" w:rsidR="00C36B2B" w:rsidRDefault="00C36B2B" w:rsidP="001466BB">
      <w:pPr>
        <w:spacing w:after="0" w:line="240" w:lineRule="auto"/>
      </w:pPr>
      <w:r>
        <w:separator/>
      </w:r>
    </w:p>
  </w:endnote>
  <w:endnote w:type="continuationSeparator" w:id="0">
    <w:p w14:paraId="7D75082C" w14:textId="77777777" w:rsidR="00C36B2B" w:rsidRDefault="00C36B2B" w:rsidP="00146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6381B" w14:textId="77777777" w:rsidR="00C36B2B" w:rsidRDefault="00C36B2B" w:rsidP="001466BB">
      <w:pPr>
        <w:spacing w:after="0" w:line="240" w:lineRule="auto"/>
      </w:pPr>
      <w:r>
        <w:separator/>
      </w:r>
    </w:p>
  </w:footnote>
  <w:footnote w:type="continuationSeparator" w:id="0">
    <w:p w14:paraId="291712D9" w14:textId="77777777" w:rsidR="00C36B2B" w:rsidRDefault="00C36B2B" w:rsidP="00146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064642"/>
      <w:docPartObj>
        <w:docPartGallery w:val="Page Numbers (Top of Page)"/>
        <w:docPartUnique/>
      </w:docPartObj>
    </w:sdtPr>
    <w:sdtEndPr>
      <w:rPr>
        <w:noProof/>
      </w:rPr>
    </w:sdtEndPr>
    <w:sdtContent>
      <w:p w14:paraId="2FE0C811" w14:textId="1C4BA2B4" w:rsidR="001466BB" w:rsidRDefault="001466BB">
        <w:pPr>
          <w:pStyle w:val="Header"/>
          <w:jc w:val="right"/>
          <w:rPr>
            <w:noProof/>
          </w:rPr>
        </w:pPr>
        <w:r>
          <w:fldChar w:fldCharType="begin"/>
        </w:r>
        <w:r>
          <w:instrText xml:space="preserve"> PAGE   \* MERGEFORMAT </w:instrText>
        </w:r>
        <w:r>
          <w:fldChar w:fldCharType="separate"/>
        </w:r>
        <w:r w:rsidR="00641C88">
          <w:rPr>
            <w:noProof/>
          </w:rPr>
          <w:t>1</w:t>
        </w:r>
        <w:r>
          <w:rPr>
            <w:noProof/>
          </w:rPr>
          <w:fldChar w:fldCharType="end"/>
        </w:r>
      </w:p>
      <w:p w14:paraId="4099C9AC" w14:textId="3BB950A5" w:rsidR="001466BB" w:rsidRDefault="001466BB">
        <w:pPr>
          <w:pStyle w:val="Header"/>
          <w:jc w:val="right"/>
          <w:rPr>
            <w:noProof/>
          </w:rPr>
        </w:pPr>
        <w:r>
          <w:rPr>
            <w:noProof/>
          </w:rPr>
          <w:t>HH</w:t>
        </w:r>
        <w:r w:rsidR="000E5F8D">
          <w:rPr>
            <w:noProof/>
          </w:rPr>
          <w:t xml:space="preserve"> 182-25</w:t>
        </w:r>
      </w:p>
      <w:p w14:paraId="1C343CF4" w14:textId="4CC0B8C4" w:rsidR="001466BB" w:rsidRDefault="00A81BA7">
        <w:pPr>
          <w:pStyle w:val="Header"/>
          <w:jc w:val="right"/>
          <w:rPr>
            <w:noProof/>
          </w:rPr>
        </w:pPr>
        <w:r>
          <w:rPr>
            <w:noProof/>
          </w:rPr>
          <w:t>HCH 3462/24</w:t>
        </w:r>
      </w:p>
      <w:p w14:paraId="3334F0EB" w14:textId="315EC83B" w:rsidR="001466BB" w:rsidRDefault="00C36B2B">
        <w:pPr>
          <w:pStyle w:val="Header"/>
          <w:jc w:val="right"/>
        </w:pPr>
      </w:p>
    </w:sdtContent>
  </w:sdt>
  <w:p w14:paraId="2FB2404B" w14:textId="77777777" w:rsidR="001466BB" w:rsidRDefault="001466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247F"/>
    <w:multiLevelType w:val="hybridMultilevel"/>
    <w:tmpl w:val="143245D6"/>
    <w:lvl w:ilvl="0" w:tplc="C2720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214CFC"/>
    <w:multiLevelType w:val="hybridMultilevel"/>
    <w:tmpl w:val="30AEF96E"/>
    <w:lvl w:ilvl="0" w:tplc="837476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6BB"/>
    <w:rsid w:val="000243D7"/>
    <w:rsid w:val="000C226C"/>
    <w:rsid w:val="000E5F8D"/>
    <w:rsid w:val="001466BB"/>
    <w:rsid w:val="0016293E"/>
    <w:rsid w:val="001C2C4B"/>
    <w:rsid w:val="001F762C"/>
    <w:rsid w:val="00231D5C"/>
    <w:rsid w:val="00273F23"/>
    <w:rsid w:val="002822EF"/>
    <w:rsid w:val="003D27D1"/>
    <w:rsid w:val="003E39B5"/>
    <w:rsid w:val="003F5205"/>
    <w:rsid w:val="0042024A"/>
    <w:rsid w:val="0048682F"/>
    <w:rsid w:val="00590D37"/>
    <w:rsid w:val="005B20F9"/>
    <w:rsid w:val="00641C88"/>
    <w:rsid w:val="00641EBD"/>
    <w:rsid w:val="006A2BB9"/>
    <w:rsid w:val="006D3F02"/>
    <w:rsid w:val="007D0390"/>
    <w:rsid w:val="008F508E"/>
    <w:rsid w:val="0091111A"/>
    <w:rsid w:val="009F1E9D"/>
    <w:rsid w:val="00A81BA7"/>
    <w:rsid w:val="00B03E07"/>
    <w:rsid w:val="00B534DA"/>
    <w:rsid w:val="00C36B2B"/>
    <w:rsid w:val="00CC0ECC"/>
    <w:rsid w:val="00D24889"/>
    <w:rsid w:val="00ED4353"/>
    <w:rsid w:val="00ED5AC8"/>
    <w:rsid w:val="00F26739"/>
    <w:rsid w:val="00F6717E"/>
    <w:rsid w:val="00FE3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A8B0"/>
  <w15:chartTrackingRefBased/>
  <w15:docId w15:val="{A67358B2-8A2C-4C8A-AF14-E666846B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6BB"/>
    <w:pPr>
      <w:spacing w:line="259" w:lineRule="auto"/>
    </w:pPr>
    <w:rPr>
      <w:kern w:val="0"/>
      <w:sz w:val="22"/>
      <w:szCs w:val="22"/>
      <w14:ligatures w14:val="none"/>
    </w:rPr>
  </w:style>
  <w:style w:type="paragraph" w:styleId="Heading1">
    <w:name w:val="heading 1"/>
    <w:basedOn w:val="Normal"/>
    <w:next w:val="Normal"/>
    <w:link w:val="Heading1Char"/>
    <w:uiPriority w:val="9"/>
    <w:qFormat/>
    <w:rsid w:val="001466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66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66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66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66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6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6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66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66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66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66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6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6BB"/>
    <w:rPr>
      <w:rFonts w:eastAsiaTheme="majorEastAsia" w:cstheme="majorBidi"/>
      <w:color w:val="272727" w:themeColor="text1" w:themeTint="D8"/>
    </w:rPr>
  </w:style>
  <w:style w:type="paragraph" w:styleId="Title">
    <w:name w:val="Title"/>
    <w:basedOn w:val="Normal"/>
    <w:next w:val="Normal"/>
    <w:link w:val="TitleChar"/>
    <w:uiPriority w:val="10"/>
    <w:qFormat/>
    <w:rsid w:val="00146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6BB"/>
    <w:pPr>
      <w:spacing w:before="160"/>
      <w:jc w:val="center"/>
    </w:pPr>
    <w:rPr>
      <w:i/>
      <w:iCs/>
      <w:color w:val="404040" w:themeColor="text1" w:themeTint="BF"/>
    </w:rPr>
  </w:style>
  <w:style w:type="character" w:customStyle="1" w:styleId="QuoteChar">
    <w:name w:val="Quote Char"/>
    <w:basedOn w:val="DefaultParagraphFont"/>
    <w:link w:val="Quote"/>
    <w:uiPriority w:val="29"/>
    <w:rsid w:val="001466BB"/>
    <w:rPr>
      <w:i/>
      <w:iCs/>
      <w:color w:val="404040" w:themeColor="text1" w:themeTint="BF"/>
    </w:rPr>
  </w:style>
  <w:style w:type="paragraph" w:styleId="ListParagraph">
    <w:name w:val="List Paragraph"/>
    <w:basedOn w:val="Normal"/>
    <w:uiPriority w:val="34"/>
    <w:qFormat/>
    <w:rsid w:val="001466BB"/>
    <w:pPr>
      <w:ind w:left="720"/>
      <w:contextualSpacing/>
    </w:pPr>
  </w:style>
  <w:style w:type="character" w:styleId="IntenseEmphasis">
    <w:name w:val="Intense Emphasis"/>
    <w:basedOn w:val="DefaultParagraphFont"/>
    <w:uiPriority w:val="21"/>
    <w:qFormat/>
    <w:rsid w:val="001466BB"/>
    <w:rPr>
      <w:i/>
      <w:iCs/>
      <w:color w:val="2F5496" w:themeColor="accent1" w:themeShade="BF"/>
    </w:rPr>
  </w:style>
  <w:style w:type="paragraph" w:styleId="IntenseQuote">
    <w:name w:val="Intense Quote"/>
    <w:basedOn w:val="Normal"/>
    <w:next w:val="Normal"/>
    <w:link w:val="IntenseQuoteChar"/>
    <w:uiPriority w:val="30"/>
    <w:qFormat/>
    <w:rsid w:val="00146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66BB"/>
    <w:rPr>
      <w:i/>
      <w:iCs/>
      <w:color w:val="2F5496" w:themeColor="accent1" w:themeShade="BF"/>
    </w:rPr>
  </w:style>
  <w:style w:type="character" w:styleId="IntenseReference">
    <w:name w:val="Intense Reference"/>
    <w:basedOn w:val="DefaultParagraphFont"/>
    <w:uiPriority w:val="32"/>
    <w:qFormat/>
    <w:rsid w:val="001466BB"/>
    <w:rPr>
      <w:b/>
      <w:bCs/>
      <w:smallCaps/>
      <w:color w:val="2F5496" w:themeColor="accent1" w:themeShade="BF"/>
      <w:spacing w:val="5"/>
    </w:rPr>
  </w:style>
  <w:style w:type="paragraph" w:styleId="Header">
    <w:name w:val="header"/>
    <w:basedOn w:val="Normal"/>
    <w:link w:val="HeaderChar"/>
    <w:uiPriority w:val="99"/>
    <w:unhideWhenUsed/>
    <w:rsid w:val="00146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6BB"/>
    <w:rPr>
      <w:kern w:val="0"/>
      <w:sz w:val="22"/>
      <w:szCs w:val="22"/>
      <w14:ligatures w14:val="none"/>
    </w:rPr>
  </w:style>
  <w:style w:type="paragraph" w:styleId="Footer">
    <w:name w:val="footer"/>
    <w:basedOn w:val="Normal"/>
    <w:link w:val="FooterChar"/>
    <w:uiPriority w:val="99"/>
    <w:unhideWhenUsed/>
    <w:rsid w:val="00146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6B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1F3E7EDF8854498861D53093961467" ma:contentTypeVersion="4" ma:contentTypeDescription="Create a new document." ma:contentTypeScope="" ma:versionID="f6bb34c4a0efef071fd998a290294341">
  <xsd:schema xmlns:xsd="http://www.w3.org/2001/XMLSchema" xmlns:xs="http://www.w3.org/2001/XMLSchema" xmlns:p="http://schemas.microsoft.com/office/2006/metadata/properties" xmlns:ns3="356252cd-16c7-4fce-8135-b5c8fa696a9f" targetNamespace="http://schemas.microsoft.com/office/2006/metadata/properties" ma:root="true" ma:fieldsID="ae90b8b02492147f1de548ee864f1b4c" ns3:_="">
    <xsd:import namespace="356252cd-16c7-4fce-8135-b5c8fa696a9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252cd-16c7-4fce-8135-b5c8fa696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EE792C-3A7D-41EB-9271-4F79D0EF3C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02B023-EC0B-4863-B920-EBDCE3AEE7AE}">
  <ds:schemaRefs>
    <ds:schemaRef ds:uri="http://schemas.microsoft.com/sharepoint/v3/contenttype/forms"/>
  </ds:schemaRefs>
</ds:datastoreItem>
</file>

<file path=customXml/itemProps3.xml><?xml version="1.0" encoding="utf-8"?>
<ds:datastoreItem xmlns:ds="http://schemas.openxmlformats.org/officeDocument/2006/customXml" ds:itemID="{99CA1C67-849E-4F1A-9308-1E4B5BFE2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252cd-16c7-4fce-8135-b5c8fa696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2025-03-21T10:23:00Z</dcterms:created>
  <dcterms:modified xsi:type="dcterms:W3CDTF">2025-03-21T10:23:00Z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0x010100A31F3E7EDF8854498861D53093961467</vt:lpwstr>
  </property>
</Properties>
</file>