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5960BA4B" w:rsidR="006B622A" w:rsidRDefault="005E4E9F"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ZIMBABWE RURAL DISTRICT COUNCIL WORKERS TRADE UNION </w:t>
      </w:r>
      <w:r w:rsidR="00BE176E">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1527D003" w14:textId="6C6B5506" w:rsidR="00A409C2" w:rsidRDefault="005E4E9F"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MHONDORO NGEZI RURAL DISTRICT COUNCIL </w:t>
      </w:r>
      <w:r w:rsidR="00BE176E">
        <w:rPr>
          <w:rFonts w:ascii="Times New Roman" w:hAnsi="Times New Roman" w:cs="Times New Roman"/>
          <w:sz w:val="24"/>
          <w:szCs w:val="24"/>
        </w:rPr>
        <w:t xml:space="preserve"> </w:t>
      </w:r>
    </w:p>
    <w:p w14:paraId="1FC34839" w14:textId="21B66942" w:rsidR="007E25E9" w:rsidRDefault="007E25E9"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4ABECBF" w14:textId="77CCB7D4" w:rsidR="00744FB4" w:rsidRDefault="005E4E9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WASHINGTON RUZIWA N.O. </w:t>
      </w:r>
      <w:r w:rsidR="00BE176E">
        <w:rPr>
          <w:rFonts w:ascii="Times New Roman" w:hAnsi="Times New Roman" w:cs="Times New Roman"/>
          <w:sz w:val="24"/>
          <w:szCs w:val="24"/>
        </w:rPr>
        <w:t xml:space="preserve"> </w:t>
      </w:r>
    </w:p>
    <w:p w14:paraId="6DF0C571" w14:textId="77777777" w:rsidR="007E25E9" w:rsidRDefault="007E25E9"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AA6AF77"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5E4E9F">
        <w:rPr>
          <w:rFonts w:ascii="Times New Roman" w:hAnsi="Times New Roman" w:cs="Times New Roman"/>
          <w:sz w:val="24"/>
          <w:szCs w:val="24"/>
        </w:rPr>
        <w:t xml:space="preserve">29 September </w:t>
      </w:r>
      <w:r w:rsidR="007F2D63">
        <w:rPr>
          <w:rFonts w:ascii="Times New Roman" w:hAnsi="Times New Roman" w:cs="Times New Roman"/>
          <w:sz w:val="24"/>
          <w:szCs w:val="24"/>
        </w:rPr>
        <w:t>2020</w:t>
      </w:r>
      <w:r w:rsidR="00FD7415">
        <w:rPr>
          <w:rFonts w:ascii="Times New Roman" w:hAnsi="Times New Roman" w:cs="Times New Roman"/>
          <w:sz w:val="24"/>
          <w:szCs w:val="24"/>
        </w:rPr>
        <w:t xml:space="preserve"> </w:t>
      </w:r>
      <w:r w:rsidR="00744FB4">
        <w:rPr>
          <w:rFonts w:ascii="Times New Roman" w:hAnsi="Times New Roman" w:cs="Times New Roman"/>
          <w:sz w:val="24"/>
          <w:szCs w:val="24"/>
        </w:rPr>
        <w:t xml:space="preserve">&amp; </w:t>
      </w:r>
      <w:r w:rsidR="00B70B1F" w:rsidRPr="00B70B1F">
        <w:rPr>
          <w:rFonts w:ascii="Times New Roman" w:hAnsi="Times New Roman" w:cs="Times New Roman"/>
          <w:sz w:val="24"/>
          <w:szCs w:val="24"/>
        </w:rPr>
        <w:t>6 September 2021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749C7CD9" w14:textId="77777777" w:rsidR="00B70B1F" w:rsidRDefault="00B70B1F" w:rsidP="0031329B">
      <w:pPr>
        <w:spacing w:after="0" w:line="360" w:lineRule="auto"/>
        <w:jc w:val="both"/>
        <w:rPr>
          <w:rFonts w:ascii="Times New Roman" w:hAnsi="Times New Roman" w:cs="Times New Roman"/>
          <w:b/>
          <w:sz w:val="24"/>
          <w:szCs w:val="24"/>
        </w:rPr>
      </w:pPr>
    </w:p>
    <w:p w14:paraId="4142093B" w14:textId="27F7EAA3" w:rsidR="00FF0E99" w:rsidRDefault="00F36D5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5E4E9F">
        <w:rPr>
          <w:rFonts w:ascii="Times New Roman" w:hAnsi="Times New Roman" w:cs="Times New Roman"/>
          <w:b/>
          <w:sz w:val="24"/>
          <w:szCs w:val="24"/>
        </w:rPr>
        <w:t>Matter –</w:t>
      </w:r>
      <w:r w:rsidR="0010675F">
        <w:rPr>
          <w:rFonts w:ascii="Times New Roman" w:hAnsi="Times New Roman" w:cs="Times New Roman"/>
          <w:b/>
          <w:sz w:val="24"/>
          <w:szCs w:val="24"/>
        </w:rPr>
        <w:t xml:space="preserve"> </w:t>
      </w:r>
      <w:r w:rsidR="005E4E9F">
        <w:rPr>
          <w:rFonts w:ascii="Times New Roman" w:hAnsi="Times New Roman" w:cs="Times New Roman"/>
          <w:b/>
          <w:sz w:val="24"/>
          <w:szCs w:val="24"/>
        </w:rPr>
        <w:t xml:space="preserve">Special Plea &amp; Exception </w:t>
      </w:r>
    </w:p>
    <w:p w14:paraId="4EDC4DAB" w14:textId="77777777" w:rsidR="00B70B1F" w:rsidRDefault="00B70B1F" w:rsidP="001E18C7">
      <w:pPr>
        <w:spacing w:after="0" w:line="240" w:lineRule="auto"/>
        <w:jc w:val="both"/>
        <w:rPr>
          <w:rFonts w:ascii="Times New Roman" w:hAnsi="Times New Roman" w:cs="Times New Roman"/>
          <w:i/>
          <w:sz w:val="24"/>
          <w:szCs w:val="24"/>
        </w:rPr>
      </w:pPr>
    </w:p>
    <w:p w14:paraId="23C2DF8A" w14:textId="3E48D3C3" w:rsidR="007F2D63" w:rsidRDefault="005B7C25"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 xml:space="preserve">Mr </w:t>
      </w:r>
      <w:r w:rsidR="005D5196">
        <w:rPr>
          <w:rFonts w:ascii="Times New Roman" w:hAnsi="Times New Roman" w:cs="Times New Roman"/>
          <w:i/>
          <w:sz w:val="24"/>
          <w:szCs w:val="24"/>
        </w:rPr>
        <w:t>T</w:t>
      </w:r>
      <w:r w:rsidR="007E25E9">
        <w:rPr>
          <w:rFonts w:ascii="Times New Roman" w:hAnsi="Times New Roman" w:cs="Times New Roman"/>
          <w:i/>
          <w:sz w:val="24"/>
          <w:szCs w:val="24"/>
        </w:rPr>
        <w:t xml:space="preserve">. </w:t>
      </w:r>
      <w:r w:rsidR="005E4E9F">
        <w:rPr>
          <w:rFonts w:ascii="Times New Roman" w:hAnsi="Times New Roman" w:cs="Times New Roman"/>
          <w:i/>
          <w:sz w:val="24"/>
          <w:szCs w:val="24"/>
        </w:rPr>
        <w:t>Nyamucherera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w:t>
      </w:r>
      <w:r w:rsidR="005E4E9F">
        <w:rPr>
          <w:rFonts w:ascii="Times New Roman" w:hAnsi="Times New Roman" w:cs="Times New Roman"/>
          <w:sz w:val="24"/>
          <w:szCs w:val="24"/>
        </w:rPr>
        <w:t>plaintiff</w:t>
      </w:r>
      <w:r w:rsidR="007F2D63">
        <w:rPr>
          <w:rFonts w:ascii="Times New Roman" w:hAnsi="Times New Roman" w:cs="Times New Roman"/>
          <w:sz w:val="24"/>
          <w:szCs w:val="24"/>
        </w:rPr>
        <w:t xml:space="preserve"> </w:t>
      </w:r>
    </w:p>
    <w:p w14:paraId="5A53F74C" w14:textId="6CF14442" w:rsidR="001E18C7" w:rsidRDefault="00250441"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M</w:t>
      </w:r>
      <w:r w:rsidR="007F2D63">
        <w:rPr>
          <w:rFonts w:ascii="Times New Roman" w:hAnsi="Times New Roman" w:cs="Times New Roman"/>
          <w:i/>
          <w:sz w:val="24"/>
          <w:szCs w:val="24"/>
        </w:rPr>
        <w:t xml:space="preserve">r </w:t>
      </w:r>
      <w:r w:rsidR="005E4E9F">
        <w:rPr>
          <w:rFonts w:ascii="Times New Roman" w:hAnsi="Times New Roman" w:cs="Times New Roman"/>
          <w:i/>
          <w:sz w:val="24"/>
          <w:szCs w:val="24"/>
        </w:rPr>
        <w:t>T.J</w:t>
      </w:r>
      <w:r w:rsidR="00115F4B">
        <w:rPr>
          <w:rFonts w:ascii="Times New Roman" w:hAnsi="Times New Roman" w:cs="Times New Roman"/>
          <w:i/>
          <w:sz w:val="24"/>
          <w:szCs w:val="24"/>
        </w:rPr>
        <w:t>. M</w:t>
      </w:r>
      <w:r w:rsidR="005E4E9F">
        <w:rPr>
          <w:rFonts w:ascii="Times New Roman" w:hAnsi="Times New Roman" w:cs="Times New Roman"/>
          <w:i/>
          <w:sz w:val="24"/>
          <w:szCs w:val="24"/>
        </w:rPr>
        <w:t>afongoya</w:t>
      </w:r>
      <w:r w:rsidR="001E18C7" w:rsidRPr="001E18C7">
        <w:rPr>
          <w:rFonts w:ascii="Times New Roman" w:hAnsi="Times New Roman" w:cs="Times New Roman"/>
          <w:sz w:val="24"/>
          <w:szCs w:val="24"/>
        </w:rPr>
        <w:t>, for the</w:t>
      </w:r>
      <w:r w:rsidR="005E4E9F">
        <w:rPr>
          <w:rFonts w:ascii="Times New Roman" w:hAnsi="Times New Roman" w:cs="Times New Roman"/>
          <w:sz w:val="24"/>
          <w:szCs w:val="24"/>
        </w:rPr>
        <w:t xml:space="preserve"> first</w:t>
      </w:r>
      <w:r w:rsidR="001E18C7" w:rsidRPr="001E18C7">
        <w:rPr>
          <w:rFonts w:ascii="Times New Roman" w:hAnsi="Times New Roman" w:cs="Times New Roman"/>
          <w:sz w:val="24"/>
          <w:szCs w:val="24"/>
        </w:rPr>
        <w:t xml:space="preserve"> </w:t>
      </w:r>
      <w:r w:rsidR="005E4E9F">
        <w:rPr>
          <w:rFonts w:ascii="Times New Roman" w:hAnsi="Times New Roman" w:cs="Times New Roman"/>
          <w:sz w:val="24"/>
          <w:szCs w:val="24"/>
        </w:rPr>
        <w:t xml:space="preserve">defendant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BE176E">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2ECF448B" w14:textId="7BD3A475" w:rsidR="00797B02" w:rsidRDefault="009F33B6" w:rsidP="00BE17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5B609BCA" w14:textId="75E8E31D" w:rsidR="009F33B6" w:rsidRDefault="007E25E9" w:rsidP="00115F4B">
      <w:pPr>
        <w:spacing w:after="0" w:line="360" w:lineRule="auto"/>
        <w:ind w:firstLine="720"/>
        <w:jc w:val="both"/>
        <w:rPr>
          <w:rFonts w:ascii="Times New Roman" w:hAnsi="Times New Roman" w:cs="Times New Roman"/>
          <w:sz w:val="24"/>
          <w:szCs w:val="24"/>
        </w:rPr>
      </w:pPr>
      <w:r w:rsidRPr="007E25E9">
        <w:rPr>
          <w:rFonts w:ascii="Times New Roman" w:hAnsi="Times New Roman" w:cs="Times New Roman"/>
          <w:sz w:val="24"/>
          <w:szCs w:val="24"/>
        </w:rPr>
        <w:t>The</w:t>
      </w:r>
      <w:r w:rsidR="00E21F30">
        <w:rPr>
          <w:rFonts w:ascii="Times New Roman" w:hAnsi="Times New Roman" w:cs="Times New Roman"/>
          <w:sz w:val="24"/>
          <w:szCs w:val="24"/>
        </w:rPr>
        <w:t xml:space="preserve"> first defendant filed a combined special plea and exception to the plaintiff’s summons and declaration. </w:t>
      </w:r>
      <w:r w:rsidR="00C14E79">
        <w:rPr>
          <w:rFonts w:ascii="Times New Roman" w:hAnsi="Times New Roman" w:cs="Times New Roman"/>
          <w:sz w:val="24"/>
          <w:szCs w:val="24"/>
        </w:rPr>
        <w:t xml:space="preserve">It implored the court to uphold the special plea and the exception, and consequently to dismiss the plaintiff’s claim with costs on the attorney and client scale. The plaintiff opposed both the special plea and the exception. </w:t>
      </w:r>
      <w:r w:rsidR="00066EBC">
        <w:rPr>
          <w:rFonts w:ascii="Times New Roman" w:hAnsi="Times New Roman" w:cs="Times New Roman"/>
          <w:sz w:val="24"/>
          <w:szCs w:val="24"/>
        </w:rPr>
        <w:t>The plaintiff is a trade union established in terms of the Labour Act</w:t>
      </w:r>
      <w:r w:rsidR="003140B8">
        <w:rPr>
          <w:rStyle w:val="FootnoteReference"/>
          <w:rFonts w:ascii="Times New Roman" w:hAnsi="Times New Roman" w:cs="Times New Roman"/>
          <w:sz w:val="24"/>
          <w:szCs w:val="24"/>
        </w:rPr>
        <w:footnoteReference w:id="1"/>
      </w:r>
      <w:r w:rsidR="003140B8">
        <w:rPr>
          <w:rFonts w:ascii="Times New Roman" w:hAnsi="Times New Roman" w:cs="Times New Roman"/>
          <w:sz w:val="24"/>
          <w:szCs w:val="24"/>
        </w:rPr>
        <w:t xml:space="preserve">. It represents the interests of employees of the first </w:t>
      </w:r>
      <w:r w:rsidR="006D7C80">
        <w:rPr>
          <w:rFonts w:ascii="Times New Roman" w:hAnsi="Times New Roman" w:cs="Times New Roman"/>
          <w:sz w:val="24"/>
          <w:szCs w:val="24"/>
        </w:rPr>
        <w:t>defendant</w:t>
      </w:r>
      <w:r w:rsidR="003140B8">
        <w:rPr>
          <w:rFonts w:ascii="Times New Roman" w:hAnsi="Times New Roman" w:cs="Times New Roman"/>
          <w:sz w:val="24"/>
          <w:szCs w:val="24"/>
        </w:rPr>
        <w:t>, a local authority established in terms of the Rural District Councils Act.</w:t>
      </w:r>
      <w:r w:rsidR="00C14E79">
        <w:rPr>
          <w:rStyle w:val="FootnoteReference"/>
          <w:rFonts w:ascii="Times New Roman" w:hAnsi="Times New Roman" w:cs="Times New Roman"/>
          <w:sz w:val="24"/>
          <w:szCs w:val="24"/>
        </w:rPr>
        <w:footnoteReference w:id="2"/>
      </w:r>
      <w:r w:rsidR="00066EBC">
        <w:rPr>
          <w:rFonts w:ascii="Times New Roman" w:hAnsi="Times New Roman" w:cs="Times New Roman"/>
          <w:sz w:val="24"/>
          <w:szCs w:val="24"/>
        </w:rPr>
        <w:t xml:space="preserve"> </w:t>
      </w:r>
      <w:r w:rsidR="00C14E79">
        <w:rPr>
          <w:rFonts w:ascii="Times New Roman" w:hAnsi="Times New Roman" w:cs="Times New Roman"/>
          <w:sz w:val="24"/>
          <w:szCs w:val="24"/>
        </w:rPr>
        <w:t xml:space="preserve">The second </w:t>
      </w:r>
      <w:r w:rsidR="006D7C80">
        <w:rPr>
          <w:rFonts w:ascii="Times New Roman" w:hAnsi="Times New Roman" w:cs="Times New Roman"/>
          <w:sz w:val="24"/>
          <w:szCs w:val="24"/>
        </w:rPr>
        <w:t xml:space="preserve">defendant </w:t>
      </w:r>
      <w:r w:rsidR="00C14E79">
        <w:rPr>
          <w:rFonts w:ascii="Times New Roman" w:hAnsi="Times New Roman" w:cs="Times New Roman"/>
          <w:sz w:val="24"/>
          <w:szCs w:val="24"/>
        </w:rPr>
        <w:t xml:space="preserve">is a designated agent in the Employment Council for Rural District Councils.  </w:t>
      </w:r>
    </w:p>
    <w:p w14:paraId="6B0AF621" w14:textId="53048808" w:rsidR="000C6FCD" w:rsidRDefault="009F33B6" w:rsidP="00BE1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relief sought </w:t>
      </w:r>
      <w:r w:rsidR="00C14E79">
        <w:rPr>
          <w:rFonts w:ascii="Times New Roman" w:hAnsi="Times New Roman" w:cs="Times New Roman"/>
          <w:sz w:val="24"/>
          <w:szCs w:val="24"/>
        </w:rPr>
        <w:t xml:space="preserve">by the first defendant herein </w:t>
      </w:r>
      <w:r>
        <w:rPr>
          <w:rFonts w:ascii="Times New Roman" w:hAnsi="Times New Roman" w:cs="Times New Roman"/>
          <w:sz w:val="24"/>
          <w:szCs w:val="24"/>
        </w:rPr>
        <w:t xml:space="preserve">is </w:t>
      </w:r>
      <w:r w:rsidR="006151BE">
        <w:rPr>
          <w:rFonts w:ascii="Times New Roman" w:hAnsi="Times New Roman" w:cs="Times New Roman"/>
          <w:sz w:val="24"/>
          <w:szCs w:val="24"/>
        </w:rPr>
        <w:t>f</w:t>
      </w:r>
      <w:r>
        <w:rPr>
          <w:rFonts w:ascii="Times New Roman" w:hAnsi="Times New Roman" w:cs="Times New Roman"/>
          <w:sz w:val="24"/>
          <w:szCs w:val="24"/>
        </w:rPr>
        <w:t xml:space="preserve">ounded on the following factual </w:t>
      </w:r>
      <w:r w:rsidR="000C6FCD">
        <w:rPr>
          <w:rFonts w:ascii="Times New Roman" w:hAnsi="Times New Roman" w:cs="Times New Roman"/>
          <w:sz w:val="24"/>
          <w:szCs w:val="24"/>
        </w:rPr>
        <w:t xml:space="preserve">background. On 3 June 2020, the plaintiff issued summons against the first and second </w:t>
      </w:r>
      <w:r w:rsidR="006D7C80">
        <w:rPr>
          <w:rFonts w:ascii="Times New Roman" w:hAnsi="Times New Roman" w:cs="Times New Roman"/>
          <w:sz w:val="24"/>
          <w:szCs w:val="24"/>
        </w:rPr>
        <w:t>defendants</w:t>
      </w:r>
      <w:r w:rsidR="000C6FCD">
        <w:rPr>
          <w:rFonts w:ascii="Times New Roman" w:hAnsi="Times New Roman" w:cs="Times New Roman"/>
          <w:sz w:val="24"/>
          <w:szCs w:val="24"/>
        </w:rPr>
        <w:t>. The summons w</w:t>
      </w:r>
      <w:r w:rsidR="00C50C28">
        <w:rPr>
          <w:rFonts w:ascii="Times New Roman" w:hAnsi="Times New Roman" w:cs="Times New Roman"/>
          <w:sz w:val="24"/>
          <w:szCs w:val="24"/>
        </w:rPr>
        <w:t xml:space="preserve">as </w:t>
      </w:r>
      <w:r w:rsidR="000C6FCD">
        <w:rPr>
          <w:rFonts w:ascii="Times New Roman" w:hAnsi="Times New Roman" w:cs="Times New Roman"/>
          <w:sz w:val="24"/>
          <w:szCs w:val="24"/>
        </w:rPr>
        <w:t>issued</w:t>
      </w:r>
      <w:r w:rsidR="00F077A4">
        <w:rPr>
          <w:rFonts w:ascii="Times New Roman" w:hAnsi="Times New Roman" w:cs="Times New Roman"/>
          <w:sz w:val="24"/>
          <w:szCs w:val="24"/>
        </w:rPr>
        <w:t xml:space="preserve">, </w:t>
      </w:r>
      <w:r w:rsidR="000C6FCD">
        <w:rPr>
          <w:rFonts w:ascii="Times New Roman" w:hAnsi="Times New Roman" w:cs="Times New Roman"/>
          <w:sz w:val="24"/>
          <w:szCs w:val="24"/>
        </w:rPr>
        <w:t xml:space="preserve">filed </w:t>
      </w:r>
      <w:r w:rsidR="00F077A4">
        <w:rPr>
          <w:rFonts w:ascii="Times New Roman" w:hAnsi="Times New Roman" w:cs="Times New Roman"/>
          <w:sz w:val="24"/>
          <w:szCs w:val="24"/>
        </w:rPr>
        <w:t xml:space="preserve">and served </w:t>
      </w:r>
      <w:r w:rsidR="000C6FCD">
        <w:rPr>
          <w:rFonts w:ascii="Times New Roman" w:hAnsi="Times New Roman" w:cs="Times New Roman"/>
          <w:sz w:val="24"/>
          <w:szCs w:val="24"/>
        </w:rPr>
        <w:t xml:space="preserve">concurrently with </w:t>
      </w:r>
      <w:r w:rsidR="00F077A4">
        <w:rPr>
          <w:rFonts w:ascii="Times New Roman" w:hAnsi="Times New Roman" w:cs="Times New Roman"/>
          <w:sz w:val="24"/>
          <w:szCs w:val="24"/>
        </w:rPr>
        <w:t xml:space="preserve">the </w:t>
      </w:r>
      <w:r w:rsidR="000C6FCD">
        <w:rPr>
          <w:rFonts w:ascii="Times New Roman" w:hAnsi="Times New Roman" w:cs="Times New Roman"/>
          <w:sz w:val="24"/>
          <w:szCs w:val="24"/>
        </w:rPr>
        <w:t>declaration. The claim was set out in the summons as follows:</w:t>
      </w:r>
    </w:p>
    <w:p w14:paraId="592A735F" w14:textId="77777777" w:rsidR="000C6FCD" w:rsidRPr="00066EBC" w:rsidRDefault="000C6FCD" w:rsidP="00066EBC">
      <w:pPr>
        <w:spacing w:after="0" w:line="240" w:lineRule="auto"/>
        <w:ind w:firstLine="720"/>
        <w:jc w:val="both"/>
        <w:rPr>
          <w:rFonts w:ascii="Times New Roman" w:hAnsi="Times New Roman" w:cs="Times New Roman"/>
        </w:rPr>
      </w:pPr>
      <w:r w:rsidRPr="00066EBC">
        <w:rPr>
          <w:rFonts w:ascii="Times New Roman" w:hAnsi="Times New Roman" w:cs="Times New Roman"/>
        </w:rPr>
        <w:t>“The Plaintiff’s claim is for:-</w:t>
      </w:r>
    </w:p>
    <w:p w14:paraId="4009B043" w14:textId="77777777" w:rsidR="00066EBC" w:rsidRPr="00066EBC" w:rsidRDefault="00066EBC" w:rsidP="00066EBC">
      <w:pPr>
        <w:pStyle w:val="ListParagraph"/>
        <w:numPr>
          <w:ilvl w:val="0"/>
          <w:numId w:val="47"/>
        </w:numPr>
        <w:spacing w:after="0" w:line="240" w:lineRule="auto"/>
        <w:jc w:val="both"/>
        <w:rPr>
          <w:rFonts w:ascii="Times New Roman" w:hAnsi="Times New Roman" w:cs="Times New Roman"/>
        </w:rPr>
      </w:pPr>
      <w:r w:rsidRPr="00066EBC">
        <w:rPr>
          <w:rFonts w:ascii="Times New Roman" w:hAnsi="Times New Roman" w:cs="Times New Roman"/>
        </w:rPr>
        <w:t>The setting aside of the purported draft ruling by the 2</w:t>
      </w:r>
      <w:r w:rsidRPr="00066EBC">
        <w:rPr>
          <w:rFonts w:ascii="Times New Roman" w:hAnsi="Times New Roman" w:cs="Times New Roman"/>
          <w:vertAlign w:val="superscript"/>
        </w:rPr>
        <w:t>nd</w:t>
      </w:r>
      <w:r w:rsidRPr="00066EBC">
        <w:rPr>
          <w:rFonts w:ascii="Times New Roman" w:hAnsi="Times New Roman" w:cs="Times New Roman"/>
        </w:rPr>
        <w:t xml:space="preserve"> Defendant dated 14 October 2019 which was issued out without a Certificate of Settlement as provided for by the Labour Act.</w:t>
      </w:r>
    </w:p>
    <w:p w14:paraId="55115E76" w14:textId="7EB20264" w:rsidR="00066EBC" w:rsidRPr="00066EBC" w:rsidRDefault="00066EBC" w:rsidP="00066EBC">
      <w:pPr>
        <w:pStyle w:val="ListParagraph"/>
        <w:numPr>
          <w:ilvl w:val="0"/>
          <w:numId w:val="47"/>
        </w:numPr>
        <w:spacing w:after="0" w:line="240" w:lineRule="auto"/>
        <w:jc w:val="both"/>
        <w:rPr>
          <w:rFonts w:ascii="Times New Roman" w:hAnsi="Times New Roman" w:cs="Times New Roman"/>
        </w:rPr>
      </w:pPr>
      <w:r w:rsidRPr="00066EBC">
        <w:rPr>
          <w:rFonts w:ascii="Times New Roman" w:hAnsi="Times New Roman" w:cs="Times New Roman"/>
        </w:rPr>
        <w:t>An order that the 1</w:t>
      </w:r>
      <w:r w:rsidRPr="00066EBC">
        <w:rPr>
          <w:rFonts w:ascii="Times New Roman" w:hAnsi="Times New Roman" w:cs="Times New Roman"/>
          <w:vertAlign w:val="superscript"/>
        </w:rPr>
        <w:t>st</w:t>
      </w:r>
      <w:r w:rsidRPr="00066EBC">
        <w:rPr>
          <w:rFonts w:ascii="Times New Roman" w:hAnsi="Times New Roman" w:cs="Times New Roman"/>
        </w:rPr>
        <w:t xml:space="preserve"> Defendant pays the Plaintiff an amount to the tune of US$29 776.07 (Twenty Nine Thousand, Seven Hundred and Seventy Six Dollars and Seven Cents United States Dol</w:t>
      </w:r>
      <w:r>
        <w:rPr>
          <w:rFonts w:ascii="Times New Roman" w:hAnsi="Times New Roman" w:cs="Times New Roman"/>
        </w:rPr>
        <w:t>l</w:t>
      </w:r>
      <w:r w:rsidRPr="00066EBC">
        <w:rPr>
          <w:rFonts w:ascii="Times New Roman" w:hAnsi="Times New Roman" w:cs="Times New Roman"/>
        </w:rPr>
        <w:t>ars) at the applicable bank rate upon payment and RTGS$10 010.44. This is in terms of an agreement entered into by the parties on the 18</w:t>
      </w:r>
      <w:r w:rsidRPr="00066EBC">
        <w:rPr>
          <w:rFonts w:ascii="Times New Roman" w:hAnsi="Times New Roman" w:cs="Times New Roman"/>
          <w:vertAlign w:val="superscript"/>
        </w:rPr>
        <w:t>th</w:t>
      </w:r>
      <w:r w:rsidRPr="00066EBC">
        <w:rPr>
          <w:rFonts w:ascii="Times New Roman" w:hAnsi="Times New Roman" w:cs="Times New Roman"/>
        </w:rPr>
        <w:t xml:space="preserve"> of June 2019 which the 1</w:t>
      </w:r>
      <w:r w:rsidRPr="00066EBC">
        <w:rPr>
          <w:rFonts w:ascii="Times New Roman" w:hAnsi="Times New Roman" w:cs="Times New Roman"/>
          <w:vertAlign w:val="superscript"/>
        </w:rPr>
        <w:t>st</w:t>
      </w:r>
      <w:r w:rsidRPr="00066EBC">
        <w:rPr>
          <w:rFonts w:ascii="Times New Roman" w:hAnsi="Times New Roman" w:cs="Times New Roman"/>
        </w:rPr>
        <w:t xml:space="preserve"> Defendant has partially complied with.</w:t>
      </w:r>
    </w:p>
    <w:p w14:paraId="208A5AC4" w14:textId="77777777" w:rsidR="00066EBC" w:rsidRDefault="00066EBC" w:rsidP="00066EBC">
      <w:pPr>
        <w:pStyle w:val="ListParagraph"/>
        <w:numPr>
          <w:ilvl w:val="0"/>
          <w:numId w:val="47"/>
        </w:numPr>
        <w:spacing w:after="0" w:line="240" w:lineRule="auto"/>
        <w:jc w:val="both"/>
        <w:rPr>
          <w:rFonts w:ascii="Times New Roman" w:hAnsi="Times New Roman" w:cs="Times New Roman"/>
        </w:rPr>
      </w:pPr>
      <w:r w:rsidRPr="00066EBC">
        <w:rPr>
          <w:rFonts w:ascii="Times New Roman" w:hAnsi="Times New Roman" w:cs="Times New Roman"/>
        </w:rPr>
        <w:t>Costs of suit on an attorney and client scale.”</w:t>
      </w:r>
    </w:p>
    <w:p w14:paraId="1707105B" w14:textId="77777777" w:rsidR="00066EBC" w:rsidRDefault="00066EBC" w:rsidP="00066EBC">
      <w:pPr>
        <w:spacing w:after="0" w:line="240" w:lineRule="auto"/>
        <w:jc w:val="both"/>
        <w:rPr>
          <w:rFonts w:ascii="Times New Roman" w:hAnsi="Times New Roman" w:cs="Times New Roman"/>
        </w:rPr>
      </w:pPr>
    </w:p>
    <w:p w14:paraId="48B25026" w14:textId="7FD3A788" w:rsidR="00177E89" w:rsidRDefault="00066EBC" w:rsidP="004F69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claim was further amplified in its declaration. </w:t>
      </w:r>
      <w:r w:rsidR="00F077A4">
        <w:rPr>
          <w:rFonts w:ascii="Times New Roman" w:hAnsi="Times New Roman" w:cs="Times New Roman"/>
          <w:sz w:val="24"/>
          <w:szCs w:val="24"/>
        </w:rPr>
        <w:t xml:space="preserve">The plaintiff averred that it was locked in a dispute with the first defendant over the </w:t>
      </w:r>
      <w:r w:rsidR="006D53C8">
        <w:rPr>
          <w:rFonts w:ascii="Times New Roman" w:hAnsi="Times New Roman" w:cs="Times New Roman"/>
          <w:sz w:val="24"/>
          <w:szCs w:val="24"/>
        </w:rPr>
        <w:t xml:space="preserve">non-payment of certain union dues. A conciliation hearing was held before the second </w:t>
      </w:r>
      <w:r w:rsidR="006D7C80">
        <w:rPr>
          <w:rFonts w:ascii="Times New Roman" w:hAnsi="Times New Roman" w:cs="Times New Roman"/>
          <w:sz w:val="24"/>
          <w:szCs w:val="24"/>
        </w:rPr>
        <w:t>defendant</w:t>
      </w:r>
      <w:r w:rsidR="006D53C8">
        <w:rPr>
          <w:rFonts w:ascii="Times New Roman" w:hAnsi="Times New Roman" w:cs="Times New Roman"/>
          <w:sz w:val="24"/>
          <w:szCs w:val="24"/>
        </w:rPr>
        <w:t>, and the parties allegedly agreed to settle the dispute. The settlement terms agreed upon on 30 May 2019 were that: the first defendant would pay a sum of US$33 742.46 and RTGS $10 010</w:t>
      </w:r>
      <w:r w:rsidR="004F698C">
        <w:rPr>
          <w:rFonts w:ascii="Times New Roman" w:hAnsi="Times New Roman" w:cs="Times New Roman"/>
          <w:sz w:val="24"/>
          <w:szCs w:val="24"/>
        </w:rPr>
        <w:t xml:space="preserve">.44; the payment was to be made within 8 months of the said agreement. The plaintiff contended that the full payment ought to have been made by </w:t>
      </w:r>
      <w:r w:rsidR="00177E89">
        <w:rPr>
          <w:rFonts w:ascii="Times New Roman" w:hAnsi="Times New Roman" w:cs="Times New Roman"/>
          <w:sz w:val="24"/>
          <w:szCs w:val="24"/>
        </w:rPr>
        <w:t xml:space="preserve">30 January 2020. Only US$3 966.39 was paid as at the time </w:t>
      </w:r>
      <w:r w:rsidR="006B099B">
        <w:rPr>
          <w:rFonts w:ascii="Times New Roman" w:hAnsi="Times New Roman" w:cs="Times New Roman"/>
          <w:sz w:val="24"/>
          <w:szCs w:val="24"/>
        </w:rPr>
        <w:t xml:space="preserve">the </w:t>
      </w:r>
      <w:r w:rsidR="00177E89">
        <w:rPr>
          <w:rFonts w:ascii="Times New Roman" w:hAnsi="Times New Roman" w:cs="Times New Roman"/>
          <w:sz w:val="24"/>
          <w:szCs w:val="24"/>
        </w:rPr>
        <w:t>summons w</w:t>
      </w:r>
      <w:r w:rsidR="006B099B">
        <w:rPr>
          <w:rFonts w:ascii="Times New Roman" w:hAnsi="Times New Roman" w:cs="Times New Roman"/>
          <w:sz w:val="24"/>
          <w:szCs w:val="24"/>
        </w:rPr>
        <w:t xml:space="preserve">as </w:t>
      </w:r>
      <w:r w:rsidR="00177E89">
        <w:rPr>
          <w:rFonts w:ascii="Times New Roman" w:hAnsi="Times New Roman" w:cs="Times New Roman"/>
          <w:sz w:val="24"/>
          <w:szCs w:val="24"/>
        </w:rPr>
        <w:t xml:space="preserve">issued. The remaining balance of US$29 776.07 and RTGS$ 10 010.44 remained unpaid despite demand. </w:t>
      </w:r>
    </w:p>
    <w:p w14:paraId="798F1949" w14:textId="0ECE025C" w:rsidR="00706F24" w:rsidRDefault="00177E89" w:rsidP="004F69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further claimed that notwithstanding the aforementioned agreement, the second defendant allegedly prepared a draft ruling in the plaintiff’s favour on 14 October 2019. The ruling was not based on a certificate of</w:t>
      </w:r>
      <w:r w:rsidR="006D7C80">
        <w:rPr>
          <w:rFonts w:ascii="Times New Roman" w:hAnsi="Times New Roman" w:cs="Times New Roman"/>
          <w:sz w:val="24"/>
          <w:szCs w:val="24"/>
        </w:rPr>
        <w:t xml:space="preserve"> no</w:t>
      </w:r>
      <w:r>
        <w:rPr>
          <w:rFonts w:ascii="Times New Roman" w:hAnsi="Times New Roman" w:cs="Times New Roman"/>
          <w:sz w:val="24"/>
          <w:szCs w:val="24"/>
        </w:rPr>
        <w:t xml:space="preserve"> settlement as required by the law</w:t>
      </w:r>
      <w:r w:rsidR="006D7C80">
        <w:rPr>
          <w:rFonts w:ascii="Times New Roman" w:hAnsi="Times New Roman" w:cs="Times New Roman"/>
          <w:sz w:val="24"/>
          <w:szCs w:val="24"/>
        </w:rPr>
        <w:t xml:space="preserve">. Rather, it was based on </w:t>
      </w:r>
      <w:r>
        <w:rPr>
          <w:rFonts w:ascii="Times New Roman" w:hAnsi="Times New Roman" w:cs="Times New Roman"/>
          <w:sz w:val="24"/>
          <w:szCs w:val="24"/>
        </w:rPr>
        <w:t>the parties’ aforementioned agreement. The plaintiff averred that the ruling was irregular as it did not comply with the Labour Act. It was for that reason that it sought an order declaring th</w:t>
      </w:r>
      <w:r w:rsidR="006D7C80">
        <w:rPr>
          <w:rFonts w:ascii="Times New Roman" w:hAnsi="Times New Roman" w:cs="Times New Roman"/>
          <w:sz w:val="24"/>
          <w:szCs w:val="24"/>
        </w:rPr>
        <w:t>e</w:t>
      </w:r>
      <w:r>
        <w:rPr>
          <w:rFonts w:ascii="Times New Roman" w:hAnsi="Times New Roman" w:cs="Times New Roman"/>
          <w:sz w:val="24"/>
          <w:szCs w:val="24"/>
        </w:rPr>
        <w:t xml:space="preserve"> ruling</w:t>
      </w:r>
      <w:r w:rsidR="00706F24">
        <w:rPr>
          <w:rFonts w:ascii="Times New Roman" w:hAnsi="Times New Roman" w:cs="Times New Roman"/>
          <w:sz w:val="24"/>
          <w:szCs w:val="24"/>
        </w:rPr>
        <w:t xml:space="preserve"> null and void. </w:t>
      </w:r>
    </w:p>
    <w:p w14:paraId="56A09FE9" w14:textId="77777777" w:rsidR="00A41B0E" w:rsidRDefault="00706F24" w:rsidP="00A41B0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The Special </w:t>
      </w:r>
      <w:r w:rsidRPr="00706F24">
        <w:rPr>
          <w:rFonts w:ascii="Times New Roman" w:hAnsi="Times New Roman" w:cs="Times New Roman"/>
          <w:b/>
          <w:i/>
          <w:sz w:val="24"/>
          <w:szCs w:val="24"/>
        </w:rPr>
        <w:t>Plea</w:t>
      </w:r>
      <w:r w:rsidR="00177E89" w:rsidRPr="00706F24">
        <w:rPr>
          <w:rFonts w:ascii="Times New Roman" w:hAnsi="Times New Roman" w:cs="Times New Roman"/>
          <w:b/>
          <w:sz w:val="24"/>
          <w:szCs w:val="24"/>
        </w:rPr>
        <w:t xml:space="preserve"> </w:t>
      </w:r>
      <w:r w:rsidRPr="00706F24">
        <w:rPr>
          <w:rFonts w:ascii="Times New Roman" w:hAnsi="Times New Roman" w:cs="Times New Roman"/>
          <w:b/>
          <w:i/>
          <w:sz w:val="24"/>
          <w:szCs w:val="24"/>
        </w:rPr>
        <w:t>in Bar: Lack of Jurisdiction</w:t>
      </w:r>
    </w:p>
    <w:p w14:paraId="2B6CC96E" w14:textId="77777777" w:rsidR="007A0E08" w:rsidRDefault="00A41B0E" w:rsidP="006701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2035">
        <w:rPr>
          <w:rFonts w:ascii="Times New Roman" w:hAnsi="Times New Roman" w:cs="Times New Roman"/>
          <w:sz w:val="24"/>
          <w:szCs w:val="24"/>
        </w:rPr>
        <w:t xml:space="preserve">The document does not appear like a plea at all. It looks more like an affidavit. It </w:t>
      </w:r>
      <w:r w:rsidR="003A7D04">
        <w:rPr>
          <w:rFonts w:ascii="Times New Roman" w:hAnsi="Times New Roman" w:cs="Times New Roman"/>
          <w:sz w:val="24"/>
          <w:szCs w:val="24"/>
        </w:rPr>
        <w:t xml:space="preserve">bears </w:t>
      </w:r>
      <w:r w:rsidR="00A72035">
        <w:rPr>
          <w:rFonts w:ascii="Times New Roman" w:hAnsi="Times New Roman" w:cs="Times New Roman"/>
          <w:sz w:val="24"/>
          <w:szCs w:val="24"/>
        </w:rPr>
        <w:t xml:space="preserve">all the hallmarks of an affidavit. It is long, rumbling and rather convoluted. It has a long list of annexures that span from annexure ‘A’ to ‘F2’. Be that as it may, the nub of the </w:t>
      </w:r>
      <w:r>
        <w:rPr>
          <w:rFonts w:ascii="Times New Roman" w:hAnsi="Times New Roman" w:cs="Times New Roman"/>
          <w:sz w:val="24"/>
          <w:szCs w:val="24"/>
        </w:rPr>
        <w:t>first defendant</w:t>
      </w:r>
      <w:r w:rsidR="00A72035">
        <w:rPr>
          <w:rFonts w:ascii="Times New Roman" w:hAnsi="Times New Roman" w:cs="Times New Roman"/>
          <w:sz w:val="24"/>
          <w:szCs w:val="24"/>
        </w:rPr>
        <w:t xml:space="preserve">’s complaint is </w:t>
      </w:r>
      <w:r>
        <w:rPr>
          <w:rFonts w:ascii="Times New Roman" w:hAnsi="Times New Roman" w:cs="Times New Roman"/>
          <w:sz w:val="24"/>
          <w:szCs w:val="24"/>
        </w:rPr>
        <w:t xml:space="preserve">that this court lacked jurisdiction to deal with the matter as it was based on a draft ruling issued by the second </w:t>
      </w:r>
      <w:r w:rsidR="0067011E">
        <w:rPr>
          <w:rFonts w:ascii="Times New Roman" w:hAnsi="Times New Roman" w:cs="Times New Roman"/>
          <w:sz w:val="24"/>
          <w:szCs w:val="24"/>
        </w:rPr>
        <w:t xml:space="preserve">defendant </w:t>
      </w:r>
      <w:r>
        <w:rPr>
          <w:rFonts w:ascii="Times New Roman" w:hAnsi="Times New Roman" w:cs="Times New Roman"/>
          <w:sz w:val="24"/>
          <w:szCs w:val="24"/>
        </w:rPr>
        <w:t xml:space="preserve">on 14 October 2019. That ruling was issued in terms of the Labour Act. It was still to be confirmed by the Labour Court in terms of the same Act. The High Court had no business </w:t>
      </w:r>
      <w:r w:rsidR="007A0E08">
        <w:rPr>
          <w:rFonts w:ascii="Times New Roman" w:hAnsi="Times New Roman" w:cs="Times New Roman"/>
          <w:sz w:val="24"/>
          <w:szCs w:val="24"/>
        </w:rPr>
        <w:t>enmeshing itself i</w:t>
      </w:r>
      <w:r w:rsidR="003A7D04">
        <w:rPr>
          <w:rFonts w:ascii="Times New Roman" w:hAnsi="Times New Roman" w:cs="Times New Roman"/>
          <w:sz w:val="24"/>
          <w:szCs w:val="24"/>
        </w:rPr>
        <w:t xml:space="preserve">n </w:t>
      </w:r>
      <w:r>
        <w:rPr>
          <w:rFonts w:ascii="Times New Roman" w:hAnsi="Times New Roman" w:cs="Times New Roman"/>
          <w:sz w:val="24"/>
          <w:szCs w:val="24"/>
        </w:rPr>
        <w:t xml:space="preserve">a process that was within the bounds of another court created by law to deal with such matters. </w:t>
      </w:r>
      <w:r w:rsidR="00852BC3">
        <w:rPr>
          <w:rFonts w:ascii="Times New Roman" w:hAnsi="Times New Roman" w:cs="Times New Roman"/>
          <w:sz w:val="24"/>
          <w:szCs w:val="24"/>
        </w:rPr>
        <w:t xml:space="preserve">Whatever issues plaintiff had with the draft ruling had to be dealt with by the Labour Court. </w:t>
      </w:r>
    </w:p>
    <w:p w14:paraId="729726FF" w14:textId="42877289" w:rsidR="00EC768E" w:rsidRDefault="003A7D04" w:rsidP="007A0E08">
      <w:pPr>
        <w:spacing w:after="0" w:line="360" w:lineRule="auto"/>
        <w:ind w:firstLine="720"/>
        <w:jc w:val="both"/>
        <w:rPr>
          <w:rFonts w:ascii="Times New Roman" w:hAnsi="Times New Roman" w:cs="Times New Roman"/>
          <w:sz w:val="24"/>
          <w:szCs w:val="24"/>
        </w:rPr>
      </w:pPr>
      <w:r w:rsidRPr="003A7D04">
        <w:rPr>
          <w:rFonts w:ascii="Times New Roman" w:hAnsi="Times New Roman" w:cs="Times New Roman"/>
          <w:sz w:val="24"/>
          <w:szCs w:val="24"/>
        </w:rPr>
        <w:t xml:space="preserve">Two applications </w:t>
      </w:r>
      <w:r w:rsidR="007A0E08">
        <w:rPr>
          <w:rFonts w:ascii="Times New Roman" w:hAnsi="Times New Roman" w:cs="Times New Roman"/>
          <w:sz w:val="24"/>
          <w:szCs w:val="24"/>
        </w:rPr>
        <w:t xml:space="preserve">were allegedly </w:t>
      </w:r>
      <w:r>
        <w:rPr>
          <w:rFonts w:ascii="Times New Roman" w:hAnsi="Times New Roman" w:cs="Times New Roman"/>
          <w:sz w:val="24"/>
          <w:szCs w:val="24"/>
        </w:rPr>
        <w:t xml:space="preserve">made to the Labour Court by the second </w:t>
      </w:r>
      <w:r w:rsidR="007A0E08">
        <w:rPr>
          <w:rFonts w:ascii="Times New Roman" w:hAnsi="Times New Roman" w:cs="Times New Roman"/>
          <w:sz w:val="24"/>
          <w:szCs w:val="24"/>
        </w:rPr>
        <w:t>defendant for confirmation of h</w:t>
      </w:r>
      <w:r>
        <w:rPr>
          <w:rFonts w:ascii="Times New Roman" w:hAnsi="Times New Roman" w:cs="Times New Roman"/>
          <w:sz w:val="24"/>
          <w:szCs w:val="24"/>
        </w:rPr>
        <w:t xml:space="preserve">is draft ruling. </w:t>
      </w:r>
      <w:r w:rsidR="00102ECA">
        <w:rPr>
          <w:rFonts w:ascii="Times New Roman" w:hAnsi="Times New Roman" w:cs="Times New Roman"/>
          <w:sz w:val="24"/>
          <w:szCs w:val="24"/>
        </w:rPr>
        <w:t>The first was made under LC</w:t>
      </w:r>
      <w:r w:rsidR="00894064">
        <w:rPr>
          <w:rFonts w:ascii="Times New Roman" w:hAnsi="Times New Roman" w:cs="Times New Roman"/>
          <w:sz w:val="24"/>
          <w:szCs w:val="24"/>
        </w:rPr>
        <w:t xml:space="preserve">/H/LRA/367/19. It was allegedly withdrawn after the first </w:t>
      </w:r>
      <w:r w:rsidR="007A0E08">
        <w:rPr>
          <w:rFonts w:ascii="Times New Roman" w:hAnsi="Times New Roman" w:cs="Times New Roman"/>
          <w:sz w:val="24"/>
          <w:szCs w:val="24"/>
        </w:rPr>
        <w:t xml:space="preserve">defendant </w:t>
      </w:r>
      <w:r w:rsidR="00894064">
        <w:rPr>
          <w:rFonts w:ascii="Times New Roman" w:hAnsi="Times New Roman" w:cs="Times New Roman"/>
          <w:sz w:val="24"/>
          <w:szCs w:val="24"/>
        </w:rPr>
        <w:t xml:space="preserve">filed its opposition. The second was </w:t>
      </w:r>
      <w:r w:rsidR="007A0E08">
        <w:rPr>
          <w:rFonts w:ascii="Times New Roman" w:hAnsi="Times New Roman" w:cs="Times New Roman"/>
          <w:sz w:val="24"/>
          <w:szCs w:val="24"/>
        </w:rPr>
        <w:t xml:space="preserve">made </w:t>
      </w:r>
      <w:r w:rsidR="00894064">
        <w:rPr>
          <w:rFonts w:ascii="Times New Roman" w:hAnsi="Times New Roman" w:cs="Times New Roman"/>
          <w:sz w:val="24"/>
          <w:szCs w:val="24"/>
        </w:rPr>
        <w:t xml:space="preserve">under LC/H/LRA/389/19. It was still to be disposed of. The first </w:t>
      </w:r>
      <w:r w:rsidR="007A0E08">
        <w:rPr>
          <w:rFonts w:ascii="Times New Roman" w:hAnsi="Times New Roman" w:cs="Times New Roman"/>
          <w:sz w:val="24"/>
          <w:szCs w:val="24"/>
        </w:rPr>
        <w:t xml:space="preserve">defendant opposed the confirmation proceedings on the basis </w:t>
      </w:r>
      <w:r w:rsidR="00894064">
        <w:rPr>
          <w:rFonts w:ascii="Times New Roman" w:hAnsi="Times New Roman" w:cs="Times New Roman"/>
          <w:sz w:val="24"/>
          <w:szCs w:val="24"/>
        </w:rPr>
        <w:t xml:space="preserve">that the plaintiff was not owed anything. </w:t>
      </w:r>
      <w:r w:rsidR="00B61DB6">
        <w:rPr>
          <w:rFonts w:ascii="Times New Roman" w:hAnsi="Times New Roman" w:cs="Times New Roman"/>
          <w:sz w:val="24"/>
          <w:szCs w:val="24"/>
        </w:rPr>
        <w:t>The f</w:t>
      </w:r>
      <w:r w:rsidR="007A0E08">
        <w:rPr>
          <w:rFonts w:ascii="Times New Roman" w:hAnsi="Times New Roman" w:cs="Times New Roman"/>
          <w:sz w:val="24"/>
          <w:szCs w:val="24"/>
        </w:rPr>
        <w:t xml:space="preserve">irst defendant claimed that </w:t>
      </w:r>
      <w:r w:rsidR="00894064">
        <w:rPr>
          <w:rFonts w:ascii="Times New Roman" w:hAnsi="Times New Roman" w:cs="Times New Roman"/>
          <w:sz w:val="24"/>
          <w:szCs w:val="24"/>
        </w:rPr>
        <w:t xml:space="preserve">it was the plaintiff that requested the issuance of the draft ruling </w:t>
      </w:r>
      <w:r w:rsidR="00B61DB6">
        <w:rPr>
          <w:rFonts w:ascii="Times New Roman" w:hAnsi="Times New Roman" w:cs="Times New Roman"/>
          <w:sz w:val="24"/>
          <w:szCs w:val="24"/>
        </w:rPr>
        <w:t xml:space="preserve">from </w:t>
      </w:r>
      <w:r w:rsidR="00EC768E">
        <w:rPr>
          <w:rFonts w:ascii="Times New Roman" w:hAnsi="Times New Roman" w:cs="Times New Roman"/>
          <w:sz w:val="24"/>
          <w:szCs w:val="24"/>
        </w:rPr>
        <w:t xml:space="preserve">the second </w:t>
      </w:r>
      <w:r w:rsidR="00B61DB6">
        <w:rPr>
          <w:rFonts w:ascii="Times New Roman" w:hAnsi="Times New Roman" w:cs="Times New Roman"/>
          <w:sz w:val="24"/>
          <w:szCs w:val="24"/>
        </w:rPr>
        <w:t>defendant</w:t>
      </w:r>
      <w:r w:rsidR="00EC768E">
        <w:rPr>
          <w:rFonts w:ascii="Times New Roman" w:hAnsi="Times New Roman" w:cs="Times New Roman"/>
          <w:sz w:val="24"/>
          <w:szCs w:val="24"/>
        </w:rPr>
        <w:t xml:space="preserve">. </w:t>
      </w:r>
      <w:r w:rsidR="00EC768E">
        <w:rPr>
          <w:rFonts w:ascii="Times New Roman" w:hAnsi="Times New Roman" w:cs="Times New Roman"/>
          <w:sz w:val="24"/>
          <w:szCs w:val="24"/>
        </w:rPr>
        <w:lastRenderedPageBreak/>
        <w:t xml:space="preserve">The draft ruling </w:t>
      </w:r>
      <w:r w:rsidR="00B61DB6">
        <w:rPr>
          <w:rFonts w:ascii="Times New Roman" w:hAnsi="Times New Roman" w:cs="Times New Roman"/>
          <w:sz w:val="24"/>
          <w:szCs w:val="24"/>
        </w:rPr>
        <w:t xml:space="preserve">was made following the issuing </w:t>
      </w:r>
      <w:r w:rsidR="00EC768E">
        <w:rPr>
          <w:rFonts w:ascii="Times New Roman" w:hAnsi="Times New Roman" w:cs="Times New Roman"/>
          <w:sz w:val="24"/>
          <w:szCs w:val="24"/>
        </w:rPr>
        <w:t xml:space="preserve">of a certificate of no settlement by the second </w:t>
      </w:r>
      <w:r w:rsidR="00B61DB6">
        <w:rPr>
          <w:rFonts w:ascii="Times New Roman" w:hAnsi="Times New Roman" w:cs="Times New Roman"/>
          <w:sz w:val="24"/>
          <w:szCs w:val="24"/>
        </w:rPr>
        <w:t>defendant</w:t>
      </w:r>
      <w:r w:rsidR="00EC768E">
        <w:rPr>
          <w:rFonts w:ascii="Times New Roman" w:hAnsi="Times New Roman" w:cs="Times New Roman"/>
          <w:sz w:val="24"/>
          <w:szCs w:val="24"/>
        </w:rPr>
        <w:t xml:space="preserve">. </w:t>
      </w:r>
    </w:p>
    <w:p w14:paraId="277A073C" w14:textId="66241218" w:rsidR="00EC768E" w:rsidRDefault="00EC768E" w:rsidP="00A720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6374C">
        <w:rPr>
          <w:rFonts w:ascii="Times New Roman" w:hAnsi="Times New Roman" w:cs="Times New Roman"/>
          <w:sz w:val="24"/>
          <w:szCs w:val="24"/>
        </w:rPr>
        <w:t xml:space="preserve">first defendant further averred that the </w:t>
      </w:r>
      <w:r>
        <w:rPr>
          <w:rFonts w:ascii="Times New Roman" w:hAnsi="Times New Roman" w:cs="Times New Roman"/>
          <w:sz w:val="24"/>
          <w:szCs w:val="24"/>
        </w:rPr>
        <w:t xml:space="preserve">alleged agreement alluded to by the plaintiff was of no </w:t>
      </w:r>
      <w:r w:rsidR="00E6374C">
        <w:rPr>
          <w:rFonts w:ascii="Times New Roman" w:hAnsi="Times New Roman" w:cs="Times New Roman"/>
          <w:sz w:val="24"/>
          <w:szCs w:val="24"/>
        </w:rPr>
        <w:t>account</w:t>
      </w:r>
      <w:r>
        <w:rPr>
          <w:rFonts w:ascii="Times New Roman" w:hAnsi="Times New Roman" w:cs="Times New Roman"/>
          <w:sz w:val="24"/>
          <w:szCs w:val="24"/>
        </w:rPr>
        <w:t>. Th</w:t>
      </w:r>
      <w:r w:rsidR="00E6374C">
        <w:rPr>
          <w:rFonts w:ascii="Times New Roman" w:hAnsi="Times New Roman" w:cs="Times New Roman"/>
          <w:sz w:val="24"/>
          <w:szCs w:val="24"/>
        </w:rPr>
        <w:t>e mutual proposals by the parties that culminated in the alleged agreement were shared during</w:t>
      </w:r>
      <w:r>
        <w:rPr>
          <w:rFonts w:ascii="Times New Roman" w:hAnsi="Times New Roman" w:cs="Times New Roman"/>
          <w:sz w:val="24"/>
          <w:szCs w:val="24"/>
        </w:rPr>
        <w:t xml:space="preserve"> the conciliation proceedings. </w:t>
      </w:r>
      <w:r w:rsidR="00E6374C">
        <w:rPr>
          <w:rFonts w:ascii="Times New Roman" w:hAnsi="Times New Roman" w:cs="Times New Roman"/>
          <w:sz w:val="24"/>
          <w:szCs w:val="24"/>
        </w:rPr>
        <w:t xml:space="preserve">That agreement </w:t>
      </w:r>
      <w:r>
        <w:rPr>
          <w:rFonts w:ascii="Times New Roman" w:hAnsi="Times New Roman" w:cs="Times New Roman"/>
          <w:sz w:val="24"/>
          <w:szCs w:val="24"/>
        </w:rPr>
        <w:t xml:space="preserve">could only bind the parties if it was reduced to a certificate of settlement. A certificate of no settlement was issued instead. That certificate of no settlement triggered the draft ruling which must be </w:t>
      </w:r>
      <w:r w:rsidR="00E6374C">
        <w:rPr>
          <w:rFonts w:ascii="Times New Roman" w:hAnsi="Times New Roman" w:cs="Times New Roman"/>
          <w:sz w:val="24"/>
          <w:szCs w:val="24"/>
        </w:rPr>
        <w:t xml:space="preserve">determined </w:t>
      </w:r>
      <w:r>
        <w:rPr>
          <w:rFonts w:ascii="Times New Roman" w:hAnsi="Times New Roman" w:cs="Times New Roman"/>
          <w:sz w:val="24"/>
          <w:szCs w:val="24"/>
        </w:rPr>
        <w:t>by the Labour Court.</w:t>
      </w:r>
    </w:p>
    <w:p w14:paraId="7A6F8D22" w14:textId="24863A07" w:rsidR="00EC768E" w:rsidRPr="00EC768E" w:rsidRDefault="00EC768E" w:rsidP="00EC768E">
      <w:pPr>
        <w:spacing w:after="0" w:line="360" w:lineRule="auto"/>
        <w:jc w:val="both"/>
        <w:rPr>
          <w:rFonts w:ascii="Times New Roman" w:hAnsi="Times New Roman" w:cs="Times New Roman"/>
          <w:b/>
          <w:i/>
          <w:sz w:val="24"/>
          <w:szCs w:val="24"/>
        </w:rPr>
      </w:pPr>
      <w:r w:rsidRPr="00EC768E">
        <w:rPr>
          <w:rFonts w:ascii="Times New Roman" w:hAnsi="Times New Roman" w:cs="Times New Roman"/>
          <w:b/>
          <w:i/>
          <w:sz w:val="24"/>
          <w:szCs w:val="24"/>
        </w:rPr>
        <w:t xml:space="preserve">Res Judicata </w:t>
      </w:r>
    </w:p>
    <w:p w14:paraId="77611736" w14:textId="05AAFD94" w:rsidR="005020BB" w:rsidRDefault="00EC768E" w:rsidP="00EC76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contended that a competent tribunal had already determined the merits of the dispute that the plaintiff had </w:t>
      </w:r>
      <w:r w:rsidR="000A4ECB">
        <w:rPr>
          <w:rFonts w:ascii="Times New Roman" w:hAnsi="Times New Roman" w:cs="Times New Roman"/>
          <w:sz w:val="24"/>
          <w:szCs w:val="24"/>
        </w:rPr>
        <w:t>placed before this court</w:t>
      </w:r>
      <w:r>
        <w:rPr>
          <w:rFonts w:ascii="Times New Roman" w:hAnsi="Times New Roman" w:cs="Times New Roman"/>
          <w:sz w:val="24"/>
          <w:szCs w:val="24"/>
        </w:rPr>
        <w:t xml:space="preserve">. </w:t>
      </w:r>
      <w:r w:rsidR="00894064">
        <w:rPr>
          <w:rFonts w:ascii="Times New Roman" w:hAnsi="Times New Roman" w:cs="Times New Roman"/>
          <w:sz w:val="24"/>
          <w:szCs w:val="24"/>
        </w:rPr>
        <w:t xml:space="preserve"> </w:t>
      </w:r>
      <w:r w:rsidR="005020BB">
        <w:rPr>
          <w:rFonts w:ascii="Times New Roman" w:hAnsi="Times New Roman" w:cs="Times New Roman"/>
          <w:sz w:val="24"/>
          <w:szCs w:val="24"/>
        </w:rPr>
        <w:t xml:space="preserve">The dispute was concerned with the same parties and based on the same facts. What was left was for the Labour Court to exercise its confirmation jurisdiction. The plaintiff was attempting to run away from the legal issues raised </w:t>
      </w:r>
      <w:r w:rsidR="000A4ECB">
        <w:rPr>
          <w:rFonts w:ascii="Times New Roman" w:hAnsi="Times New Roman" w:cs="Times New Roman"/>
          <w:sz w:val="24"/>
          <w:szCs w:val="24"/>
        </w:rPr>
        <w:t xml:space="preserve">by the first defendant </w:t>
      </w:r>
      <w:r w:rsidR="005020BB">
        <w:rPr>
          <w:rFonts w:ascii="Times New Roman" w:hAnsi="Times New Roman" w:cs="Times New Roman"/>
          <w:sz w:val="24"/>
          <w:szCs w:val="24"/>
        </w:rPr>
        <w:t>in opposition to the confirmation proceedings. It was engaged in a forum shopping adventure. The court was urged to dismiss the claim with costs on the</w:t>
      </w:r>
      <w:r w:rsidR="000A4ECB">
        <w:rPr>
          <w:rFonts w:ascii="Times New Roman" w:hAnsi="Times New Roman" w:cs="Times New Roman"/>
          <w:sz w:val="24"/>
          <w:szCs w:val="24"/>
        </w:rPr>
        <w:t xml:space="preserve"> attorney and client </w:t>
      </w:r>
      <w:r w:rsidR="005020BB">
        <w:rPr>
          <w:rFonts w:ascii="Times New Roman" w:hAnsi="Times New Roman" w:cs="Times New Roman"/>
          <w:sz w:val="24"/>
          <w:szCs w:val="24"/>
        </w:rPr>
        <w:t xml:space="preserve">scale. </w:t>
      </w:r>
    </w:p>
    <w:p w14:paraId="5598FE0C" w14:textId="238A2A14" w:rsidR="0022699A" w:rsidRPr="005020BB" w:rsidRDefault="005020BB" w:rsidP="005020BB">
      <w:pPr>
        <w:spacing w:after="0" w:line="360" w:lineRule="auto"/>
        <w:jc w:val="both"/>
        <w:rPr>
          <w:rFonts w:ascii="Times New Roman" w:hAnsi="Times New Roman" w:cs="Times New Roman"/>
          <w:b/>
          <w:sz w:val="24"/>
          <w:szCs w:val="24"/>
        </w:rPr>
      </w:pPr>
      <w:r w:rsidRPr="005020BB">
        <w:rPr>
          <w:rFonts w:ascii="Times New Roman" w:hAnsi="Times New Roman" w:cs="Times New Roman"/>
          <w:b/>
          <w:i/>
          <w:sz w:val="24"/>
          <w:szCs w:val="24"/>
        </w:rPr>
        <w:t>The Exception</w:t>
      </w:r>
      <w:r w:rsidR="00894064" w:rsidRPr="005020BB">
        <w:rPr>
          <w:rFonts w:ascii="Times New Roman" w:hAnsi="Times New Roman" w:cs="Times New Roman"/>
          <w:b/>
          <w:sz w:val="24"/>
          <w:szCs w:val="24"/>
        </w:rPr>
        <w:t xml:space="preserve"> </w:t>
      </w:r>
    </w:p>
    <w:p w14:paraId="779F0834" w14:textId="50B7AE8B" w:rsidR="003A7D04" w:rsidRDefault="005020BB" w:rsidP="00A72035">
      <w:pPr>
        <w:spacing w:after="0" w:line="360" w:lineRule="auto"/>
        <w:ind w:firstLine="720"/>
        <w:jc w:val="both"/>
        <w:rPr>
          <w:rFonts w:ascii="Times New Roman" w:hAnsi="Times New Roman" w:cs="Times New Roman"/>
          <w:sz w:val="24"/>
          <w:szCs w:val="24"/>
        </w:rPr>
      </w:pPr>
      <w:r w:rsidRPr="005020BB">
        <w:rPr>
          <w:rFonts w:ascii="Times New Roman" w:hAnsi="Times New Roman" w:cs="Times New Roman"/>
          <w:sz w:val="24"/>
          <w:szCs w:val="24"/>
        </w:rPr>
        <w:t>The exception was anchored on two</w:t>
      </w:r>
      <w:r>
        <w:rPr>
          <w:rFonts w:ascii="Times New Roman" w:hAnsi="Times New Roman" w:cs="Times New Roman"/>
          <w:sz w:val="24"/>
          <w:szCs w:val="24"/>
        </w:rPr>
        <w:t xml:space="preserve"> bases. </w:t>
      </w:r>
      <w:r w:rsidR="004D28D6">
        <w:rPr>
          <w:rFonts w:ascii="Times New Roman" w:hAnsi="Times New Roman" w:cs="Times New Roman"/>
          <w:sz w:val="24"/>
          <w:szCs w:val="24"/>
        </w:rPr>
        <w:t xml:space="preserve">The first was that the summons and declaration did not disclose a cognisable cause of action under the law. </w:t>
      </w:r>
      <w:r w:rsidR="00D2516E">
        <w:rPr>
          <w:rFonts w:ascii="Times New Roman" w:hAnsi="Times New Roman" w:cs="Times New Roman"/>
          <w:sz w:val="24"/>
          <w:szCs w:val="24"/>
        </w:rPr>
        <w:t xml:space="preserve">The </w:t>
      </w:r>
      <w:r w:rsidR="00D2516E" w:rsidRPr="00535D2A">
        <w:rPr>
          <w:rFonts w:ascii="Times New Roman" w:hAnsi="Times New Roman" w:cs="Times New Roman"/>
          <w:sz w:val="24"/>
          <w:szCs w:val="24"/>
        </w:rPr>
        <w:t xml:space="preserve">second was that the summons and declaration were so vague and embarrassing to an extent that the defendant was </w:t>
      </w:r>
      <w:r w:rsidR="00535D2A" w:rsidRPr="00535D2A">
        <w:rPr>
          <w:rFonts w:ascii="Times New Roman" w:hAnsi="Times New Roman" w:cs="Times New Roman"/>
          <w:sz w:val="24"/>
          <w:szCs w:val="24"/>
        </w:rPr>
        <w:t xml:space="preserve">left uncertain </w:t>
      </w:r>
      <w:r w:rsidR="00D2516E" w:rsidRPr="00535D2A">
        <w:rPr>
          <w:rFonts w:ascii="Times New Roman" w:hAnsi="Times New Roman" w:cs="Times New Roman"/>
          <w:sz w:val="24"/>
          <w:szCs w:val="24"/>
        </w:rPr>
        <w:t xml:space="preserve">of the exact claim it was required to respond to. The first defendant pointed to the following. The plaintiff’s claim was based on an alleged agreement </w:t>
      </w:r>
      <w:r w:rsidR="00D2516E">
        <w:rPr>
          <w:rFonts w:ascii="Times New Roman" w:hAnsi="Times New Roman" w:cs="Times New Roman"/>
          <w:sz w:val="24"/>
          <w:szCs w:val="24"/>
        </w:rPr>
        <w:t xml:space="preserve">with the first defendant. The material terms of that agreement were not set out. </w:t>
      </w:r>
      <w:r w:rsidR="003C4477">
        <w:rPr>
          <w:rFonts w:ascii="Times New Roman" w:hAnsi="Times New Roman" w:cs="Times New Roman"/>
          <w:sz w:val="24"/>
          <w:szCs w:val="24"/>
        </w:rPr>
        <w:t>There was no allegation that following the conciliation process by the second defendant: the dispute between the plaintiff and first defendant was settled by an agreement in terms of which the first defendant admitted liability to the plaintiff, and made an undertaking to pay US$29 776.07 at the prevailing interbank rate</w:t>
      </w:r>
      <w:r w:rsidR="00417ED4">
        <w:rPr>
          <w:rFonts w:ascii="Times New Roman" w:hAnsi="Times New Roman" w:cs="Times New Roman"/>
          <w:sz w:val="24"/>
          <w:szCs w:val="24"/>
        </w:rPr>
        <w:t xml:space="preserve">; the first defendant </w:t>
      </w:r>
      <w:r w:rsidR="00535D2A">
        <w:rPr>
          <w:rFonts w:ascii="Times New Roman" w:hAnsi="Times New Roman" w:cs="Times New Roman"/>
          <w:sz w:val="24"/>
          <w:szCs w:val="24"/>
        </w:rPr>
        <w:t xml:space="preserve">was </w:t>
      </w:r>
      <w:r w:rsidR="00417ED4">
        <w:rPr>
          <w:rFonts w:ascii="Times New Roman" w:hAnsi="Times New Roman" w:cs="Times New Roman"/>
          <w:sz w:val="24"/>
          <w:szCs w:val="24"/>
        </w:rPr>
        <w:t>lawfully indebted to the plaintiff and the origins of such indebtedness</w:t>
      </w:r>
      <w:r w:rsidR="003C4477">
        <w:rPr>
          <w:rFonts w:ascii="Times New Roman" w:hAnsi="Times New Roman" w:cs="Times New Roman"/>
          <w:sz w:val="24"/>
          <w:szCs w:val="24"/>
        </w:rPr>
        <w:t xml:space="preserve">. </w:t>
      </w:r>
    </w:p>
    <w:p w14:paraId="46EB257B" w14:textId="3FD968BB" w:rsidR="00535D2A" w:rsidRDefault="00652C5D" w:rsidP="00A720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allegation of non-payment of certain union dues, </w:t>
      </w:r>
      <w:r w:rsidR="00535D2A">
        <w:rPr>
          <w:rFonts w:ascii="Times New Roman" w:hAnsi="Times New Roman" w:cs="Times New Roman"/>
          <w:sz w:val="24"/>
          <w:szCs w:val="24"/>
        </w:rPr>
        <w:t xml:space="preserve">the </w:t>
      </w:r>
      <w:r>
        <w:rPr>
          <w:rFonts w:ascii="Times New Roman" w:hAnsi="Times New Roman" w:cs="Times New Roman"/>
          <w:sz w:val="24"/>
          <w:szCs w:val="24"/>
        </w:rPr>
        <w:t xml:space="preserve">first defendant averred that: the summons and declaration did not plead the basis upon which first defendant was required to levy such union dues; the plaintiff did not plead how those union dues were fixed; the plaintiff’s claim did not disclose the period within which the alleged union dues </w:t>
      </w:r>
      <w:r>
        <w:rPr>
          <w:rFonts w:ascii="Times New Roman" w:hAnsi="Times New Roman" w:cs="Times New Roman"/>
          <w:sz w:val="24"/>
          <w:szCs w:val="24"/>
        </w:rPr>
        <w:lastRenderedPageBreak/>
        <w:t xml:space="preserve">arose. </w:t>
      </w:r>
      <w:r w:rsidR="00DC34CD">
        <w:rPr>
          <w:rFonts w:ascii="Times New Roman" w:hAnsi="Times New Roman" w:cs="Times New Roman"/>
          <w:sz w:val="24"/>
          <w:szCs w:val="24"/>
        </w:rPr>
        <w:t>For that reason, the first defendant submitted that it was embarrassed and unable to ascertain the case it was expected to meet.</w:t>
      </w:r>
    </w:p>
    <w:p w14:paraId="6A36F2BC" w14:textId="7DF6DA83" w:rsidR="00F8396B" w:rsidRPr="005020BB" w:rsidRDefault="00DC34CD" w:rsidP="00A720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535D2A">
        <w:rPr>
          <w:rFonts w:ascii="Times New Roman" w:hAnsi="Times New Roman" w:cs="Times New Roman"/>
          <w:sz w:val="24"/>
          <w:szCs w:val="24"/>
        </w:rPr>
        <w:t xml:space="preserve">the first defendant averred that </w:t>
      </w:r>
      <w:r>
        <w:rPr>
          <w:rFonts w:ascii="Times New Roman" w:hAnsi="Times New Roman" w:cs="Times New Roman"/>
          <w:sz w:val="24"/>
          <w:szCs w:val="24"/>
        </w:rPr>
        <w:t xml:space="preserve">the sum of RTGS$10 010.44 was allegedly thumb sucked. The basis of claiming that amount was unclear. </w:t>
      </w:r>
      <w:r w:rsidR="00F401B6">
        <w:rPr>
          <w:rFonts w:ascii="Times New Roman" w:hAnsi="Times New Roman" w:cs="Times New Roman"/>
          <w:sz w:val="24"/>
          <w:szCs w:val="24"/>
        </w:rPr>
        <w:t xml:space="preserve">The claim for US$29 776.07 was also impugned on yet another basis. There was no allegation that the amount did not fall foul of the </w:t>
      </w:r>
      <w:r w:rsidR="00F401B6" w:rsidRPr="00AD3C17">
        <w:rPr>
          <w:rFonts w:ascii="Times New Roman" w:hAnsi="Times New Roman" w:cs="Times New Roman"/>
          <w:sz w:val="24"/>
          <w:szCs w:val="24"/>
        </w:rPr>
        <w:t>Presidential Powers (Temporary</w:t>
      </w:r>
      <w:r w:rsidR="00F401B6">
        <w:rPr>
          <w:rFonts w:ascii="Times New Roman" w:hAnsi="Times New Roman" w:cs="Times New Roman"/>
          <w:sz w:val="24"/>
          <w:szCs w:val="24"/>
        </w:rPr>
        <w:t xml:space="preserve"> </w:t>
      </w:r>
      <w:r w:rsidR="00F401B6" w:rsidRPr="00AD3C17">
        <w:rPr>
          <w:rFonts w:ascii="Times New Roman" w:hAnsi="Times New Roman" w:cs="Times New Roman"/>
          <w:sz w:val="24"/>
          <w:szCs w:val="24"/>
        </w:rPr>
        <w:t xml:space="preserve">Measures) (Amendment of Reserve Bank of Zimbabwe Act </w:t>
      </w:r>
      <w:r w:rsidR="00F401B6">
        <w:rPr>
          <w:rFonts w:ascii="Times New Roman" w:hAnsi="Times New Roman" w:cs="Times New Roman"/>
          <w:sz w:val="24"/>
          <w:szCs w:val="24"/>
        </w:rPr>
        <w:t>and</w:t>
      </w:r>
      <w:r w:rsidR="00F401B6" w:rsidRPr="00AD3C17">
        <w:rPr>
          <w:rFonts w:ascii="Times New Roman" w:hAnsi="Times New Roman" w:cs="Times New Roman"/>
          <w:sz w:val="24"/>
          <w:szCs w:val="24"/>
        </w:rPr>
        <w:t xml:space="preserve"> Issue of Real Time Gross</w:t>
      </w:r>
      <w:r w:rsidR="00F401B6">
        <w:rPr>
          <w:rFonts w:ascii="Times New Roman" w:hAnsi="Times New Roman" w:cs="Times New Roman"/>
          <w:sz w:val="24"/>
          <w:szCs w:val="24"/>
        </w:rPr>
        <w:t xml:space="preserve"> </w:t>
      </w:r>
      <w:r w:rsidR="00F401B6" w:rsidRPr="00AD3C17">
        <w:rPr>
          <w:rFonts w:ascii="Times New Roman" w:hAnsi="Times New Roman" w:cs="Times New Roman"/>
          <w:sz w:val="24"/>
          <w:szCs w:val="24"/>
        </w:rPr>
        <w:t xml:space="preserve">Settlement Electronic Dollars (RTGS Dollars)) </w:t>
      </w:r>
      <w:r w:rsidR="00F401B6">
        <w:rPr>
          <w:rFonts w:ascii="Times New Roman" w:hAnsi="Times New Roman" w:cs="Times New Roman"/>
          <w:sz w:val="24"/>
          <w:szCs w:val="24"/>
        </w:rPr>
        <w:t xml:space="preserve">Regulations, 2019, </w:t>
      </w:r>
      <w:r w:rsidR="00F401B6" w:rsidRPr="00AD3C17">
        <w:rPr>
          <w:rFonts w:ascii="Times New Roman" w:hAnsi="Times New Roman" w:cs="Times New Roman"/>
          <w:sz w:val="24"/>
          <w:szCs w:val="24"/>
        </w:rPr>
        <w:t>(</w:t>
      </w:r>
      <w:r w:rsidR="00F401B6">
        <w:rPr>
          <w:rFonts w:ascii="Times New Roman" w:hAnsi="Times New Roman" w:cs="Times New Roman"/>
          <w:sz w:val="24"/>
          <w:szCs w:val="24"/>
        </w:rPr>
        <w:t xml:space="preserve">hereinafter referred to as </w:t>
      </w:r>
      <w:r w:rsidR="00F401B6" w:rsidRPr="00AD3C17">
        <w:rPr>
          <w:rFonts w:ascii="Times New Roman" w:hAnsi="Times New Roman" w:cs="Times New Roman"/>
          <w:sz w:val="24"/>
          <w:szCs w:val="24"/>
        </w:rPr>
        <w:t>"S.I. 33/19"</w:t>
      </w:r>
      <w:r w:rsidR="00F401B6">
        <w:rPr>
          <w:rFonts w:ascii="Times New Roman" w:hAnsi="Times New Roman" w:cs="Times New Roman"/>
          <w:sz w:val="24"/>
          <w:szCs w:val="24"/>
        </w:rPr>
        <w:t xml:space="preserve"> or the instrument</w:t>
      </w:r>
      <w:r w:rsidR="00F401B6" w:rsidRPr="00AD3C17">
        <w:rPr>
          <w:rFonts w:ascii="Times New Roman" w:hAnsi="Times New Roman" w:cs="Times New Roman"/>
          <w:sz w:val="24"/>
          <w:szCs w:val="24"/>
        </w:rPr>
        <w:t>)</w:t>
      </w:r>
      <w:r w:rsidR="00F401B6">
        <w:rPr>
          <w:rFonts w:ascii="Times New Roman" w:hAnsi="Times New Roman" w:cs="Times New Roman"/>
          <w:sz w:val="24"/>
          <w:szCs w:val="24"/>
        </w:rPr>
        <w:t>. The first respondent further contended that the plaintiff ought to have also pleaded that the alleged claim d</w:t>
      </w:r>
      <w:r w:rsidR="00535D2A">
        <w:rPr>
          <w:rFonts w:ascii="Times New Roman" w:hAnsi="Times New Roman" w:cs="Times New Roman"/>
          <w:sz w:val="24"/>
          <w:szCs w:val="24"/>
        </w:rPr>
        <w:t xml:space="preserve">id </w:t>
      </w:r>
      <w:r w:rsidR="00F401B6">
        <w:rPr>
          <w:rFonts w:ascii="Times New Roman" w:hAnsi="Times New Roman" w:cs="Times New Roman"/>
          <w:sz w:val="24"/>
          <w:szCs w:val="24"/>
        </w:rPr>
        <w:t xml:space="preserve">not violate the </w:t>
      </w:r>
      <w:r w:rsidR="00F401B6" w:rsidRPr="00764A97">
        <w:rPr>
          <w:rFonts w:ascii="Times New Roman" w:hAnsi="Times New Roman" w:cs="Times New Roman"/>
          <w:sz w:val="24"/>
          <w:szCs w:val="24"/>
        </w:rPr>
        <w:t>Exchange Control (Exclusive Use of Zimbabwe Dollar for Domestic Transactions) Regulations, 2019</w:t>
      </w:r>
      <w:r w:rsidR="00F401B6">
        <w:rPr>
          <w:rFonts w:ascii="Times New Roman" w:hAnsi="Times New Roman" w:cs="Times New Roman"/>
          <w:sz w:val="24"/>
          <w:szCs w:val="24"/>
        </w:rPr>
        <w:t xml:space="preserve"> (S.I. 212 of 2019).</w:t>
      </w:r>
      <w:r w:rsidR="00D41AA2">
        <w:rPr>
          <w:rFonts w:ascii="Times New Roman" w:hAnsi="Times New Roman" w:cs="Times New Roman"/>
          <w:sz w:val="24"/>
          <w:szCs w:val="24"/>
        </w:rPr>
        <w:t xml:space="preserve"> In view of the foregoing, the first defendant averred that it was embarrassed and unable to ascertain the claim it was required to respond to. The summons and declaration were incurably bad, meriting the dismissal of the claim with costs on the attorney and client scale. </w:t>
      </w:r>
    </w:p>
    <w:p w14:paraId="4DB52E0B" w14:textId="62FDB32D" w:rsidR="00D41AA2" w:rsidRDefault="00D41AA2" w:rsidP="00D41AA2">
      <w:pPr>
        <w:spacing w:after="0" w:line="360" w:lineRule="auto"/>
        <w:jc w:val="both"/>
        <w:rPr>
          <w:rFonts w:ascii="Times New Roman" w:hAnsi="Times New Roman" w:cs="Times New Roman"/>
          <w:b/>
          <w:i/>
          <w:sz w:val="24"/>
          <w:szCs w:val="24"/>
        </w:rPr>
      </w:pPr>
      <w:r w:rsidRPr="00D41AA2">
        <w:rPr>
          <w:rFonts w:ascii="Times New Roman" w:hAnsi="Times New Roman" w:cs="Times New Roman"/>
          <w:b/>
          <w:i/>
          <w:sz w:val="24"/>
          <w:szCs w:val="24"/>
        </w:rPr>
        <w:t xml:space="preserve">Plaintiff’s Reply to the Special Plea and the Exception </w:t>
      </w:r>
    </w:p>
    <w:p w14:paraId="39CFA6AE" w14:textId="21C99CCB" w:rsidR="00D41AA2" w:rsidRDefault="00D41AA2" w:rsidP="00D41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raised a point in </w:t>
      </w:r>
      <w:r w:rsidRPr="00D41AA2">
        <w:rPr>
          <w:rFonts w:ascii="Times New Roman" w:hAnsi="Times New Roman" w:cs="Times New Roman"/>
          <w:i/>
          <w:sz w:val="24"/>
          <w:szCs w:val="24"/>
        </w:rPr>
        <w:t xml:space="preserve">limine </w:t>
      </w:r>
      <w:r>
        <w:rPr>
          <w:rFonts w:ascii="Times New Roman" w:hAnsi="Times New Roman" w:cs="Times New Roman"/>
          <w:sz w:val="24"/>
          <w:szCs w:val="24"/>
        </w:rPr>
        <w:t xml:space="preserve">in response to the special plea. </w:t>
      </w:r>
      <w:r w:rsidR="00860A60">
        <w:rPr>
          <w:rFonts w:ascii="Times New Roman" w:hAnsi="Times New Roman" w:cs="Times New Roman"/>
          <w:sz w:val="24"/>
          <w:szCs w:val="24"/>
        </w:rPr>
        <w:t xml:space="preserve">It averred that the special plea relating to jurisdiction was improperly before the court. The special plea could only be raised after a plea on the merits was filed with the court. </w:t>
      </w:r>
      <w:r w:rsidR="007768D0">
        <w:rPr>
          <w:rFonts w:ascii="Times New Roman" w:hAnsi="Times New Roman" w:cs="Times New Roman"/>
          <w:sz w:val="24"/>
          <w:szCs w:val="24"/>
        </w:rPr>
        <w:t xml:space="preserve">There had to be a dispute appearing </w:t>
      </w:r>
      <w:r w:rsidR="007768D0" w:rsidRPr="000F7D7A">
        <w:rPr>
          <w:rFonts w:ascii="Times New Roman" w:hAnsi="Times New Roman" w:cs="Times New Roman"/>
          <w:i/>
          <w:sz w:val="24"/>
          <w:szCs w:val="24"/>
        </w:rPr>
        <w:t xml:space="preserve">ex-facie </w:t>
      </w:r>
      <w:r w:rsidR="007768D0">
        <w:rPr>
          <w:rFonts w:ascii="Times New Roman" w:hAnsi="Times New Roman" w:cs="Times New Roman"/>
          <w:sz w:val="24"/>
          <w:szCs w:val="24"/>
        </w:rPr>
        <w:t xml:space="preserve">the pleadings first before the plea of jurisdiction could be raised. According to the plaintiff, that anomaly explained the voluminous documents attached to the special plea as annexures. Those annexures were not properly before the court. They were not accompanied by any deposition under oath. The plaintiff did not have an opportunity to interrogate those documents through cross examination. The plaintiff implored the court to expunge the annexures from the record. </w:t>
      </w:r>
    </w:p>
    <w:p w14:paraId="7BF28447" w14:textId="12F31AD4" w:rsidR="007768D0" w:rsidRPr="003C03EB" w:rsidRDefault="007768D0" w:rsidP="00D41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merits of the special plea, the plaintiff responded as follows. The High Court was endowed with jurisdiction to deal with the matter. Any </w:t>
      </w:r>
      <w:r w:rsidR="0040434A">
        <w:rPr>
          <w:rFonts w:ascii="Times New Roman" w:hAnsi="Times New Roman" w:cs="Times New Roman"/>
          <w:sz w:val="24"/>
          <w:szCs w:val="24"/>
        </w:rPr>
        <w:t xml:space="preserve">agreements could be enforced by the High Court. The basis of the plaintiff’s claim was an agreement entered into between the plaintiff and the first defendant. The first defendant partially complied with that agreement. The plaintiff was justified to approach the court to enforce </w:t>
      </w:r>
      <w:r w:rsidR="000F7D7A">
        <w:rPr>
          <w:rFonts w:ascii="Times New Roman" w:hAnsi="Times New Roman" w:cs="Times New Roman"/>
          <w:sz w:val="24"/>
          <w:szCs w:val="24"/>
        </w:rPr>
        <w:t xml:space="preserve">full </w:t>
      </w:r>
      <w:r w:rsidR="0040434A">
        <w:rPr>
          <w:rFonts w:ascii="Times New Roman" w:hAnsi="Times New Roman" w:cs="Times New Roman"/>
          <w:sz w:val="24"/>
          <w:szCs w:val="24"/>
        </w:rPr>
        <w:t xml:space="preserve">compliance with the terms of the agreement. </w:t>
      </w:r>
      <w:r w:rsidR="004F7CA3">
        <w:rPr>
          <w:rFonts w:ascii="Times New Roman" w:hAnsi="Times New Roman" w:cs="Times New Roman"/>
          <w:sz w:val="24"/>
          <w:szCs w:val="24"/>
        </w:rPr>
        <w:t xml:space="preserve">The first defendant had to be ordered to make payment in terms of the agreement that it signed, and partly complied with. </w:t>
      </w:r>
      <w:r w:rsidR="0040434A">
        <w:rPr>
          <w:rFonts w:ascii="Times New Roman" w:hAnsi="Times New Roman" w:cs="Times New Roman"/>
          <w:sz w:val="24"/>
          <w:szCs w:val="24"/>
        </w:rPr>
        <w:t xml:space="preserve">The cause of action was the agreement and not the second defendant’s ruling alluded to by the first defendant. </w:t>
      </w:r>
      <w:r w:rsidR="004F7CA3">
        <w:rPr>
          <w:rFonts w:ascii="Times New Roman" w:hAnsi="Times New Roman" w:cs="Times New Roman"/>
          <w:sz w:val="24"/>
          <w:szCs w:val="24"/>
        </w:rPr>
        <w:t>In any case</w:t>
      </w:r>
      <w:r w:rsidR="000F7D7A">
        <w:rPr>
          <w:rFonts w:ascii="Times New Roman" w:hAnsi="Times New Roman" w:cs="Times New Roman"/>
          <w:sz w:val="24"/>
          <w:szCs w:val="24"/>
        </w:rPr>
        <w:t>,</w:t>
      </w:r>
      <w:r w:rsidR="004F7CA3">
        <w:rPr>
          <w:rFonts w:ascii="Times New Roman" w:hAnsi="Times New Roman" w:cs="Times New Roman"/>
          <w:sz w:val="24"/>
          <w:szCs w:val="24"/>
        </w:rPr>
        <w:t xml:space="preserve"> the ruling was a nullity </w:t>
      </w:r>
      <w:r w:rsidR="004F7CA3">
        <w:rPr>
          <w:rFonts w:ascii="Times New Roman" w:hAnsi="Times New Roman" w:cs="Times New Roman"/>
          <w:sz w:val="24"/>
          <w:szCs w:val="24"/>
        </w:rPr>
        <w:lastRenderedPageBreak/>
        <w:t xml:space="preserve">as </w:t>
      </w:r>
      <w:r w:rsidR="004F7CA3" w:rsidRPr="003C03EB">
        <w:rPr>
          <w:rFonts w:ascii="Times New Roman" w:hAnsi="Times New Roman" w:cs="Times New Roman"/>
          <w:sz w:val="24"/>
          <w:szCs w:val="24"/>
        </w:rPr>
        <w:t>it did not comply with the law. The plaintiff averred that in terms of section 93(2</w:t>
      </w:r>
      <w:r w:rsidR="000F7D7A" w:rsidRPr="003C03EB">
        <w:rPr>
          <w:rFonts w:ascii="Times New Roman" w:hAnsi="Times New Roman" w:cs="Times New Roman"/>
          <w:sz w:val="24"/>
          <w:szCs w:val="24"/>
        </w:rPr>
        <w:t>) (</w:t>
      </w:r>
      <w:r w:rsidR="004F7CA3" w:rsidRPr="003C03EB">
        <w:rPr>
          <w:rFonts w:ascii="Times New Roman" w:hAnsi="Times New Roman" w:cs="Times New Roman"/>
          <w:sz w:val="24"/>
          <w:szCs w:val="24"/>
        </w:rPr>
        <w:t xml:space="preserve">5) of the Labour Act, a ruling was only made if the parties failed to agree and a certificate of no settlement was issued. </w:t>
      </w:r>
    </w:p>
    <w:p w14:paraId="5AB2E562" w14:textId="63CA9FDF" w:rsidR="00477BFC" w:rsidRDefault="004F7CA3" w:rsidP="00D41AA2">
      <w:pPr>
        <w:spacing w:after="0" w:line="360" w:lineRule="auto"/>
        <w:jc w:val="both"/>
        <w:rPr>
          <w:rFonts w:ascii="Times New Roman" w:hAnsi="Times New Roman" w:cs="Times New Roman"/>
          <w:sz w:val="24"/>
          <w:szCs w:val="24"/>
        </w:rPr>
      </w:pPr>
      <w:r w:rsidRPr="003C03EB">
        <w:rPr>
          <w:rFonts w:ascii="Times New Roman" w:hAnsi="Times New Roman" w:cs="Times New Roman"/>
          <w:sz w:val="24"/>
          <w:szCs w:val="24"/>
        </w:rPr>
        <w:tab/>
        <w:t xml:space="preserve">The plaintiff further averred that the second defendant had since withdrawn the application for confirmation. There was nothing pending at the Labour Court. The plaintiff further submitted that the High Court was the only court reposed with </w:t>
      </w:r>
      <w:r w:rsidR="000F7D7A" w:rsidRPr="003C03EB">
        <w:rPr>
          <w:rFonts w:ascii="Times New Roman" w:hAnsi="Times New Roman" w:cs="Times New Roman"/>
          <w:sz w:val="24"/>
          <w:szCs w:val="24"/>
        </w:rPr>
        <w:t xml:space="preserve">powers </w:t>
      </w:r>
      <w:r w:rsidRPr="003C03EB">
        <w:rPr>
          <w:rFonts w:ascii="Times New Roman" w:hAnsi="Times New Roman" w:cs="Times New Roman"/>
          <w:sz w:val="24"/>
          <w:szCs w:val="24"/>
        </w:rPr>
        <w:t xml:space="preserve">to grant a </w:t>
      </w:r>
      <w:r w:rsidRPr="003C03EB">
        <w:rPr>
          <w:rFonts w:ascii="Times New Roman" w:hAnsi="Times New Roman" w:cs="Times New Roman"/>
          <w:i/>
          <w:sz w:val="24"/>
          <w:szCs w:val="24"/>
        </w:rPr>
        <w:t>declaratur</w:t>
      </w:r>
      <w:r w:rsidRPr="003C03EB">
        <w:rPr>
          <w:rFonts w:ascii="Times New Roman" w:hAnsi="Times New Roman" w:cs="Times New Roman"/>
          <w:sz w:val="24"/>
          <w:szCs w:val="24"/>
        </w:rPr>
        <w:t xml:space="preserve">. The </w:t>
      </w:r>
      <w:r>
        <w:rPr>
          <w:rFonts w:ascii="Times New Roman" w:hAnsi="Times New Roman" w:cs="Times New Roman"/>
          <w:sz w:val="24"/>
          <w:szCs w:val="24"/>
        </w:rPr>
        <w:t xml:space="preserve">ruling did not determine the rights of the parties, and neither could it oust the jurisdiction of the High Court to grant a </w:t>
      </w:r>
      <w:r w:rsidRPr="004F7CA3">
        <w:rPr>
          <w:rFonts w:ascii="Times New Roman" w:hAnsi="Times New Roman" w:cs="Times New Roman"/>
          <w:i/>
          <w:sz w:val="24"/>
          <w:szCs w:val="24"/>
        </w:rPr>
        <w:t>declaratur</w:t>
      </w:r>
      <w:r>
        <w:rPr>
          <w:rFonts w:ascii="Times New Roman" w:hAnsi="Times New Roman" w:cs="Times New Roman"/>
          <w:i/>
          <w:sz w:val="24"/>
          <w:szCs w:val="24"/>
        </w:rPr>
        <w:t xml:space="preserve">. </w:t>
      </w:r>
      <w:r>
        <w:rPr>
          <w:rFonts w:ascii="Times New Roman" w:hAnsi="Times New Roman" w:cs="Times New Roman"/>
          <w:sz w:val="24"/>
          <w:szCs w:val="24"/>
        </w:rPr>
        <w:t xml:space="preserve">At any rate that ruling was a nullity. </w:t>
      </w:r>
      <w:r w:rsidR="00477BFC">
        <w:rPr>
          <w:rFonts w:ascii="Times New Roman" w:hAnsi="Times New Roman" w:cs="Times New Roman"/>
          <w:sz w:val="24"/>
          <w:szCs w:val="24"/>
        </w:rPr>
        <w:t xml:space="preserve">It could not supersede an agreement entered into between the parties. The plaintiff further averred that a certificate of settlement was not a </w:t>
      </w:r>
      <w:r w:rsidR="00477BFC" w:rsidRPr="00477BFC">
        <w:rPr>
          <w:rFonts w:ascii="Times New Roman" w:hAnsi="Times New Roman" w:cs="Times New Roman"/>
          <w:i/>
          <w:sz w:val="24"/>
          <w:szCs w:val="24"/>
        </w:rPr>
        <w:t>sine quo non</w:t>
      </w:r>
      <w:r w:rsidR="00477BFC">
        <w:rPr>
          <w:rFonts w:ascii="Times New Roman" w:hAnsi="Times New Roman" w:cs="Times New Roman"/>
          <w:sz w:val="24"/>
          <w:szCs w:val="24"/>
        </w:rPr>
        <w:t xml:space="preserve"> to the validity of the agreement between the parties. The agreement itself was a complete record of what transpired between the parties. In any case, it was not in dispute that there was an agreement between the parties.</w:t>
      </w:r>
    </w:p>
    <w:p w14:paraId="19D37C72" w14:textId="03EAF554" w:rsidR="004F7CA3" w:rsidRPr="004F7CA3" w:rsidRDefault="00477BFC" w:rsidP="00D41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special plea of </w:t>
      </w:r>
      <w:r w:rsidRPr="00477BFC">
        <w:rPr>
          <w:rFonts w:ascii="Times New Roman" w:hAnsi="Times New Roman" w:cs="Times New Roman"/>
          <w:i/>
          <w:sz w:val="24"/>
          <w:szCs w:val="24"/>
        </w:rPr>
        <w:t>res judicata</w:t>
      </w:r>
      <w:r>
        <w:rPr>
          <w:rFonts w:ascii="Times New Roman" w:hAnsi="Times New Roman" w:cs="Times New Roman"/>
          <w:sz w:val="24"/>
          <w:szCs w:val="24"/>
        </w:rPr>
        <w:t xml:space="preserve">, the plaintiff averred that the requirements for such plea </w:t>
      </w:r>
      <w:r w:rsidR="000F7D7A">
        <w:rPr>
          <w:rFonts w:ascii="Times New Roman" w:hAnsi="Times New Roman" w:cs="Times New Roman"/>
          <w:sz w:val="24"/>
          <w:szCs w:val="24"/>
        </w:rPr>
        <w:t xml:space="preserve">were not </w:t>
      </w:r>
      <w:r>
        <w:rPr>
          <w:rFonts w:ascii="Times New Roman" w:hAnsi="Times New Roman" w:cs="Times New Roman"/>
          <w:sz w:val="24"/>
          <w:szCs w:val="24"/>
        </w:rPr>
        <w:t xml:space="preserve">satisfied. These were: that the matter should be between the same parties; the subject matter must be the same; and the cause of action should be the same. </w:t>
      </w:r>
      <w:r w:rsidR="002D592C">
        <w:rPr>
          <w:rFonts w:ascii="Times New Roman" w:hAnsi="Times New Roman" w:cs="Times New Roman"/>
          <w:sz w:val="24"/>
          <w:szCs w:val="24"/>
        </w:rPr>
        <w:t xml:space="preserve">A consideration of the parties disposed of the matter. The second defendant could not have been a party </w:t>
      </w:r>
      <w:r w:rsidR="00D1139D">
        <w:rPr>
          <w:rFonts w:ascii="Times New Roman" w:hAnsi="Times New Roman" w:cs="Times New Roman"/>
          <w:sz w:val="24"/>
          <w:szCs w:val="24"/>
        </w:rPr>
        <w:t>to</w:t>
      </w:r>
      <w:r w:rsidR="002D592C">
        <w:rPr>
          <w:rFonts w:ascii="Times New Roman" w:hAnsi="Times New Roman" w:cs="Times New Roman"/>
          <w:sz w:val="24"/>
          <w:szCs w:val="24"/>
        </w:rPr>
        <w:t xml:space="preserve"> his own proceedings. There could not be a competent ruling under the circumstances. Further, the issues were dissimilar. The ruling was being challenged. The ruling itself did not determine the rights of the parties since the second defendant did not have adjudicating powers. The draft ruling did not create any rights before it was confirmed. There was therefore no competent ruling to speak of. On those bases, the court was urged to dismiss the special plea with punitive costs.  </w:t>
      </w:r>
    </w:p>
    <w:p w14:paraId="63FEF126" w14:textId="147F0C80" w:rsidR="007736F7" w:rsidRDefault="00B770BD" w:rsidP="00773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to the exception, the plaintiff averred that the defects that allegedly afflicted the summons and declaration could have been cured by a request for further particulars or a letter</w:t>
      </w:r>
      <w:r w:rsidR="006D17C4">
        <w:rPr>
          <w:rFonts w:ascii="Times New Roman" w:hAnsi="Times New Roman" w:cs="Times New Roman"/>
          <w:sz w:val="24"/>
          <w:szCs w:val="24"/>
        </w:rPr>
        <w:t xml:space="preserve"> of complaint</w:t>
      </w:r>
      <w:r w:rsidR="00D1139D">
        <w:rPr>
          <w:rFonts w:ascii="Times New Roman" w:hAnsi="Times New Roman" w:cs="Times New Roman"/>
          <w:sz w:val="24"/>
          <w:szCs w:val="24"/>
        </w:rPr>
        <w:t>, thus obviating the need to file an exception.</w:t>
      </w:r>
      <w:r>
        <w:rPr>
          <w:rFonts w:ascii="Times New Roman" w:hAnsi="Times New Roman" w:cs="Times New Roman"/>
          <w:sz w:val="24"/>
          <w:szCs w:val="24"/>
        </w:rPr>
        <w:t xml:space="preserve"> </w:t>
      </w:r>
      <w:r w:rsidR="00E469EA">
        <w:rPr>
          <w:rFonts w:ascii="Times New Roman" w:hAnsi="Times New Roman" w:cs="Times New Roman"/>
          <w:sz w:val="24"/>
          <w:szCs w:val="24"/>
        </w:rPr>
        <w:t>The plaintiff further contended that the a</w:t>
      </w:r>
      <w:r w:rsidR="00D1139D">
        <w:rPr>
          <w:rFonts w:ascii="Times New Roman" w:hAnsi="Times New Roman" w:cs="Times New Roman"/>
          <w:sz w:val="24"/>
          <w:szCs w:val="24"/>
        </w:rPr>
        <w:t xml:space="preserve">verments </w:t>
      </w:r>
      <w:r w:rsidR="00E469EA">
        <w:rPr>
          <w:rFonts w:ascii="Times New Roman" w:hAnsi="Times New Roman" w:cs="Times New Roman"/>
          <w:sz w:val="24"/>
          <w:szCs w:val="24"/>
        </w:rPr>
        <w:t xml:space="preserve">made </w:t>
      </w:r>
      <w:r w:rsidR="00D1139D">
        <w:rPr>
          <w:rFonts w:ascii="Times New Roman" w:hAnsi="Times New Roman" w:cs="Times New Roman"/>
          <w:sz w:val="24"/>
          <w:szCs w:val="24"/>
        </w:rPr>
        <w:t xml:space="preserve">in connection with </w:t>
      </w:r>
      <w:r w:rsidR="00E469EA">
        <w:rPr>
          <w:rFonts w:ascii="Times New Roman" w:hAnsi="Times New Roman" w:cs="Times New Roman"/>
          <w:sz w:val="24"/>
          <w:szCs w:val="24"/>
        </w:rPr>
        <w:t xml:space="preserve">the agreement between the parties was adequate. The rest of the allegations that the first defendant wanted incorporated into the plaintiff’s claim were matters of evidence that would be raised at the appropriate time. </w:t>
      </w:r>
    </w:p>
    <w:p w14:paraId="39B706C9" w14:textId="18E76EB6" w:rsidR="006C1D99" w:rsidRDefault="006C1D99" w:rsidP="00773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further stated that at law what it was required to allege was the existence of an agreement which the first defendant failed to </w:t>
      </w:r>
      <w:r w:rsidR="00D1139D">
        <w:rPr>
          <w:rFonts w:ascii="Times New Roman" w:hAnsi="Times New Roman" w:cs="Times New Roman"/>
          <w:sz w:val="24"/>
          <w:szCs w:val="24"/>
        </w:rPr>
        <w:t>fulfil</w:t>
      </w:r>
      <w:r>
        <w:rPr>
          <w:rFonts w:ascii="Times New Roman" w:hAnsi="Times New Roman" w:cs="Times New Roman"/>
          <w:sz w:val="24"/>
          <w:szCs w:val="24"/>
        </w:rPr>
        <w:t xml:space="preserve">. The figures referred to in the summons and declaration were based on the same agreement. Any dispute pertaining to those figures were curable through evidence. On the basis of the foregoing, the plaintiff averred that there </w:t>
      </w:r>
      <w:r>
        <w:rPr>
          <w:rFonts w:ascii="Times New Roman" w:hAnsi="Times New Roman" w:cs="Times New Roman"/>
          <w:sz w:val="24"/>
          <w:szCs w:val="24"/>
        </w:rPr>
        <w:lastRenderedPageBreak/>
        <w:t xml:space="preserve">was no way the defendants would be embarrassed in the conduct of their defence. The exception was meritless. </w:t>
      </w:r>
    </w:p>
    <w:p w14:paraId="2C710CB3" w14:textId="77F30659" w:rsidR="00073A64" w:rsidRDefault="00D05034" w:rsidP="00F10030">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Analysis of s</w:t>
      </w:r>
      <w:r w:rsidR="00F10030">
        <w:rPr>
          <w:rFonts w:ascii="Times New Roman" w:hAnsi="Times New Roman" w:cs="Times New Roman"/>
          <w:b/>
          <w:i/>
          <w:sz w:val="24"/>
          <w:szCs w:val="24"/>
        </w:rPr>
        <w:t xml:space="preserve">ubmissions on the preliminary point </w:t>
      </w:r>
      <w:r w:rsidR="00885025">
        <w:rPr>
          <w:rFonts w:ascii="Times New Roman" w:hAnsi="Times New Roman" w:cs="Times New Roman"/>
          <w:b/>
          <w:i/>
          <w:sz w:val="24"/>
          <w:szCs w:val="24"/>
        </w:rPr>
        <w:t xml:space="preserve">regarding </w:t>
      </w:r>
      <w:r w:rsidR="00F10030">
        <w:rPr>
          <w:rFonts w:ascii="Times New Roman" w:hAnsi="Times New Roman" w:cs="Times New Roman"/>
          <w:b/>
          <w:i/>
          <w:sz w:val="24"/>
          <w:szCs w:val="24"/>
        </w:rPr>
        <w:t>the propriety of the Special Plea</w:t>
      </w:r>
    </w:p>
    <w:p w14:paraId="5AD59D84" w14:textId="495A4F70" w:rsidR="00F10030" w:rsidRDefault="00F10030" w:rsidP="00F100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submitted that the </w:t>
      </w:r>
      <w:r w:rsidR="006D17C4">
        <w:rPr>
          <w:rFonts w:ascii="Times New Roman" w:hAnsi="Times New Roman" w:cs="Times New Roman"/>
          <w:sz w:val="24"/>
          <w:szCs w:val="24"/>
        </w:rPr>
        <w:t xml:space="preserve">special plea </w:t>
      </w:r>
      <w:r>
        <w:rPr>
          <w:rFonts w:ascii="Times New Roman" w:hAnsi="Times New Roman" w:cs="Times New Roman"/>
          <w:sz w:val="24"/>
          <w:szCs w:val="24"/>
        </w:rPr>
        <w:t xml:space="preserve">was irregular, primarily for two reasons, which are: that the special plea ought to have been raised after the filing of a plea on the merits, and that the attachment of evidence to the special plea was highly improper and such evidence ought to be expunged from the record of proceedings. </w:t>
      </w:r>
    </w:p>
    <w:p w14:paraId="46471468" w14:textId="232154C1" w:rsidR="00F13386" w:rsidRDefault="00F13386" w:rsidP="00F133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part of the complaint is easily disposed by a consideration of the Rules</w:t>
      </w:r>
      <w:r w:rsidR="00D1139D">
        <w:rPr>
          <w:rFonts w:ascii="Times New Roman" w:hAnsi="Times New Roman" w:cs="Times New Roman"/>
          <w:sz w:val="24"/>
          <w:szCs w:val="24"/>
        </w:rPr>
        <w:t xml:space="preserve"> of Court</w:t>
      </w:r>
      <w:r>
        <w:rPr>
          <w:rFonts w:ascii="Times New Roman" w:hAnsi="Times New Roman" w:cs="Times New Roman"/>
          <w:sz w:val="24"/>
          <w:szCs w:val="24"/>
        </w:rPr>
        <w:t>. Order 21 Rule 137 provides for alternatives to pleading on the merits. The relevant part states as follows:</w:t>
      </w:r>
    </w:p>
    <w:p w14:paraId="36526D92" w14:textId="7CCA4060" w:rsidR="00F13386" w:rsidRDefault="00F13386" w:rsidP="00F13386">
      <w:pPr>
        <w:autoSpaceDE w:val="0"/>
        <w:autoSpaceDN w:val="0"/>
        <w:adjustRightInd w:val="0"/>
        <w:spacing w:after="0" w:line="240" w:lineRule="auto"/>
        <w:ind w:firstLine="720"/>
        <w:rPr>
          <w:rFonts w:ascii="Times New Roman" w:hAnsi="Times New Roman" w:cs="Times New Roman"/>
          <w:b/>
          <w:bCs/>
          <w:i/>
          <w:iCs/>
          <w:sz w:val="21"/>
          <w:szCs w:val="21"/>
        </w:rPr>
      </w:pPr>
      <w:r>
        <w:rPr>
          <w:rFonts w:ascii="Times New Roman" w:hAnsi="Times New Roman" w:cs="Times New Roman"/>
          <w:b/>
          <w:bCs/>
          <w:i/>
          <w:iCs/>
          <w:sz w:val="21"/>
          <w:szCs w:val="21"/>
        </w:rPr>
        <w:t>“137. Alternatives to pleading to merits: forms</w:t>
      </w:r>
    </w:p>
    <w:p w14:paraId="134240A0" w14:textId="77777777" w:rsidR="00F13386" w:rsidRDefault="00F13386" w:rsidP="00F1338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(1) A party may—</w:t>
      </w:r>
    </w:p>
    <w:p w14:paraId="320437A2" w14:textId="59303AFC" w:rsidR="00F13386" w:rsidRDefault="00F13386" w:rsidP="00F13386">
      <w:pPr>
        <w:autoSpaceDE w:val="0"/>
        <w:autoSpaceDN w:val="0"/>
        <w:adjustRightInd w:val="0"/>
        <w:spacing w:after="0" w:line="240" w:lineRule="auto"/>
        <w:ind w:left="993"/>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take a plea in bar or in abatement where the matter is one of substance which does not involve going into the merits of the case and which, if allowed, will dispose of the case;</w:t>
      </w:r>
    </w:p>
    <w:p w14:paraId="66621A8E" w14:textId="2B268B2D" w:rsidR="00F13386" w:rsidRDefault="00F13386" w:rsidP="00F13386">
      <w:pPr>
        <w:autoSpaceDE w:val="0"/>
        <w:autoSpaceDN w:val="0"/>
        <w:adjustRightInd w:val="0"/>
        <w:spacing w:after="0" w:line="240" w:lineRule="auto"/>
        <w:ind w:left="99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except to the pleading or to single paragraphs thereof if they embody separate causes of action or defence as the case may be;</w:t>
      </w:r>
    </w:p>
    <w:p w14:paraId="5CA1AD59" w14:textId="57B69202" w:rsidR="00F13386" w:rsidRDefault="00F13386" w:rsidP="00F13386">
      <w:pPr>
        <w:autoSpaceDE w:val="0"/>
        <w:autoSpaceDN w:val="0"/>
        <w:adjustRightInd w:val="0"/>
        <w:spacing w:after="0" w:line="240" w:lineRule="auto"/>
        <w:ind w:left="273"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 ……………;”</w:t>
      </w:r>
    </w:p>
    <w:p w14:paraId="30F9D08F" w14:textId="77777777" w:rsidR="002B6096" w:rsidRDefault="002B6096" w:rsidP="00F13386">
      <w:pPr>
        <w:autoSpaceDE w:val="0"/>
        <w:autoSpaceDN w:val="0"/>
        <w:adjustRightInd w:val="0"/>
        <w:spacing w:after="0" w:line="240" w:lineRule="auto"/>
        <w:ind w:left="273" w:firstLine="720"/>
        <w:rPr>
          <w:rFonts w:ascii="Times New Roman" w:hAnsi="Times New Roman" w:cs="Times New Roman"/>
          <w:sz w:val="21"/>
          <w:szCs w:val="21"/>
        </w:rPr>
      </w:pPr>
    </w:p>
    <w:p w14:paraId="79D8330D" w14:textId="3D2FA7FE" w:rsidR="00F13386" w:rsidRDefault="002B6096" w:rsidP="00F133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137 accords a litigant t</w:t>
      </w:r>
      <w:r w:rsidR="009E7964">
        <w:rPr>
          <w:rFonts w:ascii="Times New Roman" w:hAnsi="Times New Roman" w:cs="Times New Roman"/>
          <w:sz w:val="24"/>
          <w:szCs w:val="24"/>
        </w:rPr>
        <w:t xml:space="preserve">he </w:t>
      </w:r>
      <w:r>
        <w:rPr>
          <w:rFonts w:ascii="Times New Roman" w:hAnsi="Times New Roman" w:cs="Times New Roman"/>
          <w:sz w:val="24"/>
          <w:szCs w:val="24"/>
        </w:rPr>
        <w:t>cho</w:t>
      </w:r>
      <w:r w:rsidR="00D1139D">
        <w:rPr>
          <w:rFonts w:ascii="Times New Roman" w:hAnsi="Times New Roman" w:cs="Times New Roman"/>
          <w:sz w:val="24"/>
          <w:szCs w:val="24"/>
        </w:rPr>
        <w:t>ice</w:t>
      </w:r>
      <w:r>
        <w:rPr>
          <w:rFonts w:ascii="Times New Roman" w:hAnsi="Times New Roman" w:cs="Times New Roman"/>
          <w:sz w:val="24"/>
          <w:szCs w:val="24"/>
        </w:rPr>
        <w:t xml:space="preserve"> </w:t>
      </w:r>
      <w:r w:rsidR="009E7964">
        <w:rPr>
          <w:rFonts w:ascii="Times New Roman" w:hAnsi="Times New Roman" w:cs="Times New Roman"/>
          <w:sz w:val="24"/>
          <w:szCs w:val="24"/>
        </w:rPr>
        <w:t xml:space="preserve">of </w:t>
      </w:r>
      <w:r>
        <w:rPr>
          <w:rFonts w:ascii="Times New Roman" w:hAnsi="Times New Roman" w:cs="Times New Roman"/>
          <w:sz w:val="24"/>
          <w:szCs w:val="24"/>
        </w:rPr>
        <w:t xml:space="preserve">pleading to the merits of a claim or simply providing some other answer </w:t>
      </w:r>
      <w:r w:rsidR="001A48F2">
        <w:rPr>
          <w:rFonts w:ascii="Times New Roman" w:hAnsi="Times New Roman" w:cs="Times New Roman"/>
          <w:sz w:val="24"/>
          <w:szCs w:val="24"/>
        </w:rPr>
        <w:t xml:space="preserve">to the plaintiff’s claim. </w:t>
      </w:r>
      <w:r w:rsidR="00B820BD">
        <w:rPr>
          <w:rFonts w:ascii="Times New Roman" w:hAnsi="Times New Roman" w:cs="Times New Roman"/>
          <w:sz w:val="24"/>
          <w:szCs w:val="24"/>
        </w:rPr>
        <w:t xml:space="preserve">Rule 138 sets the procedure for the setting down for hearing of the special plea, exception or application to strike out once it has been filed.  </w:t>
      </w:r>
      <w:r w:rsidR="00D1139D">
        <w:rPr>
          <w:rFonts w:ascii="Times New Roman" w:hAnsi="Times New Roman" w:cs="Times New Roman"/>
          <w:sz w:val="24"/>
          <w:szCs w:val="24"/>
        </w:rPr>
        <w:t>It states as follows:</w:t>
      </w:r>
    </w:p>
    <w:p w14:paraId="02DD71A4" w14:textId="0CBCF99E" w:rsidR="00B820BD" w:rsidRDefault="00B820BD" w:rsidP="00B820BD">
      <w:pPr>
        <w:autoSpaceDE w:val="0"/>
        <w:autoSpaceDN w:val="0"/>
        <w:adjustRightInd w:val="0"/>
        <w:spacing w:after="0" w:line="240" w:lineRule="auto"/>
        <w:ind w:firstLine="720"/>
        <w:rPr>
          <w:rFonts w:ascii="Times New Roman" w:hAnsi="Times New Roman" w:cs="Times New Roman"/>
          <w:b/>
          <w:bCs/>
          <w:i/>
          <w:iCs/>
          <w:sz w:val="21"/>
          <w:szCs w:val="21"/>
        </w:rPr>
      </w:pPr>
      <w:r>
        <w:rPr>
          <w:rFonts w:ascii="Times New Roman" w:hAnsi="Times New Roman" w:cs="Times New Roman"/>
          <w:b/>
          <w:bCs/>
          <w:i/>
          <w:iCs/>
          <w:sz w:val="21"/>
          <w:szCs w:val="21"/>
        </w:rPr>
        <w:t>“138. Procedure on filing special plea, exception or application to strike out</w:t>
      </w:r>
    </w:p>
    <w:p w14:paraId="045D4F0A" w14:textId="77777777" w:rsidR="00B820BD" w:rsidRDefault="00B820BD" w:rsidP="00B820BD">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When a special plea, exception or application to strike out has been filed—</w:t>
      </w:r>
    </w:p>
    <w:p w14:paraId="4A2E422F" w14:textId="6441870C" w:rsidR="00B820BD" w:rsidRDefault="00B820BD" w:rsidP="00B820BD">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the parties may consent within ten days of the filing to such special plea, exception or application being set down for hearing in accordance with subrule (2) of rule 223;</w:t>
      </w:r>
    </w:p>
    <w:p w14:paraId="52588B97" w14:textId="4038F67D" w:rsidR="00B820BD" w:rsidRDefault="00B820BD" w:rsidP="00B820BD">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failing consent either party may within a further period of four days set the matter down for hearing in accordance with subrule (2) of rule 223;</w:t>
      </w:r>
    </w:p>
    <w:p w14:paraId="25632E9C" w14:textId="78C6F239" w:rsidR="00B820BD" w:rsidRPr="00F10030" w:rsidRDefault="00B820BD" w:rsidP="00D1139D">
      <w:pPr>
        <w:autoSpaceDE w:val="0"/>
        <w:autoSpaceDN w:val="0"/>
        <w:adjustRightInd w:val="0"/>
        <w:spacing w:line="240" w:lineRule="auto"/>
        <w:ind w:left="720"/>
        <w:jc w:val="both"/>
        <w:rPr>
          <w:rFonts w:ascii="Times New Roman" w:hAnsi="Times New Roman" w:cs="Times New Roman"/>
          <w:sz w:val="24"/>
          <w:szCs w:val="24"/>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 xml:space="preserve">) </w:t>
      </w:r>
      <w:r w:rsidRPr="00B820BD">
        <w:rPr>
          <w:rFonts w:ascii="Times New Roman" w:hAnsi="Times New Roman" w:cs="Times New Roman"/>
          <w:sz w:val="21"/>
          <w:szCs w:val="21"/>
          <w:u w:val="single"/>
        </w:rPr>
        <w:t>failing such consent and such application, the party pleading specially, excepting or applying, shall within a further period of four days plead over to the merits if he has not already done so</w:t>
      </w:r>
      <w:r>
        <w:rPr>
          <w:rFonts w:ascii="Times New Roman" w:hAnsi="Times New Roman" w:cs="Times New Roman"/>
          <w:sz w:val="21"/>
          <w:szCs w:val="21"/>
        </w:rPr>
        <w:t xml:space="preserve"> and the special plea, exception or application shall not be set down for hearing before the trial.”</w:t>
      </w:r>
    </w:p>
    <w:p w14:paraId="0B085750" w14:textId="4468A6F7" w:rsidR="00B820BD" w:rsidRDefault="001A48F2" w:rsidP="001A48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clear from the construction of rule 138 is that where a special plea has been taken, it must be set down for hearing by consent within ten days, failing </w:t>
      </w:r>
      <w:r w:rsidR="00D1139D">
        <w:rPr>
          <w:rFonts w:ascii="Times New Roman" w:hAnsi="Times New Roman" w:cs="Times New Roman"/>
          <w:sz w:val="24"/>
          <w:szCs w:val="24"/>
        </w:rPr>
        <w:t xml:space="preserve">which </w:t>
      </w:r>
      <w:r>
        <w:rPr>
          <w:rFonts w:ascii="Times New Roman" w:hAnsi="Times New Roman" w:cs="Times New Roman"/>
          <w:sz w:val="24"/>
          <w:szCs w:val="24"/>
        </w:rPr>
        <w:t xml:space="preserve">either party may set it down for hearing within a further period of four days. Where the matter is not set down as envisaged, the party that has taken the special plea is expected to plead over to the merits. There is no requirement that a party must have pleaded over to the merits at the outset. </w:t>
      </w:r>
    </w:p>
    <w:p w14:paraId="39F9A44F" w14:textId="7DDA2F2A" w:rsidR="00A10D84" w:rsidRDefault="00A10D84" w:rsidP="00B82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Rule 139 </w:t>
      </w:r>
      <w:r w:rsidR="002B6096">
        <w:rPr>
          <w:rFonts w:ascii="Times New Roman" w:hAnsi="Times New Roman" w:cs="Times New Roman"/>
          <w:sz w:val="24"/>
          <w:szCs w:val="24"/>
        </w:rPr>
        <w:t xml:space="preserve">states that where a special plea has been filed, it shall not be necessary for the defendant to plead over to the merits. </w:t>
      </w:r>
      <w:r w:rsidR="00D1139D">
        <w:rPr>
          <w:rFonts w:ascii="Times New Roman" w:hAnsi="Times New Roman" w:cs="Times New Roman"/>
          <w:sz w:val="24"/>
          <w:szCs w:val="24"/>
        </w:rPr>
        <w:t xml:space="preserve">It is necessary to recite it hereunder. </w:t>
      </w:r>
    </w:p>
    <w:p w14:paraId="1D24EEEE" w14:textId="77777777" w:rsidR="00D1139D" w:rsidRDefault="00D1139D" w:rsidP="00B820BD">
      <w:pPr>
        <w:spacing w:after="0" w:line="360" w:lineRule="auto"/>
        <w:jc w:val="both"/>
        <w:rPr>
          <w:rFonts w:ascii="Times New Roman" w:hAnsi="Times New Roman" w:cs="Times New Roman"/>
          <w:sz w:val="24"/>
          <w:szCs w:val="24"/>
        </w:rPr>
      </w:pPr>
    </w:p>
    <w:p w14:paraId="4EE64339" w14:textId="1B63DBF0" w:rsidR="00A10D84" w:rsidRDefault="00A10D84" w:rsidP="00A10D84">
      <w:pPr>
        <w:autoSpaceDE w:val="0"/>
        <w:autoSpaceDN w:val="0"/>
        <w:adjustRightInd w:val="0"/>
        <w:spacing w:after="0" w:line="240" w:lineRule="auto"/>
        <w:rPr>
          <w:rFonts w:ascii="Times New Roman" w:hAnsi="Times New Roman" w:cs="Times New Roman"/>
          <w:b/>
          <w:bCs/>
          <w:i/>
          <w:iCs/>
          <w:sz w:val="21"/>
          <w:szCs w:val="21"/>
        </w:rPr>
      </w:pPr>
      <w:r>
        <w:rPr>
          <w:rFonts w:ascii="Times New Roman" w:hAnsi="Times New Roman" w:cs="Times New Roman"/>
          <w:sz w:val="24"/>
          <w:szCs w:val="24"/>
        </w:rPr>
        <w:lastRenderedPageBreak/>
        <w:tab/>
        <w:t>“</w:t>
      </w:r>
      <w:r>
        <w:rPr>
          <w:rFonts w:ascii="Times New Roman" w:hAnsi="Times New Roman" w:cs="Times New Roman"/>
          <w:b/>
          <w:bCs/>
          <w:i/>
          <w:iCs/>
          <w:sz w:val="21"/>
          <w:szCs w:val="21"/>
        </w:rPr>
        <w:t>139. Special pleas, etc. to be stated or made at one time: pleading to merits</w:t>
      </w:r>
    </w:p>
    <w:p w14:paraId="0FC6E71A" w14:textId="5303E7A1" w:rsidR="00A10D84" w:rsidRDefault="00A10D84" w:rsidP="00A10D84">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(1) A party shall state all his special pleas and exceptions and make all his applications to strike out at one time:</w:t>
      </w:r>
    </w:p>
    <w:p w14:paraId="7B94C55E" w14:textId="609DF263" w:rsidR="00A10D84" w:rsidRPr="002B6096" w:rsidRDefault="00A10D84" w:rsidP="00A10D84">
      <w:pPr>
        <w:autoSpaceDE w:val="0"/>
        <w:autoSpaceDN w:val="0"/>
        <w:adjustRightInd w:val="0"/>
        <w:spacing w:after="0" w:line="240" w:lineRule="auto"/>
        <w:ind w:left="720"/>
        <w:jc w:val="both"/>
        <w:rPr>
          <w:rFonts w:ascii="Times New Roman" w:hAnsi="Times New Roman" w:cs="Times New Roman"/>
          <w:sz w:val="21"/>
          <w:szCs w:val="21"/>
          <w:u w:val="single"/>
        </w:rPr>
      </w:pPr>
      <w:r w:rsidRPr="002B6096">
        <w:rPr>
          <w:rFonts w:ascii="Times New Roman" w:hAnsi="Times New Roman" w:cs="Times New Roman"/>
          <w:sz w:val="21"/>
          <w:szCs w:val="21"/>
          <w:u w:val="single"/>
        </w:rPr>
        <w:t>Provided that where an exception or special plea is taken or where application to strike out is made it shall not be necessary to plead to the merits of the case.</w:t>
      </w:r>
    </w:p>
    <w:p w14:paraId="6AD1DA12" w14:textId="0D756DB9" w:rsidR="00A10D84" w:rsidRDefault="00A10D84" w:rsidP="00A10D84">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(2) A party who pleads over may be allowed the costs of such plea to the merits even where the case is disposed of without going into such merits.”</w:t>
      </w:r>
    </w:p>
    <w:p w14:paraId="621FC612" w14:textId="77777777" w:rsidR="001A48F2" w:rsidRDefault="001A48F2" w:rsidP="00A10D84">
      <w:pPr>
        <w:autoSpaceDE w:val="0"/>
        <w:autoSpaceDN w:val="0"/>
        <w:adjustRightInd w:val="0"/>
        <w:spacing w:after="0" w:line="240" w:lineRule="auto"/>
        <w:ind w:left="720"/>
        <w:jc w:val="both"/>
        <w:rPr>
          <w:rFonts w:ascii="Times New Roman" w:hAnsi="Times New Roman" w:cs="Times New Roman"/>
          <w:sz w:val="24"/>
          <w:szCs w:val="24"/>
        </w:rPr>
      </w:pPr>
    </w:p>
    <w:p w14:paraId="53D37723" w14:textId="77777777" w:rsidR="00D1139D" w:rsidRDefault="00A10D84" w:rsidP="001A4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48F2">
        <w:rPr>
          <w:rFonts w:ascii="Times New Roman" w:hAnsi="Times New Roman" w:cs="Times New Roman"/>
          <w:sz w:val="24"/>
          <w:szCs w:val="24"/>
        </w:rPr>
        <w:t xml:space="preserve">Rule 139 reaffirms the spirit of the law as espoused in rules 137 and 138. A party is only obliged to plead over to the merits where, after taking a special plea, they have not set it down </w:t>
      </w:r>
      <w:r w:rsidR="00575624">
        <w:rPr>
          <w:rFonts w:ascii="Times New Roman" w:hAnsi="Times New Roman" w:cs="Times New Roman"/>
          <w:sz w:val="24"/>
          <w:szCs w:val="24"/>
        </w:rPr>
        <w:t xml:space="preserve">for hearing within the </w:t>
      </w:r>
      <w:r w:rsidR="00D1139D">
        <w:rPr>
          <w:rFonts w:ascii="Times New Roman" w:hAnsi="Times New Roman" w:cs="Times New Roman"/>
          <w:sz w:val="24"/>
          <w:szCs w:val="24"/>
        </w:rPr>
        <w:t xml:space="preserve">period </w:t>
      </w:r>
      <w:r w:rsidR="00575624">
        <w:rPr>
          <w:rFonts w:ascii="Times New Roman" w:hAnsi="Times New Roman" w:cs="Times New Roman"/>
          <w:sz w:val="24"/>
          <w:szCs w:val="24"/>
        </w:rPr>
        <w:t xml:space="preserve">stipulated </w:t>
      </w:r>
      <w:r w:rsidR="00D1139D">
        <w:rPr>
          <w:rFonts w:ascii="Times New Roman" w:hAnsi="Times New Roman" w:cs="Times New Roman"/>
          <w:sz w:val="24"/>
          <w:szCs w:val="24"/>
        </w:rPr>
        <w:t>in the Rules</w:t>
      </w:r>
      <w:r w:rsidR="00575624">
        <w:rPr>
          <w:rFonts w:ascii="Times New Roman" w:hAnsi="Times New Roman" w:cs="Times New Roman"/>
          <w:sz w:val="24"/>
          <w:szCs w:val="24"/>
        </w:rPr>
        <w:t xml:space="preserve">. </w:t>
      </w:r>
    </w:p>
    <w:p w14:paraId="6FA076E5" w14:textId="0AC2FB11" w:rsidR="00A933C3" w:rsidRDefault="00FE09C0" w:rsidP="00D113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FE09C0">
        <w:rPr>
          <w:rFonts w:ascii="Times New Roman" w:hAnsi="Times New Roman" w:cs="Times New Roman"/>
          <w:i/>
          <w:sz w:val="24"/>
          <w:szCs w:val="24"/>
        </w:rPr>
        <w:t>Cargill Zimbabwe v Culveham</w:t>
      </w:r>
      <w:r>
        <w:rPr>
          <w:rFonts w:ascii="Times New Roman" w:hAnsi="Times New Roman" w:cs="Times New Roman"/>
          <w:sz w:val="24"/>
          <w:szCs w:val="24"/>
        </w:rPr>
        <w:t xml:space="preserve"> </w:t>
      </w:r>
      <w:r w:rsidRPr="00C177E9">
        <w:rPr>
          <w:rFonts w:ascii="Times New Roman" w:hAnsi="Times New Roman" w:cs="Times New Roman"/>
          <w:i/>
          <w:sz w:val="24"/>
          <w:szCs w:val="24"/>
        </w:rPr>
        <w:t>Trading (Pvt) Ltd</w:t>
      </w:r>
      <w:r w:rsidR="00C177E9">
        <w:rPr>
          <w:rStyle w:val="FootnoteReference"/>
          <w:rFonts w:ascii="Times New Roman" w:hAnsi="Times New Roman" w:cs="Times New Roman"/>
          <w:i/>
          <w:sz w:val="24"/>
          <w:szCs w:val="24"/>
        </w:rPr>
        <w:footnoteReference w:id="3"/>
      </w:r>
      <w:r>
        <w:rPr>
          <w:rFonts w:ascii="Times New Roman" w:hAnsi="Times New Roman" w:cs="Times New Roman"/>
          <w:sz w:val="24"/>
          <w:szCs w:val="24"/>
        </w:rPr>
        <w:t xml:space="preserve"> </w:t>
      </w:r>
      <w:r w:rsidR="0035715A">
        <w:rPr>
          <w:rFonts w:ascii="Times New Roman" w:hAnsi="Times New Roman" w:cs="Times New Roman"/>
          <w:sz w:val="24"/>
          <w:szCs w:val="24"/>
        </w:rPr>
        <w:t>that the plaintiff’s co</w:t>
      </w:r>
      <w:r w:rsidR="007E4277">
        <w:rPr>
          <w:rFonts w:ascii="Times New Roman" w:hAnsi="Times New Roman" w:cs="Times New Roman"/>
          <w:sz w:val="24"/>
          <w:szCs w:val="24"/>
        </w:rPr>
        <w:t xml:space="preserve">unsel referred the court to is </w:t>
      </w:r>
      <w:r w:rsidR="0035715A">
        <w:rPr>
          <w:rFonts w:ascii="Times New Roman" w:hAnsi="Times New Roman" w:cs="Times New Roman"/>
          <w:sz w:val="24"/>
          <w:szCs w:val="24"/>
        </w:rPr>
        <w:t>distinguishable from the present case. Th</w:t>
      </w:r>
      <w:r w:rsidR="00D1139D">
        <w:rPr>
          <w:rFonts w:ascii="Times New Roman" w:hAnsi="Times New Roman" w:cs="Times New Roman"/>
          <w:sz w:val="24"/>
          <w:szCs w:val="24"/>
        </w:rPr>
        <w:t>e</w:t>
      </w:r>
      <w:r w:rsidR="0035715A">
        <w:rPr>
          <w:rFonts w:ascii="Times New Roman" w:hAnsi="Times New Roman" w:cs="Times New Roman"/>
          <w:sz w:val="24"/>
          <w:szCs w:val="24"/>
        </w:rPr>
        <w:t xml:space="preserve"> issue in that case was whether a dispute existed </w:t>
      </w:r>
      <w:r w:rsidR="0035715A" w:rsidRPr="0035715A">
        <w:rPr>
          <w:rFonts w:ascii="Times New Roman" w:hAnsi="Times New Roman" w:cs="Times New Roman"/>
          <w:i/>
          <w:sz w:val="24"/>
          <w:szCs w:val="24"/>
        </w:rPr>
        <w:t xml:space="preserve">ex </w:t>
      </w:r>
      <w:r w:rsidR="0035715A" w:rsidRPr="00D1139D">
        <w:rPr>
          <w:rFonts w:ascii="Times New Roman" w:hAnsi="Times New Roman" w:cs="Times New Roman"/>
          <w:i/>
          <w:sz w:val="24"/>
          <w:szCs w:val="24"/>
        </w:rPr>
        <w:t>facie</w:t>
      </w:r>
      <w:r w:rsidR="0035715A" w:rsidRPr="00D1139D">
        <w:rPr>
          <w:rFonts w:ascii="Times New Roman" w:hAnsi="Times New Roman" w:cs="Times New Roman"/>
          <w:sz w:val="24"/>
          <w:szCs w:val="24"/>
        </w:rPr>
        <w:t xml:space="preserve"> the pleadings for the court to stay proceedings and refer the matter to arbitration</w:t>
      </w:r>
      <w:r w:rsidR="0035715A" w:rsidRPr="00D1139D">
        <w:t xml:space="preserve">. </w:t>
      </w:r>
      <w:r w:rsidR="003A45A2" w:rsidRPr="00D1139D">
        <w:rPr>
          <w:rFonts w:ascii="Times New Roman" w:hAnsi="Times New Roman" w:cs="Times New Roman"/>
          <w:sz w:val="24"/>
          <w:szCs w:val="24"/>
        </w:rPr>
        <w:t xml:space="preserve">The plaintiff argued that there was no dispute between the parties while the defendant </w:t>
      </w:r>
      <w:r w:rsidR="007A66A5">
        <w:rPr>
          <w:rFonts w:ascii="Times New Roman" w:hAnsi="Times New Roman" w:cs="Times New Roman"/>
          <w:sz w:val="24"/>
          <w:szCs w:val="24"/>
        </w:rPr>
        <w:t>claimed</w:t>
      </w:r>
      <w:r w:rsidR="003A45A2" w:rsidRPr="00D1139D">
        <w:rPr>
          <w:rFonts w:ascii="Times New Roman" w:hAnsi="Times New Roman" w:cs="Times New Roman"/>
          <w:sz w:val="24"/>
          <w:szCs w:val="24"/>
        </w:rPr>
        <w:t xml:space="preserve"> that there was one. The court found that there was no evidence of a dispute between the parties. The existence of a dispute was the </w:t>
      </w:r>
      <w:r w:rsidR="003A45A2" w:rsidRPr="00D1139D">
        <w:rPr>
          <w:rFonts w:ascii="Times New Roman" w:hAnsi="Times New Roman" w:cs="Times New Roman"/>
          <w:i/>
          <w:sz w:val="24"/>
          <w:szCs w:val="24"/>
        </w:rPr>
        <w:t>sine quo non</w:t>
      </w:r>
      <w:r w:rsidR="003A45A2" w:rsidRPr="00D1139D">
        <w:rPr>
          <w:rFonts w:ascii="Times New Roman" w:hAnsi="Times New Roman" w:cs="Times New Roman"/>
          <w:sz w:val="24"/>
          <w:szCs w:val="24"/>
        </w:rPr>
        <w:t xml:space="preserve"> for declining jurisdiction and referring the matter to arbitration. In my view, the dictum in that case was specific to a special plea to stay proceedings and referring a matter to arbitration.</w:t>
      </w:r>
      <w:r w:rsidR="003A45A2" w:rsidRPr="00D1139D">
        <w:rPr>
          <w:rStyle w:val="FootnoteReference"/>
          <w:rFonts w:ascii="Times New Roman" w:hAnsi="Times New Roman" w:cs="Times New Roman"/>
          <w:sz w:val="24"/>
          <w:szCs w:val="24"/>
        </w:rPr>
        <w:footnoteReference w:id="4"/>
      </w:r>
      <w:r w:rsidR="003A45A2" w:rsidRPr="00D1139D">
        <w:rPr>
          <w:rFonts w:ascii="Times New Roman" w:hAnsi="Times New Roman" w:cs="Times New Roman"/>
          <w:sz w:val="24"/>
          <w:szCs w:val="24"/>
        </w:rPr>
        <w:t xml:space="preserve"> </w:t>
      </w:r>
      <w:r w:rsidR="00D1139D">
        <w:rPr>
          <w:rFonts w:ascii="Times New Roman" w:hAnsi="Times New Roman" w:cs="Times New Roman"/>
          <w:sz w:val="24"/>
          <w:szCs w:val="24"/>
        </w:rPr>
        <w:t xml:space="preserve">It does not propose a one size fits all approach. </w:t>
      </w:r>
      <w:r w:rsidR="00803E6D" w:rsidRPr="00D1139D">
        <w:rPr>
          <w:rFonts w:ascii="Times New Roman" w:hAnsi="Times New Roman" w:cs="Times New Roman"/>
          <w:sz w:val="24"/>
          <w:szCs w:val="24"/>
        </w:rPr>
        <w:t xml:space="preserve">In the </w:t>
      </w:r>
      <w:r w:rsidR="00803E6D">
        <w:rPr>
          <w:rFonts w:ascii="Times New Roman" w:hAnsi="Times New Roman" w:cs="Times New Roman"/>
          <w:sz w:val="24"/>
          <w:szCs w:val="24"/>
        </w:rPr>
        <w:t>present</w:t>
      </w:r>
      <w:r w:rsidR="00A933C3">
        <w:rPr>
          <w:rFonts w:ascii="Times New Roman" w:hAnsi="Times New Roman" w:cs="Times New Roman"/>
          <w:sz w:val="24"/>
          <w:szCs w:val="24"/>
        </w:rPr>
        <w:t xml:space="preserve"> case, the issue is about the status of a draft ruling allegedly issued by the second </w:t>
      </w:r>
      <w:r w:rsidR="00D1139D">
        <w:rPr>
          <w:rFonts w:ascii="Times New Roman" w:hAnsi="Times New Roman" w:cs="Times New Roman"/>
          <w:sz w:val="24"/>
          <w:szCs w:val="24"/>
        </w:rPr>
        <w:t>defendant</w:t>
      </w:r>
      <w:r w:rsidR="00A933C3">
        <w:rPr>
          <w:rFonts w:ascii="Times New Roman" w:hAnsi="Times New Roman" w:cs="Times New Roman"/>
          <w:sz w:val="24"/>
          <w:szCs w:val="24"/>
        </w:rPr>
        <w:t>, and whether that ruling should be d</w:t>
      </w:r>
      <w:r w:rsidR="00D1139D">
        <w:rPr>
          <w:rFonts w:ascii="Times New Roman" w:hAnsi="Times New Roman" w:cs="Times New Roman"/>
          <w:sz w:val="24"/>
          <w:szCs w:val="24"/>
        </w:rPr>
        <w:t xml:space="preserve">isposed of </w:t>
      </w:r>
      <w:r w:rsidR="00A933C3">
        <w:rPr>
          <w:rFonts w:ascii="Times New Roman" w:hAnsi="Times New Roman" w:cs="Times New Roman"/>
          <w:sz w:val="24"/>
          <w:szCs w:val="24"/>
        </w:rPr>
        <w:t xml:space="preserve">by the Labour Court before the plaintiff can approach this court. </w:t>
      </w:r>
      <w:r w:rsidR="00D1139D">
        <w:rPr>
          <w:rFonts w:ascii="Times New Roman" w:hAnsi="Times New Roman" w:cs="Times New Roman"/>
          <w:sz w:val="24"/>
          <w:szCs w:val="24"/>
        </w:rPr>
        <w:t xml:space="preserve">It certainly can be dealt with differently. </w:t>
      </w:r>
      <w:r w:rsidR="00A933C3">
        <w:rPr>
          <w:rFonts w:ascii="Times New Roman" w:hAnsi="Times New Roman" w:cs="Times New Roman"/>
          <w:sz w:val="24"/>
          <w:szCs w:val="24"/>
        </w:rPr>
        <w:t>In the premises, the court finds no merit in the objection.</w:t>
      </w:r>
    </w:p>
    <w:p w14:paraId="106C4DA8" w14:textId="2A577783" w:rsidR="00BA0FD3" w:rsidRDefault="00A933C3" w:rsidP="00BA0FD3">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The second leg of the first defendant’s objection was that the attachment of evidence to the special plea was irregular and such evidence ought to be expunged from the record of proceedings.</w:t>
      </w:r>
      <w:r w:rsidR="00BA0FD3">
        <w:rPr>
          <w:rFonts w:ascii="Times New Roman" w:hAnsi="Times New Roman" w:cs="Times New Roman"/>
          <w:sz w:val="24"/>
          <w:szCs w:val="24"/>
        </w:rPr>
        <w:t xml:space="preserve"> In their book </w:t>
      </w:r>
      <w:r w:rsidR="00BA0FD3">
        <w:rPr>
          <w:rFonts w:ascii="Times New Roman" w:hAnsi="Times New Roman" w:cs="Times New Roman"/>
          <w:i/>
          <w:iCs/>
          <w:sz w:val="24"/>
          <w:szCs w:val="24"/>
        </w:rPr>
        <w:t>The Civil Practice of the Supreme Court of South Africa</w:t>
      </w:r>
      <w:r w:rsidR="00BA0FD3">
        <w:rPr>
          <w:rStyle w:val="FootnoteReference"/>
          <w:rFonts w:ascii="Times New Roman" w:hAnsi="Times New Roman" w:cs="Times New Roman"/>
          <w:i/>
          <w:iCs/>
          <w:sz w:val="24"/>
          <w:szCs w:val="24"/>
        </w:rPr>
        <w:footnoteReference w:id="5"/>
      </w:r>
      <w:r w:rsidR="00BA0FD3">
        <w:rPr>
          <w:rFonts w:ascii="Times New Roman" w:hAnsi="Times New Roman" w:cs="Times New Roman"/>
          <w:i/>
          <w:iCs/>
          <w:sz w:val="24"/>
          <w:szCs w:val="24"/>
        </w:rPr>
        <w:t xml:space="preserve">, </w:t>
      </w:r>
      <w:r w:rsidR="00BA0FD3">
        <w:rPr>
          <w:rFonts w:ascii="Times New Roman" w:hAnsi="Times New Roman" w:cs="Times New Roman"/>
          <w:iCs/>
          <w:sz w:val="24"/>
          <w:szCs w:val="24"/>
        </w:rPr>
        <w:t>authors Herbstein &amp; Van Winsen explained the position regarding the special plea to jurisdiction as follows:</w:t>
      </w:r>
    </w:p>
    <w:p w14:paraId="5411CE59" w14:textId="2ABB951E" w:rsidR="00487451" w:rsidRPr="00C059A0" w:rsidRDefault="00BA0FD3" w:rsidP="00DC2579">
      <w:pPr>
        <w:autoSpaceDE w:val="0"/>
        <w:autoSpaceDN w:val="0"/>
        <w:adjustRightInd w:val="0"/>
        <w:spacing w:line="240" w:lineRule="auto"/>
        <w:ind w:left="720"/>
        <w:jc w:val="both"/>
        <w:rPr>
          <w:rFonts w:ascii="Times New Roman" w:hAnsi="Times New Roman" w:cs="Times New Roman"/>
        </w:rPr>
      </w:pPr>
      <w:r w:rsidRPr="00C059A0">
        <w:rPr>
          <w:rFonts w:ascii="Times New Roman" w:hAnsi="Times New Roman" w:cs="Times New Roman"/>
          <w:iCs/>
        </w:rPr>
        <w:t>“</w:t>
      </w:r>
      <w:r w:rsidRPr="00C059A0">
        <w:rPr>
          <w:rFonts w:ascii="Times New Roman" w:hAnsi="Times New Roman" w:cs="Times New Roman"/>
        </w:rPr>
        <w:t xml:space="preserve">The usual method of raising a defence of absence of jurisdiction is by way of a special plea because the lack of jurisdiction is often not apparent from the allegations contained in the </w:t>
      </w:r>
      <w:r w:rsidRPr="00C059A0">
        <w:rPr>
          <w:rFonts w:ascii="Times New Roman" w:hAnsi="Times New Roman" w:cs="Times New Roman"/>
        </w:rPr>
        <w:lastRenderedPageBreak/>
        <w:t xml:space="preserve">pleadings objected to and must, therefore, </w:t>
      </w:r>
      <w:r w:rsidRPr="00C059A0">
        <w:rPr>
          <w:rFonts w:ascii="Times New Roman" w:hAnsi="Times New Roman" w:cs="Times New Roman"/>
          <w:u w:val="single"/>
        </w:rPr>
        <w:t>be proved with fresh matter introduced by way of evidence, which cannot be done in the case of an exception</w:t>
      </w:r>
      <w:r w:rsidRPr="00C059A0">
        <w:rPr>
          <w:rFonts w:ascii="Times New Roman" w:hAnsi="Times New Roman" w:cs="Times New Roman"/>
        </w:rPr>
        <w:t xml:space="preserve">. Where, however, it is apparent </w:t>
      </w:r>
      <w:r w:rsidRPr="00C059A0">
        <w:rPr>
          <w:rFonts w:ascii="Times New Roman" w:hAnsi="Times New Roman" w:cs="Times New Roman"/>
          <w:i/>
          <w:iCs/>
        </w:rPr>
        <w:t xml:space="preserve">ex facie </w:t>
      </w:r>
      <w:r w:rsidRPr="00C059A0">
        <w:rPr>
          <w:rFonts w:ascii="Times New Roman" w:hAnsi="Times New Roman" w:cs="Times New Roman"/>
        </w:rPr>
        <w:t>the pleading itself that the court concerned has no jurisdiction, the matter may be decided on exception.”</w:t>
      </w:r>
      <w:r w:rsidRPr="00C059A0">
        <w:rPr>
          <w:rFonts w:ascii="Times New Roman" w:hAnsi="Times New Roman" w:cs="Times New Roman"/>
          <w:i/>
          <w:iCs/>
        </w:rPr>
        <w:t xml:space="preserve"> </w:t>
      </w:r>
      <w:r w:rsidR="00DE7423" w:rsidRPr="00C059A0">
        <w:rPr>
          <w:rStyle w:val="FootnoteReference"/>
          <w:rFonts w:ascii="Times New Roman" w:hAnsi="Times New Roman" w:cs="Times New Roman"/>
          <w:i/>
          <w:iCs/>
        </w:rPr>
        <w:footnoteReference w:id="6"/>
      </w:r>
    </w:p>
    <w:p w14:paraId="0366036A" w14:textId="775A9D26" w:rsidR="005F3F14" w:rsidRDefault="005F3F14" w:rsidP="008A14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5F3F14">
        <w:rPr>
          <w:rFonts w:ascii="Times New Roman" w:hAnsi="Times New Roman" w:cs="Times New Roman"/>
          <w:i/>
          <w:sz w:val="24"/>
          <w:szCs w:val="24"/>
        </w:rPr>
        <w:t>Doelcam (Pvt) Ltd v Pichanick &amp; Ors</w:t>
      </w:r>
      <w:r>
        <w:rPr>
          <w:rStyle w:val="FootnoteReference"/>
          <w:rFonts w:ascii="Times New Roman" w:hAnsi="Times New Roman" w:cs="Times New Roman"/>
          <w:i/>
          <w:sz w:val="24"/>
          <w:szCs w:val="24"/>
        </w:rPr>
        <w:footnoteReference w:id="7"/>
      </w:r>
      <w:r>
        <w:rPr>
          <w:rFonts w:ascii="Times New Roman" w:hAnsi="Times New Roman" w:cs="Times New Roman"/>
          <w:i/>
          <w:sz w:val="24"/>
          <w:szCs w:val="24"/>
        </w:rPr>
        <w:t xml:space="preserve">, </w:t>
      </w:r>
      <w:r>
        <w:rPr>
          <w:rFonts w:ascii="Times New Roman" w:hAnsi="Times New Roman" w:cs="Times New Roman"/>
          <w:sz w:val="24"/>
          <w:szCs w:val="24"/>
        </w:rPr>
        <w:t>GILLESPIE J reasoned as follows:</w:t>
      </w:r>
    </w:p>
    <w:p w14:paraId="6A3466DA" w14:textId="47A0DEFC" w:rsidR="005F3F14" w:rsidRDefault="005F3F14" w:rsidP="00922015">
      <w:pPr>
        <w:spacing w:line="240" w:lineRule="auto"/>
        <w:ind w:left="720"/>
        <w:jc w:val="both"/>
        <w:rPr>
          <w:rFonts w:ascii="Times New Roman" w:hAnsi="Times New Roman" w:cs="Times New Roman"/>
        </w:rPr>
      </w:pPr>
      <w:r w:rsidRPr="005F3F14">
        <w:rPr>
          <w:rFonts w:ascii="Times New Roman" w:hAnsi="Times New Roman" w:cs="Times New Roman"/>
        </w:rPr>
        <w:t xml:space="preserve">“Since a special plea involves the averment of a new fact, it is susceptible of replication and </w:t>
      </w:r>
      <w:r w:rsidRPr="00922022">
        <w:rPr>
          <w:rFonts w:ascii="Times New Roman" w:hAnsi="Times New Roman" w:cs="Times New Roman"/>
          <w:u w:val="single"/>
        </w:rPr>
        <w:t>of a hearing at which evidence on this new fact alone may be led</w:t>
      </w:r>
      <w:r>
        <w:rPr>
          <w:rFonts w:ascii="Times New Roman" w:hAnsi="Times New Roman" w:cs="Times New Roman"/>
        </w:rPr>
        <w:t>…..”</w:t>
      </w:r>
      <w:r w:rsidR="00B701B5">
        <w:rPr>
          <w:rStyle w:val="FootnoteReference"/>
          <w:rFonts w:ascii="Times New Roman" w:hAnsi="Times New Roman" w:cs="Times New Roman"/>
        </w:rPr>
        <w:footnoteReference w:id="8"/>
      </w:r>
      <w:r w:rsidR="00922022">
        <w:rPr>
          <w:rFonts w:ascii="Times New Roman" w:hAnsi="Times New Roman" w:cs="Times New Roman"/>
        </w:rPr>
        <w:t xml:space="preserve"> (Underlining for emphasis)</w:t>
      </w:r>
    </w:p>
    <w:p w14:paraId="215941D9" w14:textId="16896990" w:rsidR="008A140E" w:rsidRDefault="00EE3EF3" w:rsidP="008A14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4D78">
        <w:rPr>
          <w:rFonts w:ascii="Times New Roman" w:hAnsi="Times New Roman" w:cs="Times New Roman"/>
          <w:sz w:val="24"/>
          <w:szCs w:val="24"/>
        </w:rPr>
        <w:tab/>
      </w:r>
      <w:r w:rsidR="00DE630A">
        <w:rPr>
          <w:rFonts w:ascii="Times New Roman" w:hAnsi="Times New Roman" w:cs="Times New Roman"/>
          <w:sz w:val="24"/>
          <w:szCs w:val="24"/>
        </w:rPr>
        <w:t xml:space="preserve">From the above authority, it is clear that </w:t>
      </w:r>
      <w:r w:rsidR="00B64D78">
        <w:rPr>
          <w:rFonts w:ascii="Times New Roman" w:hAnsi="Times New Roman" w:cs="Times New Roman"/>
          <w:sz w:val="24"/>
          <w:szCs w:val="24"/>
        </w:rPr>
        <w:t xml:space="preserve">a special </w:t>
      </w:r>
      <w:r w:rsidR="000866C9">
        <w:rPr>
          <w:rFonts w:ascii="Times New Roman" w:hAnsi="Times New Roman" w:cs="Times New Roman"/>
          <w:sz w:val="24"/>
          <w:szCs w:val="24"/>
        </w:rPr>
        <w:t xml:space="preserve">plea </w:t>
      </w:r>
      <w:r w:rsidR="00B64D78">
        <w:rPr>
          <w:rFonts w:ascii="Times New Roman" w:hAnsi="Times New Roman" w:cs="Times New Roman"/>
          <w:sz w:val="24"/>
          <w:szCs w:val="24"/>
        </w:rPr>
        <w:t xml:space="preserve">of absence of jurisdiction must be proved through the introduction of fresh evidence, which </w:t>
      </w:r>
      <w:r w:rsidR="000866C9">
        <w:rPr>
          <w:rFonts w:ascii="Times New Roman" w:hAnsi="Times New Roman" w:cs="Times New Roman"/>
          <w:sz w:val="24"/>
          <w:szCs w:val="24"/>
        </w:rPr>
        <w:t xml:space="preserve">is not </w:t>
      </w:r>
      <w:r w:rsidR="00B64D78">
        <w:rPr>
          <w:rFonts w:ascii="Times New Roman" w:hAnsi="Times New Roman" w:cs="Times New Roman"/>
          <w:sz w:val="24"/>
          <w:szCs w:val="24"/>
        </w:rPr>
        <w:t xml:space="preserve">apparent </w:t>
      </w:r>
      <w:r w:rsidR="00B64D78" w:rsidRPr="00B64D78">
        <w:rPr>
          <w:rFonts w:ascii="Times New Roman" w:hAnsi="Times New Roman" w:cs="Times New Roman"/>
          <w:i/>
          <w:sz w:val="24"/>
          <w:szCs w:val="24"/>
        </w:rPr>
        <w:t>ex facie</w:t>
      </w:r>
      <w:r w:rsidR="00B64D78">
        <w:rPr>
          <w:rFonts w:ascii="Times New Roman" w:hAnsi="Times New Roman" w:cs="Times New Roman"/>
          <w:sz w:val="24"/>
          <w:szCs w:val="24"/>
        </w:rPr>
        <w:t xml:space="preserve"> the pleadings. </w:t>
      </w:r>
      <w:r w:rsidR="008A140E">
        <w:rPr>
          <w:rFonts w:ascii="Times New Roman" w:hAnsi="Times New Roman" w:cs="Times New Roman"/>
          <w:sz w:val="24"/>
          <w:szCs w:val="24"/>
        </w:rPr>
        <w:t xml:space="preserve">Where however, the absence of jurisdiction is apparent </w:t>
      </w:r>
      <w:r w:rsidR="008A140E" w:rsidRPr="008A140E">
        <w:rPr>
          <w:rFonts w:ascii="Times New Roman" w:hAnsi="Times New Roman" w:cs="Times New Roman"/>
          <w:i/>
          <w:sz w:val="24"/>
          <w:szCs w:val="24"/>
        </w:rPr>
        <w:t>ex facie</w:t>
      </w:r>
      <w:r w:rsidR="008A140E">
        <w:rPr>
          <w:rFonts w:ascii="Times New Roman" w:hAnsi="Times New Roman" w:cs="Times New Roman"/>
          <w:sz w:val="24"/>
          <w:szCs w:val="24"/>
        </w:rPr>
        <w:t xml:space="preserve"> the pleading itself, then there would be no need to lead evidence. In fact the defence </w:t>
      </w:r>
      <w:r w:rsidR="00CB0F82">
        <w:rPr>
          <w:rFonts w:ascii="Times New Roman" w:hAnsi="Times New Roman" w:cs="Times New Roman"/>
          <w:sz w:val="24"/>
          <w:szCs w:val="24"/>
        </w:rPr>
        <w:t xml:space="preserve">of absence of jurisdiction can competently be raised by way of an exception in such </w:t>
      </w:r>
      <w:r w:rsidR="004154F6">
        <w:rPr>
          <w:rFonts w:ascii="Times New Roman" w:hAnsi="Times New Roman" w:cs="Times New Roman"/>
          <w:sz w:val="24"/>
          <w:szCs w:val="24"/>
        </w:rPr>
        <w:t xml:space="preserve">an </w:t>
      </w:r>
      <w:r w:rsidR="00CB0F82">
        <w:rPr>
          <w:rFonts w:ascii="Times New Roman" w:hAnsi="Times New Roman" w:cs="Times New Roman"/>
          <w:sz w:val="24"/>
          <w:szCs w:val="24"/>
        </w:rPr>
        <w:t>instance.</w:t>
      </w:r>
      <w:r w:rsidR="00DC2579">
        <w:rPr>
          <w:rStyle w:val="FootnoteReference"/>
          <w:rFonts w:ascii="Times New Roman" w:hAnsi="Times New Roman" w:cs="Times New Roman"/>
          <w:sz w:val="24"/>
          <w:szCs w:val="24"/>
        </w:rPr>
        <w:footnoteReference w:id="9"/>
      </w:r>
      <w:r w:rsidR="00CB0F82">
        <w:rPr>
          <w:rFonts w:ascii="Times New Roman" w:hAnsi="Times New Roman" w:cs="Times New Roman"/>
          <w:sz w:val="24"/>
          <w:szCs w:val="24"/>
        </w:rPr>
        <w:t xml:space="preserve"> </w:t>
      </w:r>
    </w:p>
    <w:p w14:paraId="224ED797" w14:textId="5059D333" w:rsidR="00922022" w:rsidRPr="00922022" w:rsidRDefault="004154F6" w:rsidP="00C059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absence of jurisdiction does not appear </w:t>
      </w:r>
      <w:r w:rsidRPr="004154F6">
        <w:rPr>
          <w:rFonts w:ascii="Times New Roman" w:hAnsi="Times New Roman" w:cs="Times New Roman"/>
          <w:i/>
          <w:sz w:val="24"/>
          <w:szCs w:val="24"/>
        </w:rPr>
        <w:t>ex facie</w:t>
      </w:r>
      <w:r>
        <w:rPr>
          <w:rFonts w:ascii="Times New Roman" w:hAnsi="Times New Roman" w:cs="Times New Roman"/>
          <w:sz w:val="24"/>
          <w:szCs w:val="24"/>
        </w:rPr>
        <w:t xml:space="preserve"> the summons and the declaration. This explains the </w:t>
      </w:r>
      <w:r w:rsidR="00860F3A">
        <w:rPr>
          <w:rFonts w:ascii="Times New Roman" w:hAnsi="Times New Roman" w:cs="Times New Roman"/>
          <w:sz w:val="24"/>
          <w:szCs w:val="24"/>
        </w:rPr>
        <w:t xml:space="preserve">voluminous evidence </w:t>
      </w:r>
      <w:r w:rsidR="00C059A0">
        <w:rPr>
          <w:rFonts w:ascii="Times New Roman" w:hAnsi="Times New Roman" w:cs="Times New Roman"/>
          <w:sz w:val="24"/>
          <w:szCs w:val="24"/>
        </w:rPr>
        <w:t xml:space="preserve">that </w:t>
      </w:r>
      <w:r w:rsidR="00860F3A">
        <w:rPr>
          <w:rFonts w:ascii="Times New Roman" w:hAnsi="Times New Roman" w:cs="Times New Roman"/>
          <w:sz w:val="24"/>
          <w:szCs w:val="24"/>
        </w:rPr>
        <w:t xml:space="preserve">the first defendant attached to the special plea. </w:t>
      </w:r>
      <w:r w:rsidR="00F40250">
        <w:rPr>
          <w:rFonts w:ascii="Times New Roman" w:hAnsi="Times New Roman" w:cs="Times New Roman"/>
          <w:sz w:val="24"/>
          <w:szCs w:val="24"/>
        </w:rPr>
        <w:t xml:space="preserve">It is the manner in which that evidence was introduced that the plaintiff found objectionable. </w:t>
      </w:r>
      <w:r w:rsidR="00B45C8A">
        <w:rPr>
          <w:rFonts w:ascii="Times New Roman" w:hAnsi="Times New Roman" w:cs="Times New Roman"/>
          <w:sz w:val="24"/>
          <w:szCs w:val="24"/>
        </w:rPr>
        <w:t xml:space="preserve">In the case of </w:t>
      </w:r>
      <w:r w:rsidR="00922022" w:rsidRPr="00922022">
        <w:rPr>
          <w:rFonts w:ascii="Times New Roman" w:hAnsi="Times New Roman" w:cs="Times New Roman"/>
          <w:b/>
          <w:i/>
          <w:sz w:val="24"/>
          <w:szCs w:val="24"/>
        </w:rPr>
        <w:t xml:space="preserve">Brooker </w:t>
      </w:r>
      <w:r w:rsidR="00CC43C7">
        <w:rPr>
          <w:rFonts w:ascii="Times New Roman" w:hAnsi="Times New Roman" w:cs="Times New Roman"/>
          <w:b/>
          <w:i/>
          <w:sz w:val="24"/>
          <w:szCs w:val="24"/>
        </w:rPr>
        <w:t>v</w:t>
      </w:r>
      <w:r w:rsidR="00CC43C7" w:rsidRPr="00922022">
        <w:rPr>
          <w:rFonts w:ascii="Times New Roman" w:hAnsi="Times New Roman" w:cs="Times New Roman"/>
          <w:b/>
          <w:i/>
          <w:sz w:val="24"/>
          <w:szCs w:val="24"/>
        </w:rPr>
        <w:t xml:space="preserve"> Mudhanda</w:t>
      </w:r>
      <w:r w:rsidR="00922022" w:rsidRPr="00922022">
        <w:rPr>
          <w:rFonts w:ascii="Times New Roman" w:hAnsi="Times New Roman" w:cs="Times New Roman"/>
          <w:b/>
          <w:i/>
          <w:sz w:val="24"/>
          <w:szCs w:val="24"/>
        </w:rPr>
        <w:t xml:space="preserve"> and Another</w:t>
      </w:r>
      <w:r w:rsidR="00922022">
        <w:rPr>
          <w:rStyle w:val="FootnoteReference"/>
          <w:rFonts w:ascii="Times New Roman" w:hAnsi="Times New Roman" w:cs="Times New Roman"/>
          <w:b/>
          <w:i/>
          <w:sz w:val="24"/>
          <w:szCs w:val="24"/>
        </w:rPr>
        <w:footnoteReference w:id="10"/>
      </w:r>
      <w:r w:rsidR="00922022">
        <w:rPr>
          <w:rFonts w:ascii="Times New Roman" w:hAnsi="Times New Roman" w:cs="Times New Roman"/>
          <w:b/>
          <w:sz w:val="24"/>
          <w:szCs w:val="24"/>
        </w:rPr>
        <w:t xml:space="preserve">, </w:t>
      </w:r>
      <w:r w:rsidR="00922022" w:rsidRPr="00C059A0">
        <w:rPr>
          <w:rFonts w:ascii="Times New Roman" w:hAnsi="Times New Roman" w:cs="Times New Roman"/>
          <w:sz w:val="24"/>
          <w:szCs w:val="24"/>
        </w:rPr>
        <w:t>GOWORA JA (as she</w:t>
      </w:r>
      <w:r w:rsidR="00922022" w:rsidRPr="00922022">
        <w:rPr>
          <w:rFonts w:ascii="Times New Roman" w:hAnsi="Times New Roman" w:cs="Times New Roman"/>
          <w:sz w:val="24"/>
          <w:szCs w:val="24"/>
        </w:rPr>
        <w:t xml:space="preserve"> then was)</w:t>
      </w:r>
      <w:r w:rsidR="00922022">
        <w:rPr>
          <w:rFonts w:ascii="Times New Roman" w:hAnsi="Times New Roman" w:cs="Times New Roman"/>
          <w:b/>
          <w:sz w:val="24"/>
          <w:szCs w:val="24"/>
        </w:rPr>
        <w:t xml:space="preserve"> </w:t>
      </w:r>
      <w:r w:rsidR="00922022" w:rsidRPr="00922022">
        <w:rPr>
          <w:rFonts w:ascii="Times New Roman" w:hAnsi="Times New Roman" w:cs="Times New Roman"/>
          <w:sz w:val="24"/>
          <w:szCs w:val="24"/>
        </w:rPr>
        <w:t>made the following remarks:</w:t>
      </w:r>
    </w:p>
    <w:p w14:paraId="15318A12" w14:textId="298296EE" w:rsidR="00922022" w:rsidRPr="00922022" w:rsidRDefault="00922022" w:rsidP="00D05034">
      <w:pPr>
        <w:spacing w:line="240" w:lineRule="auto"/>
        <w:ind w:left="720"/>
        <w:jc w:val="both"/>
        <w:rPr>
          <w:rFonts w:ascii="Times New Roman" w:hAnsi="Times New Roman" w:cs="Times New Roman"/>
        </w:rPr>
      </w:pPr>
      <w:r>
        <w:rPr>
          <w:rFonts w:ascii="Times New Roman" w:hAnsi="Times New Roman" w:cs="Times New Roman"/>
        </w:rPr>
        <w:t>“</w:t>
      </w:r>
      <w:r w:rsidRPr="00922022">
        <w:rPr>
          <w:rFonts w:ascii="Times New Roman" w:hAnsi="Times New Roman" w:cs="Times New Roman"/>
        </w:rPr>
        <w:t xml:space="preserve">It can therefore be accepted as settled that evidence is necessary when disposing of a matter in which a special plea of prescription is raised. </w:t>
      </w:r>
      <w:r w:rsidRPr="00922022">
        <w:rPr>
          <w:rFonts w:ascii="Times New Roman" w:hAnsi="Times New Roman" w:cs="Times New Roman"/>
          <w:u w:val="single"/>
        </w:rPr>
        <w:t>The rationale behind this is that where a party raises a special plea as a defence, new facts arise and because of the introduction of fresh facts which did not appear in the declaration, there is need for a court to hear the evidence of the parties where facts are disputed before making a ruling on the plea</w:t>
      </w:r>
      <w:r w:rsidRPr="00922022">
        <w:rPr>
          <w:rFonts w:ascii="Times New Roman" w:hAnsi="Times New Roman" w:cs="Times New Roman"/>
        </w:rPr>
        <w:t>.</w:t>
      </w:r>
      <w:r>
        <w:rPr>
          <w:rFonts w:ascii="Times New Roman" w:hAnsi="Times New Roman" w:cs="Times New Roman"/>
        </w:rPr>
        <w:t>”</w:t>
      </w:r>
      <w:r w:rsidRPr="00922022">
        <w:rPr>
          <w:rFonts w:ascii="Times New Roman" w:hAnsi="Times New Roman" w:cs="Times New Roman"/>
        </w:rPr>
        <w:t xml:space="preserve"> </w:t>
      </w:r>
      <w:r>
        <w:rPr>
          <w:rFonts w:ascii="Times New Roman" w:hAnsi="Times New Roman" w:cs="Times New Roman"/>
        </w:rPr>
        <w:t>(Underlining for emphasis).</w:t>
      </w:r>
    </w:p>
    <w:p w14:paraId="11E4FE38" w14:textId="62625358" w:rsidR="00922022" w:rsidRPr="006C4D29" w:rsidRDefault="00922022" w:rsidP="00D05034">
      <w:pPr>
        <w:spacing w:after="0" w:line="360" w:lineRule="auto"/>
        <w:ind w:firstLine="720"/>
        <w:jc w:val="both"/>
        <w:rPr>
          <w:rFonts w:ascii="Times New Roman" w:hAnsi="Times New Roman" w:cs="Times New Roman"/>
          <w:sz w:val="24"/>
          <w:szCs w:val="24"/>
        </w:rPr>
      </w:pPr>
      <w:r w:rsidRPr="00EE6232">
        <w:rPr>
          <w:rFonts w:ascii="Times New Roman" w:hAnsi="Times New Roman" w:cs="Times New Roman"/>
          <w:sz w:val="24"/>
          <w:szCs w:val="24"/>
        </w:rPr>
        <w:t xml:space="preserve">Even though this pertinent observation was made in the context of a </w:t>
      </w:r>
      <w:r w:rsidR="00043BB4">
        <w:rPr>
          <w:rFonts w:ascii="Times New Roman" w:hAnsi="Times New Roman" w:cs="Times New Roman"/>
          <w:sz w:val="24"/>
          <w:szCs w:val="24"/>
        </w:rPr>
        <w:t xml:space="preserve">special </w:t>
      </w:r>
      <w:r w:rsidRPr="00EE6232">
        <w:rPr>
          <w:rFonts w:ascii="Times New Roman" w:hAnsi="Times New Roman" w:cs="Times New Roman"/>
          <w:sz w:val="24"/>
          <w:szCs w:val="24"/>
        </w:rPr>
        <w:t xml:space="preserve">plea of prescription, in my view the principle applies </w:t>
      </w:r>
      <w:r w:rsidR="00922015">
        <w:rPr>
          <w:rFonts w:ascii="Times New Roman" w:hAnsi="Times New Roman" w:cs="Times New Roman"/>
          <w:sz w:val="24"/>
          <w:szCs w:val="24"/>
        </w:rPr>
        <w:t xml:space="preserve">with </w:t>
      </w:r>
      <w:r w:rsidR="004E2FD4">
        <w:rPr>
          <w:rFonts w:ascii="Times New Roman" w:hAnsi="Times New Roman" w:cs="Times New Roman"/>
          <w:sz w:val="24"/>
          <w:szCs w:val="24"/>
        </w:rPr>
        <w:t xml:space="preserve">comparable </w:t>
      </w:r>
      <w:r w:rsidR="00922015">
        <w:rPr>
          <w:rFonts w:ascii="Times New Roman" w:hAnsi="Times New Roman" w:cs="Times New Roman"/>
          <w:sz w:val="24"/>
          <w:szCs w:val="24"/>
        </w:rPr>
        <w:t xml:space="preserve">force </w:t>
      </w:r>
      <w:r w:rsidRPr="00EE6232">
        <w:rPr>
          <w:rFonts w:ascii="Times New Roman" w:hAnsi="Times New Roman" w:cs="Times New Roman"/>
          <w:sz w:val="24"/>
          <w:szCs w:val="24"/>
        </w:rPr>
        <w:t xml:space="preserve">to a </w:t>
      </w:r>
      <w:r w:rsidR="00EE6232" w:rsidRPr="00EE6232">
        <w:rPr>
          <w:rFonts w:ascii="Times New Roman" w:hAnsi="Times New Roman" w:cs="Times New Roman"/>
          <w:sz w:val="24"/>
          <w:szCs w:val="24"/>
        </w:rPr>
        <w:t xml:space="preserve">special </w:t>
      </w:r>
      <w:r w:rsidR="00EE6232">
        <w:rPr>
          <w:rFonts w:ascii="Times New Roman" w:hAnsi="Times New Roman" w:cs="Times New Roman"/>
          <w:sz w:val="24"/>
          <w:szCs w:val="24"/>
        </w:rPr>
        <w:t xml:space="preserve">plea of absence of jurisdiction and </w:t>
      </w:r>
      <w:r w:rsidR="00EE6232" w:rsidRPr="00EE6232">
        <w:rPr>
          <w:rFonts w:ascii="Times New Roman" w:hAnsi="Times New Roman" w:cs="Times New Roman"/>
          <w:i/>
          <w:sz w:val="24"/>
          <w:szCs w:val="24"/>
        </w:rPr>
        <w:t>res judicata</w:t>
      </w:r>
      <w:r w:rsidR="00EE6232">
        <w:rPr>
          <w:rFonts w:ascii="Times New Roman" w:hAnsi="Times New Roman" w:cs="Times New Roman"/>
          <w:sz w:val="24"/>
          <w:szCs w:val="24"/>
        </w:rPr>
        <w:t>. The two parties hold divergent views as regards: firstly</w:t>
      </w:r>
      <w:r w:rsidR="004E2FD4">
        <w:rPr>
          <w:rFonts w:ascii="Times New Roman" w:hAnsi="Times New Roman" w:cs="Times New Roman"/>
          <w:sz w:val="24"/>
          <w:szCs w:val="24"/>
        </w:rPr>
        <w:t>,</w:t>
      </w:r>
      <w:r w:rsidR="00EE6232">
        <w:rPr>
          <w:rFonts w:ascii="Times New Roman" w:hAnsi="Times New Roman" w:cs="Times New Roman"/>
          <w:sz w:val="24"/>
          <w:szCs w:val="24"/>
        </w:rPr>
        <w:t xml:space="preserve"> whether the second defendant issued a certificate of no settlement in the labour dispute between the plaintiff and the first </w:t>
      </w:r>
      <w:r w:rsidR="004E2FD4">
        <w:rPr>
          <w:rFonts w:ascii="Times New Roman" w:hAnsi="Times New Roman" w:cs="Times New Roman"/>
          <w:sz w:val="24"/>
          <w:szCs w:val="24"/>
        </w:rPr>
        <w:t>defendant</w:t>
      </w:r>
      <w:r w:rsidR="00EE6232">
        <w:rPr>
          <w:rFonts w:ascii="Times New Roman" w:hAnsi="Times New Roman" w:cs="Times New Roman"/>
          <w:sz w:val="24"/>
          <w:szCs w:val="24"/>
        </w:rPr>
        <w:t xml:space="preserve">; secondly, the status of the draft ruling allegedly issued by the second </w:t>
      </w:r>
      <w:r w:rsidR="004E2FD4">
        <w:rPr>
          <w:rFonts w:ascii="Times New Roman" w:hAnsi="Times New Roman" w:cs="Times New Roman"/>
          <w:sz w:val="24"/>
          <w:szCs w:val="24"/>
        </w:rPr>
        <w:t>defendant</w:t>
      </w:r>
      <w:r w:rsidR="00EE6232">
        <w:rPr>
          <w:rFonts w:ascii="Times New Roman" w:hAnsi="Times New Roman" w:cs="Times New Roman"/>
          <w:sz w:val="24"/>
          <w:szCs w:val="24"/>
        </w:rPr>
        <w:t xml:space="preserve">; and </w:t>
      </w:r>
      <w:r w:rsidR="00F5437D">
        <w:rPr>
          <w:rFonts w:ascii="Times New Roman" w:hAnsi="Times New Roman" w:cs="Times New Roman"/>
          <w:sz w:val="24"/>
          <w:szCs w:val="24"/>
        </w:rPr>
        <w:t xml:space="preserve">thirdly whether the second </w:t>
      </w:r>
      <w:r w:rsidR="004E2FD4">
        <w:rPr>
          <w:rFonts w:ascii="Times New Roman" w:hAnsi="Times New Roman" w:cs="Times New Roman"/>
          <w:sz w:val="24"/>
          <w:szCs w:val="24"/>
        </w:rPr>
        <w:t xml:space="preserve">defendant </w:t>
      </w:r>
      <w:r w:rsidR="00F5437D">
        <w:rPr>
          <w:rFonts w:ascii="Times New Roman" w:hAnsi="Times New Roman" w:cs="Times New Roman"/>
          <w:sz w:val="24"/>
          <w:szCs w:val="24"/>
        </w:rPr>
        <w:t xml:space="preserve">ought to have issued a certificate of settlement to record the alleged </w:t>
      </w:r>
      <w:r w:rsidR="004E2FD4">
        <w:rPr>
          <w:rFonts w:ascii="Times New Roman" w:hAnsi="Times New Roman" w:cs="Times New Roman"/>
          <w:sz w:val="24"/>
          <w:szCs w:val="24"/>
        </w:rPr>
        <w:t>agreement</w:t>
      </w:r>
      <w:r w:rsidR="00F5437D">
        <w:rPr>
          <w:rFonts w:ascii="Times New Roman" w:hAnsi="Times New Roman" w:cs="Times New Roman"/>
          <w:sz w:val="24"/>
          <w:szCs w:val="24"/>
        </w:rPr>
        <w:t xml:space="preserve"> between the plaintiff and the first </w:t>
      </w:r>
      <w:r w:rsidR="004E2FD4">
        <w:rPr>
          <w:rFonts w:ascii="Times New Roman" w:hAnsi="Times New Roman" w:cs="Times New Roman"/>
          <w:sz w:val="24"/>
          <w:szCs w:val="24"/>
        </w:rPr>
        <w:t>defendant</w:t>
      </w:r>
      <w:r w:rsidR="00F5437D">
        <w:rPr>
          <w:rFonts w:ascii="Times New Roman" w:hAnsi="Times New Roman" w:cs="Times New Roman"/>
          <w:sz w:val="24"/>
          <w:szCs w:val="24"/>
        </w:rPr>
        <w:t xml:space="preserve">. The court can only determine these issues after hearing </w:t>
      </w:r>
      <w:r w:rsidR="007D4C5F" w:rsidRPr="007D4C5F">
        <w:rPr>
          <w:rFonts w:ascii="Times New Roman" w:hAnsi="Times New Roman" w:cs="Times New Roman"/>
          <w:i/>
          <w:sz w:val="24"/>
          <w:szCs w:val="24"/>
        </w:rPr>
        <w:t>viva voce</w:t>
      </w:r>
      <w:r w:rsidR="007D4C5F">
        <w:rPr>
          <w:rFonts w:ascii="Times New Roman" w:hAnsi="Times New Roman" w:cs="Times New Roman"/>
          <w:sz w:val="24"/>
          <w:szCs w:val="24"/>
        </w:rPr>
        <w:t xml:space="preserve"> </w:t>
      </w:r>
      <w:r w:rsidR="00F5437D">
        <w:rPr>
          <w:rFonts w:ascii="Times New Roman" w:hAnsi="Times New Roman" w:cs="Times New Roman"/>
          <w:sz w:val="24"/>
          <w:szCs w:val="24"/>
        </w:rPr>
        <w:t xml:space="preserve">evidence from the </w:t>
      </w:r>
      <w:r w:rsidR="00F5437D">
        <w:rPr>
          <w:rFonts w:ascii="Times New Roman" w:hAnsi="Times New Roman" w:cs="Times New Roman"/>
          <w:sz w:val="24"/>
          <w:szCs w:val="24"/>
        </w:rPr>
        <w:lastRenderedPageBreak/>
        <w:t xml:space="preserve">parties. </w:t>
      </w:r>
      <w:r w:rsidR="007D4C5F">
        <w:rPr>
          <w:rFonts w:ascii="Times New Roman" w:hAnsi="Times New Roman" w:cs="Times New Roman"/>
          <w:sz w:val="24"/>
          <w:szCs w:val="24"/>
        </w:rPr>
        <w:t>That evidence is crucial to the resolution of the two special pleas.</w:t>
      </w:r>
      <w:r w:rsidR="006C4D29">
        <w:rPr>
          <w:rFonts w:ascii="Times New Roman" w:hAnsi="Times New Roman" w:cs="Times New Roman"/>
          <w:sz w:val="24"/>
          <w:szCs w:val="24"/>
        </w:rPr>
        <w:t xml:space="preserve"> In the </w:t>
      </w:r>
      <w:r w:rsidR="006C4D29" w:rsidRPr="006C4D29">
        <w:rPr>
          <w:rFonts w:ascii="Times New Roman" w:hAnsi="Times New Roman" w:cs="Times New Roman"/>
          <w:i/>
          <w:sz w:val="24"/>
          <w:szCs w:val="24"/>
        </w:rPr>
        <w:t>Brooker v Mudhanda and Another</w:t>
      </w:r>
      <w:r w:rsidR="006C4D29">
        <w:rPr>
          <w:rFonts w:ascii="Times New Roman" w:hAnsi="Times New Roman" w:cs="Times New Roman"/>
          <w:sz w:val="24"/>
          <w:szCs w:val="24"/>
        </w:rPr>
        <w:t xml:space="preserve"> case, the court </w:t>
      </w:r>
      <w:r w:rsidR="006C4D29" w:rsidRPr="006C4D29">
        <w:rPr>
          <w:rFonts w:ascii="Times New Roman" w:hAnsi="Times New Roman" w:cs="Times New Roman"/>
          <w:sz w:val="24"/>
          <w:szCs w:val="24"/>
        </w:rPr>
        <w:t>further remarked as follows:</w:t>
      </w:r>
    </w:p>
    <w:p w14:paraId="0BB3F657" w14:textId="208936B2" w:rsidR="006C4D29" w:rsidRPr="00A353CB" w:rsidRDefault="006C4D29" w:rsidP="00A353CB">
      <w:pPr>
        <w:spacing w:line="240" w:lineRule="auto"/>
        <w:ind w:left="720"/>
        <w:jc w:val="both"/>
        <w:rPr>
          <w:rFonts w:ascii="Times New Roman" w:hAnsi="Times New Roman" w:cs="Times New Roman"/>
        </w:rPr>
      </w:pPr>
      <w:r w:rsidRPr="00A353CB">
        <w:rPr>
          <w:rFonts w:ascii="Times New Roman" w:hAnsi="Times New Roman" w:cs="Times New Roman"/>
          <w:b/>
        </w:rPr>
        <w:t>“</w:t>
      </w:r>
      <w:r w:rsidRPr="00A353CB">
        <w:rPr>
          <w:rFonts w:ascii="Times New Roman" w:hAnsi="Times New Roman" w:cs="Times New Roman"/>
        </w:rPr>
        <w:t xml:space="preserve">The failure by the court </w:t>
      </w:r>
      <w:r w:rsidRPr="00A353CB">
        <w:rPr>
          <w:rFonts w:ascii="Times New Roman" w:hAnsi="Times New Roman" w:cs="Times New Roman"/>
          <w:i/>
        </w:rPr>
        <w:t>a quo</w:t>
      </w:r>
      <w:r w:rsidRPr="00A353CB">
        <w:rPr>
          <w:rFonts w:ascii="Times New Roman" w:hAnsi="Times New Roman" w:cs="Times New Roman"/>
        </w:rPr>
        <w:t xml:space="preserve"> to call evidence was akin to a court which determines a matter through the application procedure in the face of material disputes of fact. The learned judge in the court failed to appreciate that prescription is a defence and therefore a matter of substance. The court </w:t>
      </w:r>
      <w:r w:rsidRPr="00A353CB">
        <w:rPr>
          <w:rFonts w:ascii="Times New Roman" w:hAnsi="Times New Roman" w:cs="Times New Roman"/>
          <w:i/>
        </w:rPr>
        <w:t>a quo</w:t>
      </w:r>
      <w:r w:rsidRPr="00A353CB">
        <w:rPr>
          <w:rFonts w:ascii="Times New Roman" w:hAnsi="Times New Roman" w:cs="Times New Roman"/>
        </w:rPr>
        <w:t xml:space="preserve"> and the parties before it, ignored the nature of the pleading that was central to the dispute. Essentially what had to be disposed of was a plea. Its nature did not change by virtue of having the adjective special placed before it. </w:t>
      </w:r>
      <w:r w:rsidRPr="00A353CB">
        <w:rPr>
          <w:rFonts w:ascii="Times New Roman" w:hAnsi="Times New Roman" w:cs="Times New Roman"/>
          <w:u w:val="single"/>
        </w:rPr>
        <w:t>It remained a plea which is a defence and which the court could only determine after hearing evidence unless the facts surrounding the plea were common cause or admitted. The facts were in dispute. It was therefore a matter for a trial cause.</w:t>
      </w:r>
      <w:r w:rsidRPr="00A353CB">
        <w:rPr>
          <w:rFonts w:ascii="Times New Roman" w:hAnsi="Times New Roman" w:cs="Times New Roman"/>
        </w:rPr>
        <w:t xml:space="preserve"> It is referred to as a special plea mainly due to its ability to destroy the action or postpone the proceedings.”</w:t>
      </w:r>
      <w:r w:rsidR="002C3F83" w:rsidRPr="00A353CB">
        <w:rPr>
          <w:rStyle w:val="FootnoteReference"/>
          <w:rFonts w:ascii="Times New Roman" w:hAnsi="Times New Roman" w:cs="Times New Roman"/>
        </w:rPr>
        <w:footnoteReference w:id="11"/>
      </w:r>
      <w:r w:rsidR="00A353CB" w:rsidRPr="00A353CB">
        <w:rPr>
          <w:rFonts w:ascii="Times New Roman" w:hAnsi="Times New Roman" w:cs="Times New Roman"/>
        </w:rPr>
        <w:t xml:space="preserve"> (Underlining for emphasis)</w:t>
      </w:r>
      <w:r w:rsidR="00A353CB">
        <w:rPr>
          <w:rFonts w:ascii="Times New Roman" w:hAnsi="Times New Roman" w:cs="Times New Roman"/>
        </w:rPr>
        <w:t>.</w:t>
      </w:r>
    </w:p>
    <w:p w14:paraId="6D67A5D6" w14:textId="6A9C73BF" w:rsidR="0003038E" w:rsidRDefault="00F40FB7" w:rsidP="006C4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associate myself with the views enumerated by the court in the above case authority. </w:t>
      </w:r>
      <w:r w:rsidR="006C4D29" w:rsidRPr="006C4D29">
        <w:rPr>
          <w:rFonts w:ascii="Times New Roman" w:hAnsi="Times New Roman" w:cs="Times New Roman"/>
          <w:sz w:val="24"/>
          <w:szCs w:val="24"/>
        </w:rPr>
        <w:t xml:space="preserve">The court </w:t>
      </w:r>
      <w:r>
        <w:rPr>
          <w:rFonts w:ascii="Times New Roman" w:hAnsi="Times New Roman" w:cs="Times New Roman"/>
          <w:sz w:val="24"/>
          <w:szCs w:val="24"/>
        </w:rPr>
        <w:t xml:space="preserve">must </w:t>
      </w:r>
      <w:r w:rsidR="006C4D29" w:rsidRPr="006C4D29">
        <w:rPr>
          <w:rFonts w:ascii="Times New Roman" w:hAnsi="Times New Roman" w:cs="Times New Roman"/>
          <w:sz w:val="24"/>
          <w:szCs w:val="24"/>
        </w:rPr>
        <w:t xml:space="preserve">avoid </w:t>
      </w:r>
      <w:r>
        <w:rPr>
          <w:rFonts w:ascii="Times New Roman" w:hAnsi="Times New Roman" w:cs="Times New Roman"/>
          <w:sz w:val="24"/>
          <w:szCs w:val="24"/>
        </w:rPr>
        <w:t xml:space="preserve">falling </w:t>
      </w:r>
      <w:r w:rsidR="006C4D29" w:rsidRPr="006C4D29">
        <w:rPr>
          <w:rFonts w:ascii="Times New Roman" w:hAnsi="Times New Roman" w:cs="Times New Roman"/>
          <w:sz w:val="24"/>
          <w:szCs w:val="24"/>
        </w:rPr>
        <w:t xml:space="preserve">into the trap of deciding the matter through an application procedure in the face of irreconcilable material disputes of fact. </w:t>
      </w:r>
      <w:r w:rsidR="006C4D29">
        <w:rPr>
          <w:rFonts w:ascii="Times New Roman" w:hAnsi="Times New Roman" w:cs="Times New Roman"/>
          <w:sz w:val="24"/>
          <w:szCs w:val="24"/>
        </w:rPr>
        <w:t xml:space="preserve">What makes it even more unpropitious is that </w:t>
      </w:r>
      <w:r w:rsidR="0003038E">
        <w:rPr>
          <w:rFonts w:ascii="Times New Roman" w:hAnsi="Times New Roman" w:cs="Times New Roman"/>
          <w:sz w:val="24"/>
          <w:szCs w:val="24"/>
        </w:rPr>
        <w:t xml:space="preserve">the evidence was not tendered through an affidavit, thus denying the plaintiff an opportunity to confute </w:t>
      </w:r>
      <w:r>
        <w:rPr>
          <w:rFonts w:ascii="Times New Roman" w:hAnsi="Times New Roman" w:cs="Times New Roman"/>
          <w:sz w:val="24"/>
          <w:szCs w:val="24"/>
        </w:rPr>
        <w:t xml:space="preserve">such evidence </w:t>
      </w:r>
      <w:r w:rsidR="0003038E">
        <w:rPr>
          <w:rFonts w:ascii="Times New Roman" w:hAnsi="Times New Roman" w:cs="Times New Roman"/>
          <w:sz w:val="24"/>
          <w:szCs w:val="24"/>
        </w:rPr>
        <w:t xml:space="preserve">in the conventional way. </w:t>
      </w:r>
    </w:p>
    <w:p w14:paraId="2CE6C219" w14:textId="07AF347E" w:rsidR="0003038E" w:rsidRPr="0003038E" w:rsidRDefault="00F40FB7" w:rsidP="000303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4A90430E" w14:textId="3989876C" w:rsidR="006C4D29" w:rsidRPr="006C4D29" w:rsidRDefault="0003038E" w:rsidP="006C4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therefore finds the plaintiff’s objection </w:t>
      </w:r>
      <w:r w:rsidR="00CB39C0">
        <w:rPr>
          <w:rFonts w:ascii="Times New Roman" w:hAnsi="Times New Roman" w:cs="Times New Roman"/>
          <w:sz w:val="24"/>
          <w:szCs w:val="24"/>
        </w:rPr>
        <w:t>to</w:t>
      </w:r>
      <w:r>
        <w:rPr>
          <w:rFonts w:ascii="Times New Roman" w:hAnsi="Times New Roman" w:cs="Times New Roman"/>
          <w:sz w:val="24"/>
          <w:szCs w:val="24"/>
        </w:rPr>
        <w:t xml:space="preserve"> the special plea meritorious. The court cannot safely determine the special plea without hearing evidence in light of the parties conflicting positions on the very issues that are germane to the determination of the special pleas. It also follows that the determination of the exception has to be stayed pending the resolution of the question of jurisdiction. </w:t>
      </w:r>
      <w:r w:rsidR="002C3337">
        <w:rPr>
          <w:rFonts w:ascii="Times New Roman" w:hAnsi="Times New Roman" w:cs="Times New Roman"/>
          <w:sz w:val="24"/>
          <w:szCs w:val="24"/>
        </w:rPr>
        <w:t xml:space="preserve">The determination of the question of costs must also be stayed. The issue of costs will be considered when the matter is ultimately determined on the merits. </w:t>
      </w:r>
      <w:r>
        <w:rPr>
          <w:rFonts w:ascii="Times New Roman" w:hAnsi="Times New Roman" w:cs="Times New Roman"/>
          <w:sz w:val="24"/>
          <w:szCs w:val="24"/>
        </w:rPr>
        <w:t xml:space="preserve"> </w:t>
      </w:r>
    </w:p>
    <w:p w14:paraId="7D9FA736" w14:textId="63E7DAF2" w:rsidR="00BA0FD3" w:rsidRPr="002C3337" w:rsidRDefault="002C3337" w:rsidP="00B820BD">
      <w:pPr>
        <w:spacing w:after="0" w:line="360" w:lineRule="auto"/>
        <w:jc w:val="both"/>
        <w:rPr>
          <w:rFonts w:ascii="Times New Roman" w:hAnsi="Times New Roman" w:cs="Times New Roman"/>
          <w:b/>
          <w:sz w:val="24"/>
          <w:szCs w:val="24"/>
        </w:rPr>
      </w:pPr>
      <w:r w:rsidRPr="002C3337">
        <w:rPr>
          <w:rFonts w:ascii="Times New Roman" w:hAnsi="Times New Roman" w:cs="Times New Roman"/>
          <w:b/>
          <w:sz w:val="24"/>
          <w:szCs w:val="24"/>
        </w:rPr>
        <w:t xml:space="preserve">DISPOSITION </w:t>
      </w:r>
    </w:p>
    <w:p w14:paraId="34B1F07C" w14:textId="2AA1C2D3" w:rsidR="00EB4166" w:rsidRDefault="002C3337"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w:t>
      </w:r>
      <w:r w:rsidR="00323517">
        <w:rPr>
          <w:rFonts w:ascii="Times New Roman" w:hAnsi="Times New Roman" w:cs="Times New Roman"/>
          <w:sz w:val="24"/>
          <w:szCs w:val="24"/>
        </w:rPr>
        <w:t>,</w:t>
      </w:r>
      <w:r w:rsidR="00FC41C0">
        <w:rPr>
          <w:rFonts w:ascii="Times New Roman" w:hAnsi="Times New Roman" w:cs="Times New Roman"/>
          <w:sz w:val="24"/>
          <w:szCs w:val="24"/>
        </w:rPr>
        <w:t xml:space="preserve"> </w:t>
      </w:r>
      <w:r w:rsidR="00E66802">
        <w:rPr>
          <w:rFonts w:ascii="Times New Roman" w:hAnsi="Times New Roman" w:cs="Times New Roman"/>
          <w:sz w:val="24"/>
          <w:szCs w:val="24"/>
        </w:rPr>
        <w:t>it is ordered as follows:</w:t>
      </w:r>
    </w:p>
    <w:p w14:paraId="465FF855" w14:textId="3BA618ED" w:rsidR="0003038E" w:rsidRDefault="00EB4166" w:rsidP="0003038E">
      <w:pPr>
        <w:pStyle w:val="ListParagraph"/>
        <w:numPr>
          <w:ilvl w:val="0"/>
          <w:numId w:val="44"/>
        </w:numPr>
        <w:spacing w:after="0" w:line="360" w:lineRule="auto"/>
        <w:jc w:val="both"/>
        <w:rPr>
          <w:rFonts w:ascii="Times New Roman" w:hAnsi="Times New Roman" w:cs="Times New Roman"/>
          <w:sz w:val="24"/>
          <w:szCs w:val="24"/>
        </w:rPr>
      </w:pPr>
      <w:r w:rsidRPr="00233CA3">
        <w:rPr>
          <w:rFonts w:ascii="Times New Roman" w:hAnsi="Times New Roman" w:cs="Times New Roman"/>
          <w:sz w:val="24"/>
          <w:szCs w:val="24"/>
        </w:rPr>
        <w:t xml:space="preserve">The </w:t>
      </w:r>
      <w:r w:rsidR="0003038E">
        <w:rPr>
          <w:rFonts w:ascii="Times New Roman" w:hAnsi="Times New Roman" w:cs="Times New Roman"/>
          <w:sz w:val="24"/>
          <w:szCs w:val="24"/>
        </w:rPr>
        <w:t xml:space="preserve">plaintiff’s preliminary objection (pertaining to the </w:t>
      </w:r>
      <w:r w:rsidR="002C3337">
        <w:rPr>
          <w:rFonts w:ascii="Times New Roman" w:hAnsi="Times New Roman" w:cs="Times New Roman"/>
          <w:sz w:val="24"/>
          <w:szCs w:val="24"/>
        </w:rPr>
        <w:t xml:space="preserve">attachment of evidence to the first defendant’s special </w:t>
      </w:r>
      <w:r w:rsidR="0003038E">
        <w:rPr>
          <w:rFonts w:ascii="Times New Roman" w:hAnsi="Times New Roman" w:cs="Times New Roman"/>
          <w:sz w:val="24"/>
          <w:szCs w:val="24"/>
        </w:rPr>
        <w:t>plea) is hereby upheld.</w:t>
      </w:r>
    </w:p>
    <w:p w14:paraId="37E9DF70" w14:textId="002580A1" w:rsidR="0003038E" w:rsidRPr="0003038E" w:rsidRDefault="0003038E" w:rsidP="0003038E">
      <w:pPr>
        <w:pStyle w:val="ListParagraph"/>
        <w:numPr>
          <w:ilvl w:val="0"/>
          <w:numId w:val="44"/>
        </w:numPr>
        <w:spacing w:after="0" w:line="360" w:lineRule="auto"/>
        <w:ind w:left="709" w:hanging="425"/>
        <w:jc w:val="both"/>
        <w:rPr>
          <w:noProof/>
          <w:lang w:eastAsia="en-ZW"/>
        </w:rPr>
      </w:pPr>
      <w:r w:rsidRPr="0003038E">
        <w:rPr>
          <w:rFonts w:ascii="Times New Roman" w:hAnsi="Times New Roman" w:cs="Times New Roman"/>
          <w:sz w:val="24"/>
          <w:szCs w:val="24"/>
        </w:rPr>
        <w:t>The Registrar is directed to set the matter down on the next available date for hearing of oral evidence on the special plea</w:t>
      </w:r>
      <w:r w:rsidR="004C393C">
        <w:rPr>
          <w:rFonts w:ascii="Times New Roman" w:hAnsi="Times New Roman" w:cs="Times New Roman"/>
          <w:sz w:val="24"/>
          <w:szCs w:val="24"/>
        </w:rPr>
        <w:t>s</w:t>
      </w:r>
      <w:r w:rsidRPr="0003038E">
        <w:rPr>
          <w:rFonts w:ascii="Times New Roman" w:hAnsi="Times New Roman" w:cs="Times New Roman"/>
          <w:sz w:val="24"/>
          <w:szCs w:val="24"/>
        </w:rPr>
        <w:t xml:space="preserve">. </w:t>
      </w:r>
    </w:p>
    <w:p w14:paraId="52541E49" w14:textId="222DA946" w:rsidR="008D2A5D" w:rsidRDefault="0003038E" w:rsidP="0003038E">
      <w:pPr>
        <w:pStyle w:val="ListParagraph"/>
        <w:numPr>
          <w:ilvl w:val="0"/>
          <w:numId w:val="44"/>
        </w:numPr>
        <w:spacing w:after="0" w:line="360" w:lineRule="auto"/>
        <w:ind w:left="709" w:hanging="425"/>
        <w:jc w:val="both"/>
        <w:rPr>
          <w:noProof/>
          <w:lang w:eastAsia="en-ZW"/>
        </w:rPr>
      </w:pPr>
      <w:r w:rsidRPr="0003038E">
        <w:rPr>
          <w:rFonts w:ascii="Times New Roman" w:hAnsi="Times New Roman" w:cs="Times New Roman"/>
          <w:sz w:val="24"/>
          <w:szCs w:val="24"/>
        </w:rPr>
        <w:t xml:space="preserve">Costs shall be in the cause. </w:t>
      </w:r>
    </w:p>
    <w:p w14:paraId="49D33A12" w14:textId="77777777" w:rsidR="00102E9F" w:rsidRPr="007459AC" w:rsidRDefault="00102E9F" w:rsidP="007459AC">
      <w:pPr>
        <w:spacing w:after="0" w:line="360" w:lineRule="auto"/>
        <w:jc w:val="right"/>
        <w:rPr>
          <w:rFonts w:ascii="Times New Roman" w:hAnsi="Times New Roman" w:cs="Times New Roman"/>
          <w:i/>
          <w:sz w:val="24"/>
          <w:szCs w:val="24"/>
        </w:rPr>
      </w:pPr>
    </w:p>
    <w:p w14:paraId="001ABC47" w14:textId="213E6BD3" w:rsidR="00406CEF" w:rsidRDefault="005E4E9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Lawman Chimuriwo Law Chambers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w:t>
      </w:r>
      <w:r>
        <w:rPr>
          <w:rFonts w:ascii="Times New Roman" w:hAnsi="Times New Roman" w:cs="Times New Roman"/>
          <w:sz w:val="24"/>
          <w:szCs w:val="24"/>
        </w:rPr>
        <w:t xml:space="preserve">plaintiff </w:t>
      </w:r>
      <w:r w:rsidR="00F24F15">
        <w:rPr>
          <w:rFonts w:ascii="Times New Roman" w:hAnsi="Times New Roman" w:cs="Times New Roman"/>
          <w:sz w:val="24"/>
          <w:szCs w:val="24"/>
        </w:rPr>
        <w:t xml:space="preserve"> </w:t>
      </w:r>
    </w:p>
    <w:p w14:paraId="46C2DD7B" w14:textId="1ABBE47B" w:rsidR="00DB22AE" w:rsidRPr="00D66D10" w:rsidRDefault="005E4E9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Mafongoya and Matapura,</w:t>
      </w:r>
      <w:r w:rsidR="00D66D10">
        <w:rPr>
          <w:rFonts w:ascii="Times New Roman" w:hAnsi="Times New Roman" w:cs="Times New Roman"/>
          <w:i/>
          <w:sz w:val="24"/>
          <w:szCs w:val="24"/>
        </w:rPr>
        <w:t xml:space="preserve"> </w:t>
      </w:r>
      <w:r w:rsidR="00D66D10">
        <w:rPr>
          <w:rFonts w:ascii="Times New Roman" w:hAnsi="Times New Roman" w:cs="Times New Roman"/>
          <w:sz w:val="24"/>
          <w:szCs w:val="24"/>
        </w:rPr>
        <w:t xml:space="preserve">legal practitioners for the </w:t>
      </w:r>
      <w:r w:rsidR="00323517">
        <w:rPr>
          <w:rFonts w:ascii="Times New Roman" w:hAnsi="Times New Roman" w:cs="Times New Roman"/>
          <w:sz w:val="24"/>
          <w:szCs w:val="24"/>
        </w:rPr>
        <w:t xml:space="preserve">first </w:t>
      </w:r>
      <w:r>
        <w:rPr>
          <w:rFonts w:ascii="Times New Roman" w:hAnsi="Times New Roman" w:cs="Times New Roman"/>
          <w:sz w:val="24"/>
          <w:szCs w:val="24"/>
        </w:rPr>
        <w:t xml:space="preserve">defendant </w:t>
      </w:r>
      <w:r w:rsidR="00DB22AE">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sectPr w:rsidR="00DB22AE" w:rsidRPr="00D66D10"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B9139" w14:textId="77777777" w:rsidR="003C18E0" w:rsidRDefault="003C18E0" w:rsidP="00EA00E7">
      <w:pPr>
        <w:spacing w:after="0" w:line="240" w:lineRule="auto"/>
      </w:pPr>
      <w:r>
        <w:separator/>
      </w:r>
    </w:p>
  </w:endnote>
  <w:endnote w:type="continuationSeparator" w:id="0">
    <w:p w14:paraId="3B0EB2E5" w14:textId="77777777" w:rsidR="003C18E0" w:rsidRDefault="003C18E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4EBF" w14:textId="77777777" w:rsidR="003C18E0" w:rsidRDefault="003C18E0" w:rsidP="00EA00E7">
      <w:pPr>
        <w:spacing w:after="0" w:line="240" w:lineRule="auto"/>
      </w:pPr>
      <w:r>
        <w:separator/>
      </w:r>
    </w:p>
  </w:footnote>
  <w:footnote w:type="continuationSeparator" w:id="0">
    <w:p w14:paraId="6A8CEA82" w14:textId="77777777" w:rsidR="003C18E0" w:rsidRDefault="003C18E0" w:rsidP="00EA00E7">
      <w:pPr>
        <w:spacing w:after="0" w:line="240" w:lineRule="auto"/>
      </w:pPr>
      <w:r>
        <w:continuationSeparator/>
      </w:r>
    </w:p>
  </w:footnote>
  <w:footnote w:id="1">
    <w:p w14:paraId="335F455E" w14:textId="0153521B" w:rsidR="003140B8" w:rsidRPr="003140B8" w:rsidRDefault="003140B8">
      <w:pPr>
        <w:pStyle w:val="FootnoteText"/>
        <w:rPr>
          <w:rFonts w:ascii="Times New Roman" w:hAnsi="Times New Roman" w:cs="Times New Roman"/>
          <w:lang w:val="en-US"/>
        </w:rPr>
      </w:pPr>
      <w:r w:rsidRPr="003140B8">
        <w:rPr>
          <w:rStyle w:val="FootnoteReference"/>
          <w:rFonts w:ascii="Times New Roman" w:hAnsi="Times New Roman" w:cs="Times New Roman"/>
        </w:rPr>
        <w:footnoteRef/>
      </w:r>
      <w:r w:rsidRPr="003140B8">
        <w:rPr>
          <w:rFonts w:ascii="Times New Roman" w:hAnsi="Times New Roman" w:cs="Times New Roman"/>
        </w:rPr>
        <w:t xml:space="preserve"> </w:t>
      </w:r>
      <w:r w:rsidRPr="003140B8">
        <w:rPr>
          <w:rFonts w:ascii="Times New Roman" w:hAnsi="Times New Roman" w:cs="Times New Roman"/>
          <w:lang w:val="en-US"/>
        </w:rPr>
        <w:t>[</w:t>
      </w:r>
      <w:r w:rsidRPr="003140B8">
        <w:rPr>
          <w:rFonts w:ascii="Times New Roman" w:hAnsi="Times New Roman" w:cs="Times New Roman"/>
          <w:i/>
          <w:lang w:val="en-US"/>
        </w:rPr>
        <w:t>Chapter 28:01</w:t>
      </w:r>
      <w:r w:rsidRPr="003140B8">
        <w:rPr>
          <w:rFonts w:ascii="Times New Roman" w:hAnsi="Times New Roman" w:cs="Times New Roman"/>
          <w:lang w:val="en-US"/>
        </w:rPr>
        <w:t>]</w:t>
      </w:r>
    </w:p>
  </w:footnote>
  <w:footnote w:id="2">
    <w:p w14:paraId="4D8D7AC4" w14:textId="11AF7115" w:rsidR="00C14E79" w:rsidRPr="00C14E79" w:rsidRDefault="00C14E79">
      <w:pPr>
        <w:pStyle w:val="FootnoteText"/>
        <w:rPr>
          <w:rFonts w:ascii="Times New Roman" w:hAnsi="Times New Roman" w:cs="Times New Roman"/>
          <w:lang w:val="en-US"/>
        </w:rPr>
      </w:pPr>
      <w:r w:rsidRPr="00C14E79">
        <w:rPr>
          <w:rStyle w:val="FootnoteReference"/>
          <w:rFonts w:ascii="Times New Roman" w:hAnsi="Times New Roman" w:cs="Times New Roman"/>
        </w:rPr>
        <w:footnoteRef/>
      </w:r>
      <w:r w:rsidRPr="00C14E79">
        <w:rPr>
          <w:rFonts w:ascii="Times New Roman" w:hAnsi="Times New Roman" w:cs="Times New Roman"/>
        </w:rPr>
        <w:t xml:space="preserve"> </w:t>
      </w:r>
      <w:r w:rsidRPr="00C14E79">
        <w:rPr>
          <w:rFonts w:ascii="Times New Roman" w:hAnsi="Times New Roman" w:cs="Times New Roman"/>
          <w:lang w:val="en-US"/>
        </w:rPr>
        <w:t>[</w:t>
      </w:r>
      <w:r w:rsidRPr="00C14E79">
        <w:rPr>
          <w:rFonts w:ascii="Times New Roman" w:hAnsi="Times New Roman" w:cs="Times New Roman"/>
          <w:i/>
          <w:lang w:val="en-US"/>
        </w:rPr>
        <w:t>Chapter 29:13</w:t>
      </w:r>
      <w:r w:rsidRPr="00C14E79">
        <w:rPr>
          <w:rFonts w:ascii="Times New Roman" w:hAnsi="Times New Roman" w:cs="Times New Roman"/>
          <w:lang w:val="en-US"/>
        </w:rPr>
        <w:t>]</w:t>
      </w:r>
    </w:p>
  </w:footnote>
  <w:footnote w:id="3">
    <w:p w14:paraId="2A60FCF2" w14:textId="36EBAA28" w:rsidR="00C177E9" w:rsidRPr="00C177E9" w:rsidRDefault="00C177E9">
      <w:pPr>
        <w:pStyle w:val="FootnoteText"/>
        <w:rPr>
          <w:rFonts w:ascii="Times New Roman" w:hAnsi="Times New Roman" w:cs="Times New Roman"/>
          <w:sz w:val="18"/>
          <w:szCs w:val="18"/>
          <w:lang w:val="en-US"/>
        </w:rPr>
      </w:pPr>
      <w:r w:rsidRPr="00C177E9">
        <w:rPr>
          <w:rStyle w:val="FootnoteReference"/>
          <w:rFonts w:ascii="Times New Roman" w:hAnsi="Times New Roman" w:cs="Times New Roman"/>
          <w:sz w:val="18"/>
          <w:szCs w:val="18"/>
        </w:rPr>
        <w:footnoteRef/>
      </w:r>
      <w:r w:rsidRPr="00C177E9">
        <w:rPr>
          <w:rFonts w:ascii="Times New Roman" w:hAnsi="Times New Roman" w:cs="Times New Roman"/>
          <w:sz w:val="18"/>
          <w:szCs w:val="18"/>
        </w:rPr>
        <w:t xml:space="preserve"> HH 42/06</w:t>
      </w:r>
    </w:p>
  </w:footnote>
  <w:footnote w:id="4">
    <w:p w14:paraId="6EE53D25" w14:textId="7A9F9939" w:rsidR="003A45A2" w:rsidRPr="005F3F14" w:rsidRDefault="003A45A2" w:rsidP="005F3F14">
      <w:pPr>
        <w:pStyle w:val="FootnoteText"/>
        <w:spacing w:after="240"/>
        <w:jc w:val="both"/>
        <w:rPr>
          <w:rFonts w:ascii="Times New Roman" w:hAnsi="Times New Roman" w:cs="Times New Roman"/>
        </w:rPr>
      </w:pPr>
      <w:r w:rsidRPr="005F3F14">
        <w:rPr>
          <w:rStyle w:val="FootnoteReference"/>
          <w:rFonts w:ascii="Times New Roman" w:hAnsi="Times New Roman" w:cs="Times New Roman"/>
        </w:rPr>
        <w:footnoteRef/>
      </w:r>
      <w:r w:rsidRPr="005F3F14">
        <w:rPr>
          <w:rFonts w:ascii="Times New Roman" w:hAnsi="Times New Roman" w:cs="Times New Roman"/>
        </w:rPr>
        <w:t xml:space="preserve"> See on page 2 of the judgment, where MAKARAU J said:</w:t>
      </w:r>
    </w:p>
    <w:p w14:paraId="2D706A2E" w14:textId="6B1825B8" w:rsidR="003A45A2" w:rsidRPr="003C03EB" w:rsidRDefault="003A45A2" w:rsidP="005F3F14">
      <w:pPr>
        <w:ind w:left="426"/>
        <w:jc w:val="both"/>
        <w:rPr>
          <w:rFonts w:ascii="Times New Roman" w:hAnsi="Times New Roman" w:cs="Times New Roman"/>
          <w:sz w:val="20"/>
          <w:szCs w:val="20"/>
        </w:rPr>
      </w:pPr>
      <w:r w:rsidRPr="003C03EB">
        <w:rPr>
          <w:rFonts w:ascii="Times New Roman" w:hAnsi="Times New Roman" w:cs="Times New Roman"/>
          <w:sz w:val="20"/>
          <w:szCs w:val="20"/>
        </w:rPr>
        <w:t xml:space="preserve">“From the above, it appears to me that before raising a special plea staying proceedings in this court and referring the matter to arbitration, the defendant must file a plea as to the merits of the matter for the dispute between the parties to arise </w:t>
      </w:r>
      <w:r w:rsidRPr="003C03EB">
        <w:rPr>
          <w:rFonts w:ascii="Times New Roman" w:hAnsi="Times New Roman" w:cs="Times New Roman"/>
          <w:i/>
          <w:sz w:val="20"/>
          <w:szCs w:val="20"/>
        </w:rPr>
        <w:t>ex facie</w:t>
      </w:r>
      <w:r w:rsidRPr="003C03EB">
        <w:rPr>
          <w:rFonts w:ascii="Times New Roman" w:hAnsi="Times New Roman" w:cs="Times New Roman"/>
          <w:sz w:val="20"/>
          <w:szCs w:val="20"/>
        </w:rPr>
        <w:t xml:space="preserve"> the pleadings. It further appears to me that any practice short of this will result in the special plea being dismissed as having been prematurely filed.” </w:t>
      </w:r>
    </w:p>
  </w:footnote>
  <w:footnote w:id="5">
    <w:p w14:paraId="34FB753C" w14:textId="78EB047D" w:rsidR="00BA0FD3" w:rsidRPr="005F3F14" w:rsidRDefault="00BA0FD3" w:rsidP="005F3F14">
      <w:pPr>
        <w:autoSpaceDE w:val="0"/>
        <w:autoSpaceDN w:val="0"/>
        <w:adjustRightInd w:val="0"/>
        <w:spacing w:after="0" w:line="240" w:lineRule="auto"/>
        <w:jc w:val="both"/>
        <w:rPr>
          <w:rFonts w:ascii="Times New Roman" w:hAnsi="Times New Roman" w:cs="Times New Roman"/>
          <w:sz w:val="20"/>
          <w:szCs w:val="20"/>
        </w:rPr>
      </w:pPr>
      <w:r w:rsidRPr="005F3F14">
        <w:rPr>
          <w:rStyle w:val="FootnoteReference"/>
          <w:rFonts w:ascii="Times New Roman" w:hAnsi="Times New Roman" w:cs="Times New Roman"/>
          <w:sz w:val="20"/>
          <w:szCs w:val="20"/>
        </w:rPr>
        <w:footnoteRef/>
      </w:r>
      <w:r w:rsidRPr="005F3F14">
        <w:rPr>
          <w:rFonts w:ascii="Times New Roman" w:hAnsi="Times New Roman" w:cs="Times New Roman"/>
          <w:sz w:val="20"/>
          <w:szCs w:val="20"/>
        </w:rPr>
        <w:t xml:space="preserve"> (5</w:t>
      </w:r>
      <w:r w:rsidRPr="005F3F14">
        <w:rPr>
          <w:rFonts w:ascii="Times New Roman" w:hAnsi="Times New Roman" w:cs="Times New Roman"/>
          <w:sz w:val="20"/>
          <w:szCs w:val="20"/>
          <w:vertAlign w:val="superscript"/>
        </w:rPr>
        <w:t>th</w:t>
      </w:r>
      <w:r w:rsidRPr="005F3F14">
        <w:rPr>
          <w:rFonts w:ascii="Times New Roman" w:hAnsi="Times New Roman" w:cs="Times New Roman"/>
          <w:sz w:val="20"/>
          <w:szCs w:val="20"/>
        </w:rPr>
        <w:t xml:space="preserve"> Ed.), at p612</w:t>
      </w:r>
    </w:p>
  </w:footnote>
  <w:footnote w:id="6">
    <w:p w14:paraId="79546CFF" w14:textId="7649666B" w:rsidR="00DE7423" w:rsidRPr="004E2FD4" w:rsidRDefault="00DE7423" w:rsidP="005F3F14">
      <w:pPr>
        <w:autoSpaceDE w:val="0"/>
        <w:autoSpaceDN w:val="0"/>
        <w:adjustRightInd w:val="0"/>
        <w:spacing w:after="0" w:line="240" w:lineRule="auto"/>
        <w:jc w:val="both"/>
        <w:rPr>
          <w:rFonts w:ascii="Times New Roman" w:hAnsi="Times New Roman" w:cs="Times New Roman"/>
          <w:sz w:val="20"/>
          <w:szCs w:val="20"/>
        </w:rPr>
      </w:pPr>
      <w:r w:rsidRPr="004E2FD4">
        <w:rPr>
          <w:rStyle w:val="FootnoteReference"/>
          <w:rFonts w:ascii="Times New Roman" w:hAnsi="Times New Roman" w:cs="Times New Roman"/>
          <w:sz w:val="20"/>
          <w:szCs w:val="20"/>
        </w:rPr>
        <w:footnoteRef/>
      </w:r>
      <w:r w:rsidRPr="004E2FD4">
        <w:rPr>
          <w:rFonts w:ascii="Times New Roman" w:hAnsi="Times New Roman" w:cs="Times New Roman"/>
          <w:sz w:val="20"/>
          <w:szCs w:val="20"/>
        </w:rPr>
        <w:t xml:space="preserve"> See also </w:t>
      </w:r>
      <w:r w:rsidR="0009226E" w:rsidRPr="004E2FD4">
        <w:rPr>
          <w:rFonts w:ascii="Times New Roman" w:hAnsi="Times New Roman" w:cs="Times New Roman"/>
          <w:sz w:val="20"/>
          <w:szCs w:val="20"/>
        </w:rPr>
        <w:t xml:space="preserve">PATEL JA in </w:t>
      </w:r>
      <w:r w:rsidR="0009226E" w:rsidRPr="004E2FD4">
        <w:rPr>
          <w:rFonts w:ascii="Times New Roman" w:hAnsi="Times New Roman" w:cs="Times New Roman"/>
          <w:b/>
          <w:bCs/>
          <w:i/>
          <w:sz w:val="20"/>
          <w:szCs w:val="20"/>
        </w:rPr>
        <w:t>National Employment Council for the Construction Industry v Zimbabwe Nantong International (Pvt) Ltd</w:t>
      </w:r>
      <w:r w:rsidR="0009226E" w:rsidRPr="004E2FD4">
        <w:rPr>
          <w:rFonts w:ascii="Times New Roman" w:hAnsi="Times New Roman" w:cs="Times New Roman"/>
          <w:b/>
          <w:bCs/>
          <w:sz w:val="20"/>
          <w:szCs w:val="20"/>
        </w:rPr>
        <w:t xml:space="preserve"> SC 59/16 at pages 5-6</w:t>
      </w:r>
    </w:p>
  </w:footnote>
  <w:footnote w:id="7">
    <w:p w14:paraId="5FEAD7A7" w14:textId="68B51378" w:rsidR="005F3F14" w:rsidRPr="004E2FD4" w:rsidRDefault="005F3F14" w:rsidP="005F3F14">
      <w:pPr>
        <w:pStyle w:val="FootnoteText"/>
        <w:jc w:val="both"/>
        <w:rPr>
          <w:rFonts w:ascii="Times New Roman" w:hAnsi="Times New Roman" w:cs="Times New Roman"/>
          <w:lang w:val="en-US"/>
        </w:rPr>
      </w:pPr>
      <w:r w:rsidRPr="004E2FD4">
        <w:rPr>
          <w:rStyle w:val="FootnoteReference"/>
          <w:rFonts w:ascii="Times New Roman" w:hAnsi="Times New Roman" w:cs="Times New Roman"/>
        </w:rPr>
        <w:footnoteRef/>
      </w:r>
      <w:r w:rsidRPr="004E2FD4">
        <w:rPr>
          <w:rFonts w:ascii="Times New Roman" w:hAnsi="Times New Roman" w:cs="Times New Roman"/>
        </w:rPr>
        <w:t xml:space="preserve"> </w:t>
      </w:r>
      <w:r w:rsidRPr="004E2FD4">
        <w:rPr>
          <w:rFonts w:ascii="Times New Roman" w:hAnsi="Times New Roman" w:cs="Times New Roman"/>
          <w:lang w:val="en-US"/>
        </w:rPr>
        <w:t xml:space="preserve">1999 (1) ZLR 390 (HC) at p 396 </w:t>
      </w:r>
    </w:p>
  </w:footnote>
  <w:footnote w:id="8">
    <w:p w14:paraId="6EE73B67" w14:textId="0C47C0B2" w:rsidR="00B701B5" w:rsidRPr="004E2FD4" w:rsidRDefault="00B701B5">
      <w:pPr>
        <w:pStyle w:val="FootnoteText"/>
        <w:rPr>
          <w:rFonts w:ascii="Times New Roman" w:hAnsi="Times New Roman" w:cs="Times New Roman"/>
          <w:lang w:val="en-US"/>
        </w:rPr>
      </w:pPr>
      <w:r w:rsidRPr="004E2FD4">
        <w:rPr>
          <w:rStyle w:val="FootnoteReference"/>
          <w:rFonts w:ascii="Times New Roman" w:hAnsi="Times New Roman" w:cs="Times New Roman"/>
        </w:rPr>
        <w:footnoteRef/>
      </w:r>
      <w:r w:rsidRPr="004E2FD4">
        <w:rPr>
          <w:rFonts w:ascii="Times New Roman" w:hAnsi="Times New Roman" w:cs="Times New Roman"/>
        </w:rPr>
        <w:t xml:space="preserve"> See also Beck’s Theory and Practice of Pleading in Civil Actions 6</w:t>
      </w:r>
      <w:r w:rsidRPr="004E2FD4">
        <w:rPr>
          <w:rFonts w:ascii="Times New Roman" w:hAnsi="Times New Roman" w:cs="Times New Roman"/>
          <w:vertAlign w:val="superscript"/>
        </w:rPr>
        <w:t>th</w:t>
      </w:r>
      <w:r w:rsidRPr="004E2FD4">
        <w:rPr>
          <w:rFonts w:ascii="Times New Roman" w:hAnsi="Times New Roman" w:cs="Times New Roman"/>
        </w:rPr>
        <w:t xml:space="preserve"> ed at p 152</w:t>
      </w:r>
    </w:p>
  </w:footnote>
  <w:footnote w:id="9">
    <w:p w14:paraId="42B47D48" w14:textId="01EDDA60" w:rsidR="00DC2579" w:rsidRPr="004E2FD4" w:rsidRDefault="00DC2579" w:rsidP="00DC2579">
      <w:pPr>
        <w:autoSpaceDE w:val="0"/>
        <w:autoSpaceDN w:val="0"/>
        <w:adjustRightInd w:val="0"/>
        <w:spacing w:after="0" w:line="240" w:lineRule="auto"/>
        <w:rPr>
          <w:rFonts w:ascii="Times New Roman" w:hAnsi="Times New Roman" w:cs="Times New Roman"/>
          <w:sz w:val="20"/>
          <w:szCs w:val="20"/>
          <w:lang w:val="en-US"/>
        </w:rPr>
      </w:pPr>
      <w:r w:rsidRPr="004E2FD4">
        <w:rPr>
          <w:rStyle w:val="FootnoteReference"/>
          <w:rFonts w:ascii="Times New Roman" w:hAnsi="Times New Roman" w:cs="Times New Roman"/>
          <w:sz w:val="20"/>
          <w:szCs w:val="20"/>
        </w:rPr>
        <w:footnoteRef/>
      </w:r>
      <w:r w:rsidRPr="004E2FD4">
        <w:rPr>
          <w:rFonts w:ascii="Times New Roman" w:hAnsi="Times New Roman" w:cs="Times New Roman"/>
          <w:sz w:val="20"/>
          <w:szCs w:val="20"/>
        </w:rPr>
        <w:t xml:space="preserve"> </w:t>
      </w:r>
      <w:r w:rsidRPr="004E2FD4">
        <w:rPr>
          <w:rFonts w:ascii="Times New Roman" w:hAnsi="Times New Roman" w:cs="Times New Roman"/>
          <w:sz w:val="20"/>
          <w:szCs w:val="20"/>
          <w:lang w:val="en-US"/>
        </w:rPr>
        <w:t xml:space="preserve">See </w:t>
      </w:r>
      <w:r w:rsidRPr="004E2FD4">
        <w:rPr>
          <w:rFonts w:ascii="Times New Roman" w:hAnsi="Times New Roman" w:cs="Times New Roman"/>
          <w:i/>
          <w:iCs/>
          <w:sz w:val="20"/>
          <w:szCs w:val="20"/>
        </w:rPr>
        <w:t xml:space="preserve">Viljoen </w:t>
      </w:r>
      <w:r w:rsidRPr="004E2FD4">
        <w:rPr>
          <w:rFonts w:ascii="Times New Roman" w:hAnsi="Times New Roman" w:cs="Times New Roman"/>
          <w:sz w:val="20"/>
          <w:szCs w:val="20"/>
        </w:rPr>
        <w:t xml:space="preserve">v </w:t>
      </w:r>
      <w:r w:rsidRPr="004E2FD4">
        <w:rPr>
          <w:rFonts w:ascii="Times New Roman" w:hAnsi="Times New Roman" w:cs="Times New Roman"/>
          <w:i/>
          <w:iCs/>
          <w:sz w:val="20"/>
          <w:szCs w:val="20"/>
        </w:rPr>
        <w:t xml:space="preserve">Federated Trust Ltd </w:t>
      </w:r>
      <w:r w:rsidRPr="004E2FD4">
        <w:rPr>
          <w:rFonts w:ascii="Times New Roman" w:hAnsi="Times New Roman" w:cs="Times New Roman"/>
          <w:sz w:val="20"/>
          <w:szCs w:val="20"/>
        </w:rPr>
        <w:t>1971 (1) SA 750 (O) at 760B-E</w:t>
      </w:r>
    </w:p>
  </w:footnote>
  <w:footnote w:id="10">
    <w:p w14:paraId="2F1ECD1B" w14:textId="6E62A042" w:rsidR="00922022" w:rsidRPr="004E2FD4" w:rsidRDefault="00922022">
      <w:pPr>
        <w:pStyle w:val="FootnoteText"/>
        <w:rPr>
          <w:rFonts w:ascii="Times New Roman" w:hAnsi="Times New Roman" w:cs="Times New Roman"/>
          <w:lang w:val="en-US"/>
        </w:rPr>
      </w:pPr>
      <w:r w:rsidRPr="004E2FD4">
        <w:rPr>
          <w:rStyle w:val="FootnoteReference"/>
          <w:rFonts w:ascii="Times New Roman" w:hAnsi="Times New Roman" w:cs="Times New Roman"/>
        </w:rPr>
        <w:footnoteRef/>
      </w:r>
      <w:r w:rsidRPr="004E2FD4">
        <w:rPr>
          <w:rFonts w:ascii="Times New Roman" w:hAnsi="Times New Roman" w:cs="Times New Roman"/>
        </w:rPr>
        <w:t xml:space="preserve"> SC 59/18 at p16</w:t>
      </w:r>
    </w:p>
  </w:footnote>
  <w:footnote w:id="11">
    <w:p w14:paraId="680ADDB0" w14:textId="70E71BA2" w:rsidR="002C3F83" w:rsidRPr="002C3F83" w:rsidRDefault="002C3F83">
      <w:pPr>
        <w:pStyle w:val="FootnoteText"/>
        <w:rPr>
          <w:rFonts w:ascii="Times New Roman" w:hAnsi="Times New Roman" w:cs="Times New Roman"/>
          <w:lang w:val="en-US"/>
        </w:rPr>
      </w:pPr>
      <w:r w:rsidRPr="002C3F83">
        <w:rPr>
          <w:rStyle w:val="FootnoteReference"/>
          <w:rFonts w:ascii="Times New Roman" w:hAnsi="Times New Roman" w:cs="Times New Roman"/>
        </w:rPr>
        <w:footnoteRef/>
      </w:r>
      <w:r w:rsidRPr="002C3F83">
        <w:rPr>
          <w:rFonts w:ascii="Times New Roman" w:hAnsi="Times New Roman" w:cs="Times New Roman"/>
        </w:rPr>
        <w:t xml:space="preserve"> </w:t>
      </w:r>
      <w:r w:rsidRPr="002C3F83">
        <w:rPr>
          <w:rFonts w:ascii="Times New Roman" w:hAnsi="Times New Roman" w:cs="Times New Roman"/>
          <w:lang w:val="en-US"/>
        </w:rPr>
        <w:t>Supra at page 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4964C42F" w:rsidR="00A9057A" w:rsidRPr="00E544F4" w:rsidRDefault="00A9057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522CC9">
          <w:rPr>
            <w:rFonts w:ascii="Times New Roman" w:hAnsi="Times New Roman" w:cs="Times New Roman"/>
            <w:noProof/>
            <w:sz w:val="24"/>
            <w:szCs w:val="24"/>
          </w:rPr>
          <w:t>4</w:t>
        </w:r>
        <w:r w:rsidRPr="00E544F4">
          <w:rPr>
            <w:rFonts w:ascii="Times New Roman" w:hAnsi="Times New Roman" w:cs="Times New Roman"/>
            <w:sz w:val="24"/>
            <w:szCs w:val="24"/>
          </w:rPr>
          <w:fldChar w:fldCharType="end"/>
        </w:r>
      </w:p>
      <w:p w14:paraId="5CE9CC21" w14:textId="382EBAC8" w:rsidR="00A9057A" w:rsidRPr="00E544F4" w:rsidRDefault="00A9057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B70B1F">
          <w:rPr>
            <w:rFonts w:ascii="Times New Roman" w:hAnsi="Times New Roman" w:cs="Times New Roman"/>
            <w:sz w:val="24"/>
            <w:szCs w:val="24"/>
          </w:rPr>
          <w:t>H 445-21</w:t>
        </w:r>
      </w:p>
      <w:p w14:paraId="1E05EEBD" w14:textId="2B887630" w:rsidR="00A9057A" w:rsidRDefault="00A9057A">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B70B1F">
          <w:rPr>
            <w:rFonts w:ascii="Times New Roman" w:hAnsi="Times New Roman" w:cs="Times New Roman"/>
            <w:sz w:val="24"/>
            <w:szCs w:val="24"/>
          </w:rPr>
          <w:t>2734/20</w:t>
        </w:r>
      </w:p>
      <w:p w14:paraId="1048E6DB" w14:textId="64A47F35" w:rsidR="00A9057A" w:rsidRPr="00E544F4" w:rsidRDefault="003C18E0">
        <w:pPr>
          <w:pStyle w:val="Header"/>
          <w:jc w:val="right"/>
          <w:rPr>
            <w:rFonts w:ascii="Times New Roman" w:hAnsi="Times New Roman" w:cs="Times New Roman"/>
            <w:sz w:val="24"/>
            <w:szCs w:val="24"/>
          </w:rPr>
        </w:pPr>
      </w:p>
    </w:sdtContent>
  </w:sdt>
  <w:p w14:paraId="57CD235E" w14:textId="77777777" w:rsidR="00A9057A" w:rsidRDefault="00A90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9A114E6"/>
    <w:multiLevelType w:val="hybridMultilevel"/>
    <w:tmpl w:val="F6781B92"/>
    <w:lvl w:ilvl="0" w:tplc="C37CF0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5"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E86C04"/>
    <w:multiLevelType w:val="hybridMultilevel"/>
    <w:tmpl w:val="B9CC6F98"/>
    <w:lvl w:ilvl="0" w:tplc="2F3435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8"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9"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57BD2D7B"/>
    <w:multiLevelType w:val="hybridMultilevel"/>
    <w:tmpl w:val="1D3CCD04"/>
    <w:lvl w:ilvl="0" w:tplc="B0D685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3"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634817FB"/>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7"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0"/>
  </w:num>
  <w:num w:numId="3">
    <w:abstractNumId w:val="12"/>
  </w:num>
  <w:num w:numId="4">
    <w:abstractNumId w:val="19"/>
  </w:num>
  <w:num w:numId="5">
    <w:abstractNumId w:val="29"/>
  </w:num>
  <w:num w:numId="6">
    <w:abstractNumId w:val="9"/>
  </w:num>
  <w:num w:numId="7">
    <w:abstractNumId w:val="7"/>
  </w:num>
  <w:num w:numId="8">
    <w:abstractNumId w:val="41"/>
  </w:num>
  <w:num w:numId="9">
    <w:abstractNumId w:val="4"/>
  </w:num>
  <w:num w:numId="10">
    <w:abstractNumId w:val="38"/>
  </w:num>
  <w:num w:numId="11">
    <w:abstractNumId w:val="42"/>
  </w:num>
  <w:num w:numId="12">
    <w:abstractNumId w:val="46"/>
  </w:num>
  <w:num w:numId="13">
    <w:abstractNumId w:val="3"/>
  </w:num>
  <w:num w:numId="14">
    <w:abstractNumId w:val="22"/>
  </w:num>
  <w:num w:numId="15">
    <w:abstractNumId w:val="6"/>
  </w:num>
  <w:num w:numId="16">
    <w:abstractNumId w:val="35"/>
  </w:num>
  <w:num w:numId="17">
    <w:abstractNumId w:val="40"/>
  </w:num>
  <w:num w:numId="18">
    <w:abstractNumId w:val="37"/>
  </w:num>
  <w:num w:numId="19">
    <w:abstractNumId w:val="44"/>
  </w:num>
  <w:num w:numId="20">
    <w:abstractNumId w:val="1"/>
  </w:num>
  <w:num w:numId="21">
    <w:abstractNumId w:val="17"/>
  </w:num>
  <w:num w:numId="22">
    <w:abstractNumId w:val="15"/>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5"/>
  </w:num>
  <w:num w:numId="27">
    <w:abstractNumId w:val="5"/>
  </w:num>
  <w:num w:numId="28">
    <w:abstractNumId w:val="33"/>
  </w:num>
  <w:num w:numId="29">
    <w:abstractNumId w:val="47"/>
  </w:num>
  <w:num w:numId="30">
    <w:abstractNumId w:val="16"/>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5"/>
  </w:num>
  <w:num w:numId="35">
    <w:abstractNumId w:val="11"/>
  </w:num>
  <w:num w:numId="36">
    <w:abstractNumId w:val="28"/>
  </w:num>
  <w:num w:numId="37">
    <w:abstractNumId w:val="13"/>
  </w:num>
  <w:num w:numId="38">
    <w:abstractNumId w:val="0"/>
  </w:num>
  <w:num w:numId="39">
    <w:abstractNumId w:val="39"/>
  </w:num>
  <w:num w:numId="40">
    <w:abstractNumId w:val="21"/>
  </w:num>
  <w:num w:numId="41">
    <w:abstractNumId w:val="23"/>
  </w:num>
  <w:num w:numId="42">
    <w:abstractNumId w:val="14"/>
  </w:num>
  <w:num w:numId="43">
    <w:abstractNumId w:val="27"/>
  </w:num>
  <w:num w:numId="44">
    <w:abstractNumId w:val="34"/>
  </w:num>
  <w:num w:numId="45">
    <w:abstractNumId w:val="30"/>
  </w:num>
  <w:num w:numId="46">
    <w:abstractNumId w:val="26"/>
  </w:num>
  <w:num w:numId="47">
    <w:abstractNumId w:val="20"/>
  </w:num>
  <w:num w:numId="48">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77D"/>
    <w:rsid w:val="00007385"/>
    <w:rsid w:val="00007499"/>
    <w:rsid w:val="000074E6"/>
    <w:rsid w:val="00007A23"/>
    <w:rsid w:val="00011216"/>
    <w:rsid w:val="0001180F"/>
    <w:rsid w:val="0001183B"/>
    <w:rsid w:val="00012467"/>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279"/>
    <w:rsid w:val="0002631B"/>
    <w:rsid w:val="000277D0"/>
    <w:rsid w:val="000300FD"/>
    <w:rsid w:val="0003038E"/>
    <w:rsid w:val="000304CF"/>
    <w:rsid w:val="000306A5"/>
    <w:rsid w:val="00030DC2"/>
    <w:rsid w:val="000314F2"/>
    <w:rsid w:val="00031D04"/>
    <w:rsid w:val="00032DF7"/>
    <w:rsid w:val="0003388A"/>
    <w:rsid w:val="00033F1D"/>
    <w:rsid w:val="000350A4"/>
    <w:rsid w:val="00035308"/>
    <w:rsid w:val="00035350"/>
    <w:rsid w:val="000355F3"/>
    <w:rsid w:val="000356A7"/>
    <w:rsid w:val="00036A96"/>
    <w:rsid w:val="00037F60"/>
    <w:rsid w:val="00037F9A"/>
    <w:rsid w:val="00040B95"/>
    <w:rsid w:val="000412A5"/>
    <w:rsid w:val="000418DA"/>
    <w:rsid w:val="00043BB4"/>
    <w:rsid w:val="00043C17"/>
    <w:rsid w:val="000444F8"/>
    <w:rsid w:val="00045A6F"/>
    <w:rsid w:val="00046683"/>
    <w:rsid w:val="00046B6D"/>
    <w:rsid w:val="000471B0"/>
    <w:rsid w:val="000472DE"/>
    <w:rsid w:val="000476B5"/>
    <w:rsid w:val="00050992"/>
    <w:rsid w:val="000509CC"/>
    <w:rsid w:val="00051480"/>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DBB"/>
    <w:rsid w:val="00062B7C"/>
    <w:rsid w:val="000630EB"/>
    <w:rsid w:val="000637DD"/>
    <w:rsid w:val="0006407F"/>
    <w:rsid w:val="0006467E"/>
    <w:rsid w:val="00064897"/>
    <w:rsid w:val="0006577C"/>
    <w:rsid w:val="00065B56"/>
    <w:rsid w:val="00065E13"/>
    <w:rsid w:val="00066EBC"/>
    <w:rsid w:val="0006755E"/>
    <w:rsid w:val="000703FE"/>
    <w:rsid w:val="00070616"/>
    <w:rsid w:val="0007291A"/>
    <w:rsid w:val="00072C8E"/>
    <w:rsid w:val="00072EC7"/>
    <w:rsid w:val="000736BF"/>
    <w:rsid w:val="0007375F"/>
    <w:rsid w:val="00073A32"/>
    <w:rsid w:val="00073A64"/>
    <w:rsid w:val="00074602"/>
    <w:rsid w:val="000753DE"/>
    <w:rsid w:val="00075EF9"/>
    <w:rsid w:val="000772DC"/>
    <w:rsid w:val="00077970"/>
    <w:rsid w:val="00077D30"/>
    <w:rsid w:val="00077E32"/>
    <w:rsid w:val="00080650"/>
    <w:rsid w:val="00080F6D"/>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6C9"/>
    <w:rsid w:val="00086A5C"/>
    <w:rsid w:val="00086E80"/>
    <w:rsid w:val="000872DA"/>
    <w:rsid w:val="00087878"/>
    <w:rsid w:val="00087B0F"/>
    <w:rsid w:val="0009105A"/>
    <w:rsid w:val="00091CC8"/>
    <w:rsid w:val="00092194"/>
    <w:rsid w:val="0009226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4015"/>
    <w:rsid w:val="000A483C"/>
    <w:rsid w:val="000A4ECB"/>
    <w:rsid w:val="000A538A"/>
    <w:rsid w:val="000A563B"/>
    <w:rsid w:val="000A5797"/>
    <w:rsid w:val="000A599B"/>
    <w:rsid w:val="000A623A"/>
    <w:rsid w:val="000A6CA4"/>
    <w:rsid w:val="000A6CC3"/>
    <w:rsid w:val="000A7D14"/>
    <w:rsid w:val="000B04C8"/>
    <w:rsid w:val="000B069F"/>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4DB"/>
    <w:rsid w:val="000B6960"/>
    <w:rsid w:val="000B6B23"/>
    <w:rsid w:val="000B6C47"/>
    <w:rsid w:val="000B78F9"/>
    <w:rsid w:val="000C1379"/>
    <w:rsid w:val="000C1C6A"/>
    <w:rsid w:val="000C2034"/>
    <w:rsid w:val="000C22CA"/>
    <w:rsid w:val="000C2AA1"/>
    <w:rsid w:val="000C367D"/>
    <w:rsid w:val="000C3D0D"/>
    <w:rsid w:val="000C4040"/>
    <w:rsid w:val="000C44EA"/>
    <w:rsid w:val="000C6168"/>
    <w:rsid w:val="000C61E1"/>
    <w:rsid w:val="000C6420"/>
    <w:rsid w:val="000C6911"/>
    <w:rsid w:val="000C6FCD"/>
    <w:rsid w:val="000C790C"/>
    <w:rsid w:val="000D00CA"/>
    <w:rsid w:val="000D0819"/>
    <w:rsid w:val="000D212A"/>
    <w:rsid w:val="000D3198"/>
    <w:rsid w:val="000D340B"/>
    <w:rsid w:val="000D38AF"/>
    <w:rsid w:val="000D3EE6"/>
    <w:rsid w:val="000D51B6"/>
    <w:rsid w:val="000D59EB"/>
    <w:rsid w:val="000D670C"/>
    <w:rsid w:val="000D699F"/>
    <w:rsid w:val="000D6D3C"/>
    <w:rsid w:val="000D6F89"/>
    <w:rsid w:val="000D7175"/>
    <w:rsid w:val="000E06EB"/>
    <w:rsid w:val="000E08CC"/>
    <w:rsid w:val="000E1EE1"/>
    <w:rsid w:val="000E2F05"/>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D7A"/>
    <w:rsid w:val="000F7EFC"/>
    <w:rsid w:val="00100613"/>
    <w:rsid w:val="00100BEF"/>
    <w:rsid w:val="0010184D"/>
    <w:rsid w:val="00102AD7"/>
    <w:rsid w:val="00102E9F"/>
    <w:rsid w:val="00102ECA"/>
    <w:rsid w:val="00102FDE"/>
    <w:rsid w:val="00103013"/>
    <w:rsid w:val="00103A7C"/>
    <w:rsid w:val="001052A3"/>
    <w:rsid w:val="00105F5E"/>
    <w:rsid w:val="00106727"/>
    <w:rsid w:val="0010675F"/>
    <w:rsid w:val="00107132"/>
    <w:rsid w:val="0010720D"/>
    <w:rsid w:val="00107622"/>
    <w:rsid w:val="00107FA2"/>
    <w:rsid w:val="001112F2"/>
    <w:rsid w:val="00111347"/>
    <w:rsid w:val="001117E5"/>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4B"/>
    <w:rsid w:val="00115F6E"/>
    <w:rsid w:val="0011605C"/>
    <w:rsid w:val="00116CD0"/>
    <w:rsid w:val="00120164"/>
    <w:rsid w:val="00120330"/>
    <w:rsid w:val="0012134F"/>
    <w:rsid w:val="00121351"/>
    <w:rsid w:val="001217E9"/>
    <w:rsid w:val="00121DCA"/>
    <w:rsid w:val="00121ED6"/>
    <w:rsid w:val="001224D3"/>
    <w:rsid w:val="00122990"/>
    <w:rsid w:val="00122F55"/>
    <w:rsid w:val="00123789"/>
    <w:rsid w:val="00123CC7"/>
    <w:rsid w:val="00123E50"/>
    <w:rsid w:val="00123F32"/>
    <w:rsid w:val="00124E03"/>
    <w:rsid w:val="00124FD1"/>
    <w:rsid w:val="001253EB"/>
    <w:rsid w:val="00125F73"/>
    <w:rsid w:val="001263BC"/>
    <w:rsid w:val="00126BD4"/>
    <w:rsid w:val="00127135"/>
    <w:rsid w:val="00127AB6"/>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DCD"/>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4E9C"/>
    <w:rsid w:val="00145378"/>
    <w:rsid w:val="00146025"/>
    <w:rsid w:val="001461FF"/>
    <w:rsid w:val="001465DB"/>
    <w:rsid w:val="001469E5"/>
    <w:rsid w:val="00146C76"/>
    <w:rsid w:val="00146D6E"/>
    <w:rsid w:val="0014700C"/>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B99"/>
    <w:rsid w:val="00163D3D"/>
    <w:rsid w:val="001640A4"/>
    <w:rsid w:val="00164540"/>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8B8"/>
    <w:rsid w:val="00174B78"/>
    <w:rsid w:val="00174F4C"/>
    <w:rsid w:val="00175048"/>
    <w:rsid w:val="00177623"/>
    <w:rsid w:val="00177763"/>
    <w:rsid w:val="00177963"/>
    <w:rsid w:val="00177DFC"/>
    <w:rsid w:val="00177E89"/>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2192"/>
    <w:rsid w:val="0019274E"/>
    <w:rsid w:val="00192F89"/>
    <w:rsid w:val="0019457E"/>
    <w:rsid w:val="001953F5"/>
    <w:rsid w:val="001A0165"/>
    <w:rsid w:val="001A01F4"/>
    <w:rsid w:val="001A0570"/>
    <w:rsid w:val="001A07DA"/>
    <w:rsid w:val="001A0E82"/>
    <w:rsid w:val="001A14C6"/>
    <w:rsid w:val="001A175F"/>
    <w:rsid w:val="001A345B"/>
    <w:rsid w:val="001A36B2"/>
    <w:rsid w:val="001A4532"/>
    <w:rsid w:val="001A48F2"/>
    <w:rsid w:val="001A4975"/>
    <w:rsid w:val="001A4E8E"/>
    <w:rsid w:val="001A5EAB"/>
    <w:rsid w:val="001A676D"/>
    <w:rsid w:val="001A778C"/>
    <w:rsid w:val="001A78EE"/>
    <w:rsid w:val="001A7EBF"/>
    <w:rsid w:val="001B0364"/>
    <w:rsid w:val="001B0F1D"/>
    <w:rsid w:val="001B0F58"/>
    <w:rsid w:val="001B1D6A"/>
    <w:rsid w:val="001B1FE0"/>
    <w:rsid w:val="001B43AD"/>
    <w:rsid w:val="001B4518"/>
    <w:rsid w:val="001B5023"/>
    <w:rsid w:val="001B5084"/>
    <w:rsid w:val="001B5500"/>
    <w:rsid w:val="001B580A"/>
    <w:rsid w:val="001B5FEA"/>
    <w:rsid w:val="001B617C"/>
    <w:rsid w:val="001B63B0"/>
    <w:rsid w:val="001B64BB"/>
    <w:rsid w:val="001B6C85"/>
    <w:rsid w:val="001B6FB5"/>
    <w:rsid w:val="001B7499"/>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686"/>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182"/>
    <w:rsid w:val="001F6ECF"/>
    <w:rsid w:val="001F6EEA"/>
    <w:rsid w:val="001F799B"/>
    <w:rsid w:val="001F7BF2"/>
    <w:rsid w:val="00200C07"/>
    <w:rsid w:val="00200C93"/>
    <w:rsid w:val="00200F4C"/>
    <w:rsid w:val="00200FFF"/>
    <w:rsid w:val="00201B4E"/>
    <w:rsid w:val="00201B5E"/>
    <w:rsid w:val="00201EFB"/>
    <w:rsid w:val="002025F0"/>
    <w:rsid w:val="0020335D"/>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C14"/>
    <w:rsid w:val="00222D51"/>
    <w:rsid w:val="00222E14"/>
    <w:rsid w:val="00222F90"/>
    <w:rsid w:val="00222FC7"/>
    <w:rsid w:val="00223BD6"/>
    <w:rsid w:val="002246B7"/>
    <w:rsid w:val="0022527E"/>
    <w:rsid w:val="00225D8E"/>
    <w:rsid w:val="00226052"/>
    <w:rsid w:val="0022699A"/>
    <w:rsid w:val="00227205"/>
    <w:rsid w:val="00227238"/>
    <w:rsid w:val="00227541"/>
    <w:rsid w:val="00227910"/>
    <w:rsid w:val="00230BE4"/>
    <w:rsid w:val="00230FF4"/>
    <w:rsid w:val="00232770"/>
    <w:rsid w:val="0023277D"/>
    <w:rsid w:val="00232A63"/>
    <w:rsid w:val="00232B5B"/>
    <w:rsid w:val="0023326E"/>
    <w:rsid w:val="00233CA3"/>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43C1"/>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C66"/>
    <w:rsid w:val="00256B41"/>
    <w:rsid w:val="00257346"/>
    <w:rsid w:val="002574B0"/>
    <w:rsid w:val="002575EE"/>
    <w:rsid w:val="002603D6"/>
    <w:rsid w:val="002611AC"/>
    <w:rsid w:val="00261349"/>
    <w:rsid w:val="0026137A"/>
    <w:rsid w:val="0026190C"/>
    <w:rsid w:val="00261CE2"/>
    <w:rsid w:val="00261E30"/>
    <w:rsid w:val="00262262"/>
    <w:rsid w:val="00262945"/>
    <w:rsid w:val="00262B84"/>
    <w:rsid w:val="00262D09"/>
    <w:rsid w:val="00262F3B"/>
    <w:rsid w:val="002635EC"/>
    <w:rsid w:val="0026368E"/>
    <w:rsid w:val="00263BCD"/>
    <w:rsid w:val="00263F81"/>
    <w:rsid w:val="00264D13"/>
    <w:rsid w:val="00264F1D"/>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B7A"/>
    <w:rsid w:val="00280D61"/>
    <w:rsid w:val="002814B2"/>
    <w:rsid w:val="00281B37"/>
    <w:rsid w:val="00281F2E"/>
    <w:rsid w:val="00282E6F"/>
    <w:rsid w:val="00283A03"/>
    <w:rsid w:val="00283E46"/>
    <w:rsid w:val="00284FBD"/>
    <w:rsid w:val="002855AB"/>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D88"/>
    <w:rsid w:val="00293F81"/>
    <w:rsid w:val="00295A8C"/>
    <w:rsid w:val="002961D6"/>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6DE"/>
    <w:rsid w:val="002A78F3"/>
    <w:rsid w:val="002A7ECB"/>
    <w:rsid w:val="002B0DC9"/>
    <w:rsid w:val="002B1196"/>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096"/>
    <w:rsid w:val="002B64AA"/>
    <w:rsid w:val="002B6946"/>
    <w:rsid w:val="002B6E20"/>
    <w:rsid w:val="002B7449"/>
    <w:rsid w:val="002C04D5"/>
    <w:rsid w:val="002C0614"/>
    <w:rsid w:val="002C0BBE"/>
    <w:rsid w:val="002C2C26"/>
    <w:rsid w:val="002C3337"/>
    <w:rsid w:val="002C3681"/>
    <w:rsid w:val="002C3F83"/>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92C"/>
    <w:rsid w:val="002D5C78"/>
    <w:rsid w:val="002D6519"/>
    <w:rsid w:val="002D674B"/>
    <w:rsid w:val="002D7842"/>
    <w:rsid w:val="002D7EB8"/>
    <w:rsid w:val="002E08A6"/>
    <w:rsid w:val="002E0C26"/>
    <w:rsid w:val="002E0E9B"/>
    <w:rsid w:val="002E2A88"/>
    <w:rsid w:val="002E2CAC"/>
    <w:rsid w:val="002E3CEA"/>
    <w:rsid w:val="002E3E27"/>
    <w:rsid w:val="002E412E"/>
    <w:rsid w:val="002E4377"/>
    <w:rsid w:val="002E43A8"/>
    <w:rsid w:val="002E4600"/>
    <w:rsid w:val="002E550C"/>
    <w:rsid w:val="002E5B5E"/>
    <w:rsid w:val="002E6457"/>
    <w:rsid w:val="002E66F3"/>
    <w:rsid w:val="002E6711"/>
    <w:rsid w:val="002E695C"/>
    <w:rsid w:val="002E6BE7"/>
    <w:rsid w:val="002F03F8"/>
    <w:rsid w:val="002F089B"/>
    <w:rsid w:val="002F12D1"/>
    <w:rsid w:val="002F13BD"/>
    <w:rsid w:val="002F15AD"/>
    <w:rsid w:val="002F2200"/>
    <w:rsid w:val="002F2435"/>
    <w:rsid w:val="002F30EF"/>
    <w:rsid w:val="002F332F"/>
    <w:rsid w:val="002F367F"/>
    <w:rsid w:val="002F3837"/>
    <w:rsid w:val="002F3DD8"/>
    <w:rsid w:val="002F4C4C"/>
    <w:rsid w:val="002F5B54"/>
    <w:rsid w:val="002F5DCE"/>
    <w:rsid w:val="002F5F49"/>
    <w:rsid w:val="002F66F1"/>
    <w:rsid w:val="002F6F55"/>
    <w:rsid w:val="0030034E"/>
    <w:rsid w:val="00300C83"/>
    <w:rsid w:val="00300E87"/>
    <w:rsid w:val="003019E3"/>
    <w:rsid w:val="00301F3B"/>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0B8"/>
    <w:rsid w:val="0031477D"/>
    <w:rsid w:val="00315330"/>
    <w:rsid w:val="0031566F"/>
    <w:rsid w:val="00315A34"/>
    <w:rsid w:val="00315BF7"/>
    <w:rsid w:val="00316A29"/>
    <w:rsid w:val="0031783B"/>
    <w:rsid w:val="0031793B"/>
    <w:rsid w:val="00317DEF"/>
    <w:rsid w:val="00320D2F"/>
    <w:rsid w:val="00320E98"/>
    <w:rsid w:val="00321253"/>
    <w:rsid w:val="00321AE4"/>
    <w:rsid w:val="00321CEC"/>
    <w:rsid w:val="00322231"/>
    <w:rsid w:val="0032237C"/>
    <w:rsid w:val="0032334D"/>
    <w:rsid w:val="0032337D"/>
    <w:rsid w:val="00323517"/>
    <w:rsid w:val="00323A44"/>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715A"/>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172"/>
    <w:rsid w:val="00373CC0"/>
    <w:rsid w:val="0037485C"/>
    <w:rsid w:val="0037587D"/>
    <w:rsid w:val="00376370"/>
    <w:rsid w:val="003775FC"/>
    <w:rsid w:val="00380122"/>
    <w:rsid w:val="0038037A"/>
    <w:rsid w:val="00381090"/>
    <w:rsid w:val="00381A49"/>
    <w:rsid w:val="00381D7D"/>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18DD"/>
    <w:rsid w:val="003A217A"/>
    <w:rsid w:val="003A3F5C"/>
    <w:rsid w:val="003A45A2"/>
    <w:rsid w:val="003A4964"/>
    <w:rsid w:val="003A499E"/>
    <w:rsid w:val="003A5406"/>
    <w:rsid w:val="003A5CAA"/>
    <w:rsid w:val="003A5D7F"/>
    <w:rsid w:val="003A68A7"/>
    <w:rsid w:val="003A706A"/>
    <w:rsid w:val="003A758F"/>
    <w:rsid w:val="003A787D"/>
    <w:rsid w:val="003A7D04"/>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807"/>
    <w:rsid w:val="003C03EB"/>
    <w:rsid w:val="003C09FB"/>
    <w:rsid w:val="003C0EB6"/>
    <w:rsid w:val="003C18C8"/>
    <w:rsid w:val="003C18E0"/>
    <w:rsid w:val="003C26B5"/>
    <w:rsid w:val="003C3826"/>
    <w:rsid w:val="003C3940"/>
    <w:rsid w:val="003C4477"/>
    <w:rsid w:val="003C4764"/>
    <w:rsid w:val="003C5106"/>
    <w:rsid w:val="003C5B0B"/>
    <w:rsid w:val="003C5C43"/>
    <w:rsid w:val="003C5C98"/>
    <w:rsid w:val="003C5EF2"/>
    <w:rsid w:val="003C6CC0"/>
    <w:rsid w:val="003C7E30"/>
    <w:rsid w:val="003C7E99"/>
    <w:rsid w:val="003D0494"/>
    <w:rsid w:val="003D0DE8"/>
    <w:rsid w:val="003D1763"/>
    <w:rsid w:val="003D1B19"/>
    <w:rsid w:val="003D23CD"/>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434A"/>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5025"/>
    <w:rsid w:val="004151A2"/>
    <w:rsid w:val="00415436"/>
    <w:rsid w:val="004154F6"/>
    <w:rsid w:val="004159F0"/>
    <w:rsid w:val="00415FA5"/>
    <w:rsid w:val="00416408"/>
    <w:rsid w:val="00416772"/>
    <w:rsid w:val="00417750"/>
    <w:rsid w:val="00417ED4"/>
    <w:rsid w:val="00420A8C"/>
    <w:rsid w:val="0042214B"/>
    <w:rsid w:val="00422387"/>
    <w:rsid w:val="004229D9"/>
    <w:rsid w:val="0042321F"/>
    <w:rsid w:val="00423222"/>
    <w:rsid w:val="004232BF"/>
    <w:rsid w:val="004235BB"/>
    <w:rsid w:val="004239B4"/>
    <w:rsid w:val="00423E3B"/>
    <w:rsid w:val="00424358"/>
    <w:rsid w:val="0042497C"/>
    <w:rsid w:val="00424A53"/>
    <w:rsid w:val="00425039"/>
    <w:rsid w:val="00425BC1"/>
    <w:rsid w:val="004260F6"/>
    <w:rsid w:val="004265A7"/>
    <w:rsid w:val="00427254"/>
    <w:rsid w:val="00430B59"/>
    <w:rsid w:val="00431E0C"/>
    <w:rsid w:val="00431FFC"/>
    <w:rsid w:val="00433018"/>
    <w:rsid w:val="004331CF"/>
    <w:rsid w:val="00433326"/>
    <w:rsid w:val="00433436"/>
    <w:rsid w:val="004334AE"/>
    <w:rsid w:val="00433798"/>
    <w:rsid w:val="004341F5"/>
    <w:rsid w:val="00434317"/>
    <w:rsid w:val="00434411"/>
    <w:rsid w:val="004346A8"/>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6D1"/>
    <w:rsid w:val="00453C7B"/>
    <w:rsid w:val="00454A77"/>
    <w:rsid w:val="00454D19"/>
    <w:rsid w:val="004564B1"/>
    <w:rsid w:val="004569C8"/>
    <w:rsid w:val="004571D1"/>
    <w:rsid w:val="004573A6"/>
    <w:rsid w:val="00457510"/>
    <w:rsid w:val="004575E7"/>
    <w:rsid w:val="00457A15"/>
    <w:rsid w:val="00457A47"/>
    <w:rsid w:val="00457C52"/>
    <w:rsid w:val="00460135"/>
    <w:rsid w:val="004603A7"/>
    <w:rsid w:val="00461678"/>
    <w:rsid w:val="00461AFE"/>
    <w:rsid w:val="00462110"/>
    <w:rsid w:val="00462858"/>
    <w:rsid w:val="00462FD6"/>
    <w:rsid w:val="004630E1"/>
    <w:rsid w:val="0046498A"/>
    <w:rsid w:val="00465688"/>
    <w:rsid w:val="00465842"/>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51"/>
    <w:rsid w:val="004756C7"/>
    <w:rsid w:val="00475B3D"/>
    <w:rsid w:val="004760A1"/>
    <w:rsid w:val="0047615E"/>
    <w:rsid w:val="004767F5"/>
    <w:rsid w:val="00477419"/>
    <w:rsid w:val="00477755"/>
    <w:rsid w:val="004777FB"/>
    <w:rsid w:val="004778E1"/>
    <w:rsid w:val="00477BFC"/>
    <w:rsid w:val="00477CB2"/>
    <w:rsid w:val="0048040C"/>
    <w:rsid w:val="00480A14"/>
    <w:rsid w:val="00480C9B"/>
    <w:rsid w:val="00480DC5"/>
    <w:rsid w:val="00481ECC"/>
    <w:rsid w:val="00481FE8"/>
    <w:rsid w:val="0048299F"/>
    <w:rsid w:val="00482D6B"/>
    <w:rsid w:val="00482DC5"/>
    <w:rsid w:val="004832EB"/>
    <w:rsid w:val="004837CD"/>
    <w:rsid w:val="00484231"/>
    <w:rsid w:val="00484C81"/>
    <w:rsid w:val="00485994"/>
    <w:rsid w:val="00485A02"/>
    <w:rsid w:val="004868FA"/>
    <w:rsid w:val="00487397"/>
    <w:rsid w:val="00487451"/>
    <w:rsid w:val="00487675"/>
    <w:rsid w:val="0048783E"/>
    <w:rsid w:val="004878D4"/>
    <w:rsid w:val="004878E7"/>
    <w:rsid w:val="00487C40"/>
    <w:rsid w:val="00487D84"/>
    <w:rsid w:val="00487EFD"/>
    <w:rsid w:val="00487F16"/>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6CD8"/>
    <w:rsid w:val="004974DA"/>
    <w:rsid w:val="004977B4"/>
    <w:rsid w:val="00497A6B"/>
    <w:rsid w:val="00497B5F"/>
    <w:rsid w:val="004A05F8"/>
    <w:rsid w:val="004A0B8E"/>
    <w:rsid w:val="004A1152"/>
    <w:rsid w:val="004A25C3"/>
    <w:rsid w:val="004A26A4"/>
    <w:rsid w:val="004A2867"/>
    <w:rsid w:val="004A2F43"/>
    <w:rsid w:val="004A304E"/>
    <w:rsid w:val="004A3E4D"/>
    <w:rsid w:val="004A3EB0"/>
    <w:rsid w:val="004A420E"/>
    <w:rsid w:val="004A7483"/>
    <w:rsid w:val="004B0F07"/>
    <w:rsid w:val="004B0F6F"/>
    <w:rsid w:val="004B1074"/>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393C"/>
    <w:rsid w:val="004C49F1"/>
    <w:rsid w:val="004C4AD7"/>
    <w:rsid w:val="004C5058"/>
    <w:rsid w:val="004C55CF"/>
    <w:rsid w:val="004C5BEE"/>
    <w:rsid w:val="004C67C6"/>
    <w:rsid w:val="004C70FB"/>
    <w:rsid w:val="004C7C20"/>
    <w:rsid w:val="004D0322"/>
    <w:rsid w:val="004D0B1F"/>
    <w:rsid w:val="004D15FB"/>
    <w:rsid w:val="004D271F"/>
    <w:rsid w:val="004D28D6"/>
    <w:rsid w:val="004D29CB"/>
    <w:rsid w:val="004D2E26"/>
    <w:rsid w:val="004D3AAA"/>
    <w:rsid w:val="004D3D56"/>
    <w:rsid w:val="004D4B20"/>
    <w:rsid w:val="004D5688"/>
    <w:rsid w:val="004D57BD"/>
    <w:rsid w:val="004D57CC"/>
    <w:rsid w:val="004D59DF"/>
    <w:rsid w:val="004D5F6A"/>
    <w:rsid w:val="004D60D2"/>
    <w:rsid w:val="004D6172"/>
    <w:rsid w:val="004D64B0"/>
    <w:rsid w:val="004D69AE"/>
    <w:rsid w:val="004D7BAB"/>
    <w:rsid w:val="004E0D3D"/>
    <w:rsid w:val="004E1C63"/>
    <w:rsid w:val="004E1F9A"/>
    <w:rsid w:val="004E2D2C"/>
    <w:rsid w:val="004E2FD4"/>
    <w:rsid w:val="004E3205"/>
    <w:rsid w:val="004E32A1"/>
    <w:rsid w:val="004E3332"/>
    <w:rsid w:val="004E3FAD"/>
    <w:rsid w:val="004E41DB"/>
    <w:rsid w:val="004E4267"/>
    <w:rsid w:val="004E44FA"/>
    <w:rsid w:val="004E4B17"/>
    <w:rsid w:val="004E5A6F"/>
    <w:rsid w:val="004E5D48"/>
    <w:rsid w:val="004E623A"/>
    <w:rsid w:val="004E65CE"/>
    <w:rsid w:val="004E67E7"/>
    <w:rsid w:val="004E67FB"/>
    <w:rsid w:val="004E68FE"/>
    <w:rsid w:val="004E718D"/>
    <w:rsid w:val="004E7725"/>
    <w:rsid w:val="004F017F"/>
    <w:rsid w:val="004F0A74"/>
    <w:rsid w:val="004F111F"/>
    <w:rsid w:val="004F268E"/>
    <w:rsid w:val="004F2778"/>
    <w:rsid w:val="004F2EBF"/>
    <w:rsid w:val="004F31E3"/>
    <w:rsid w:val="004F3682"/>
    <w:rsid w:val="004F37C1"/>
    <w:rsid w:val="004F54A0"/>
    <w:rsid w:val="004F5B17"/>
    <w:rsid w:val="004F698C"/>
    <w:rsid w:val="004F7CA3"/>
    <w:rsid w:val="004F7CF1"/>
    <w:rsid w:val="00500275"/>
    <w:rsid w:val="00500D03"/>
    <w:rsid w:val="00500D65"/>
    <w:rsid w:val="00501546"/>
    <w:rsid w:val="00501BD5"/>
    <w:rsid w:val="005020BB"/>
    <w:rsid w:val="005021D8"/>
    <w:rsid w:val="005026CD"/>
    <w:rsid w:val="005039F1"/>
    <w:rsid w:val="00503C79"/>
    <w:rsid w:val="00503EB8"/>
    <w:rsid w:val="00504259"/>
    <w:rsid w:val="00504E4B"/>
    <w:rsid w:val="00504ECF"/>
    <w:rsid w:val="00505A0A"/>
    <w:rsid w:val="00506920"/>
    <w:rsid w:val="00506C92"/>
    <w:rsid w:val="00506D00"/>
    <w:rsid w:val="005071E6"/>
    <w:rsid w:val="00507338"/>
    <w:rsid w:val="00507829"/>
    <w:rsid w:val="00510785"/>
    <w:rsid w:val="00511402"/>
    <w:rsid w:val="00511B24"/>
    <w:rsid w:val="0051222D"/>
    <w:rsid w:val="00512802"/>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1765E"/>
    <w:rsid w:val="005207AE"/>
    <w:rsid w:val="00520CCB"/>
    <w:rsid w:val="00520DB4"/>
    <w:rsid w:val="00521433"/>
    <w:rsid w:val="0052186B"/>
    <w:rsid w:val="0052274D"/>
    <w:rsid w:val="00522CC9"/>
    <w:rsid w:val="00523896"/>
    <w:rsid w:val="00524106"/>
    <w:rsid w:val="005247C9"/>
    <w:rsid w:val="00525086"/>
    <w:rsid w:val="00525093"/>
    <w:rsid w:val="0052544D"/>
    <w:rsid w:val="0052562F"/>
    <w:rsid w:val="00525850"/>
    <w:rsid w:val="005262CD"/>
    <w:rsid w:val="00527B93"/>
    <w:rsid w:val="00527C94"/>
    <w:rsid w:val="00527E27"/>
    <w:rsid w:val="00527F64"/>
    <w:rsid w:val="005304E9"/>
    <w:rsid w:val="00530760"/>
    <w:rsid w:val="00530FCE"/>
    <w:rsid w:val="00531AF2"/>
    <w:rsid w:val="00531FDD"/>
    <w:rsid w:val="005323BB"/>
    <w:rsid w:val="005326EF"/>
    <w:rsid w:val="00533102"/>
    <w:rsid w:val="00533CB6"/>
    <w:rsid w:val="005351CA"/>
    <w:rsid w:val="00535D2A"/>
    <w:rsid w:val="00536256"/>
    <w:rsid w:val="00536710"/>
    <w:rsid w:val="00536CF7"/>
    <w:rsid w:val="00536FDA"/>
    <w:rsid w:val="005376BC"/>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F01"/>
    <w:rsid w:val="00557310"/>
    <w:rsid w:val="00560662"/>
    <w:rsid w:val="00560702"/>
    <w:rsid w:val="00561302"/>
    <w:rsid w:val="005616ED"/>
    <w:rsid w:val="00562990"/>
    <w:rsid w:val="00562BBD"/>
    <w:rsid w:val="00562F09"/>
    <w:rsid w:val="00563197"/>
    <w:rsid w:val="005631E5"/>
    <w:rsid w:val="0056403A"/>
    <w:rsid w:val="00564775"/>
    <w:rsid w:val="0056602E"/>
    <w:rsid w:val="00566191"/>
    <w:rsid w:val="00566702"/>
    <w:rsid w:val="005674B7"/>
    <w:rsid w:val="00570FD7"/>
    <w:rsid w:val="005716E8"/>
    <w:rsid w:val="0057183E"/>
    <w:rsid w:val="005720A5"/>
    <w:rsid w:val="00572164"/>
    <w:rsid w:val="00572E1C"/>
    <w:rsid w:val="005738C6"/>
    <w:rsid w:val="00573EF5"/>
    <w:rsid w:val="00573F47"/>
    <w:rsid w:val="00573FE9"/>
    <w:rsid w:val="0057403D"/>
    <w:rsid w:val="00574488"/>
    <w:rsid w:val="005754F2"/>
    <w:rsid w:val="00575624"/>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3704"/>
    <w:rsid w:val="005945B7"/>
    <w:rsid w:val="00594947"/>
    <w:rsid w:val="005949BD"/>
    <w:rsid w:val="00595365"/>
    <w:rsid w:val="00595BF4"/>
    <w:rsid w:val="00595E65"/>
    <w:rsid w:val="005963C4"/>
    <w:rsid w:val="00596FA0"/>
    <w:rsid w:val="00597C82"/>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A7500"/>
    <w:rsid w:val="005B067C"/>
    <w:rsid w:val="005B0DF1"/>
    <w:rsid w:val="005B12BE"/>
    <w:rsid w:val="005B28F0"/>
    <w:rsid w:val="005B338C"/>
    <w:rsid w:val="005B3F64"/>
    <w:rsid w:val="005B45B9"/>
    <w:rsid w:val="005B47CE"/>
    <w:rsid w:val="005B5013"/>
    <w:rsid w:val="005B5540"/>
    <w:rsid w:val="005B5D86"/>
    <w:rsid w:val="005B6500"/>
    <w:rsid w:val="005B75EB"/>
    <w:rsid w:val="005B7C25"/>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0916"/>
    <w:rsid w:val="005D1BD9"/>
    <w:rsid w:val="005D22ED"/>
    <w:rsid w:val="005D2626"/>
    <w:rsid w:val="005D2AC9"/>
    <w:rsid w:val="005D2E78"/>
    <w:rsid w:val="005D3509"/>
    <w:rsid w:val="005D3DFB"/>
    <w:rsid w:val="005D3F10"/>
    <w:rsid w:val="005D4AF1"/>
    <w:rsid w:val="005D5196"/>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4E9F"/>
    <w:rsid w:val="005E50CD"/>
    <w:rsid w:val="005E53D1"/>
    <w:rsid w:val="005E56AD"/>
    <w:rsid w:val="005E57CF"/>
    <w:rsid w:val="005E6980"/>
    <w:rsid w:val="005E7107"/>
    <w:rsid w:val="005F0A12"/>
    <w:rsid w:val="005F17E8"/>
    <w:rsid w:val="005F190D"/>
    <w:rsid w:val="005F231F"/>
    <w:rsid w:val="005F2842"/>
    <w:rsid w:val="005F35ED"/>
    <w:rsid w:val="005F3C44"/>
    <w:rsid w:val="005F3F14"/>
    <w:rsid w:val="005F4497"/>
    <w:rsid w:val="005F4BBA"/>
    <w:rsid w:val="005F4F11"/>
    <w:rsid w:val="005F54AB"/>
    <w:rsid w:val="005F58EA"/>
    <w:rsid w:val="005F5E51"/>
    <w:rsid w:val="005F6995"/>
    <w:rsid w:val="005F6B4E"/>
    <w:rsid w:val="005F776B"/>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3FC4"/>
    <w:rsid w:val="006141AC"/>
    <w:rsid w:val="0061438E"/>
    <w:rsid w:val="00615168"/>
    <w:rsid w:val="006151BE"/>
    <w:rsid w:val="00615DD3"/>
    <w:rsid w:val="00616074"/>
    <w:rsid w:val="00616126"/>
    <w:rsid w:val="006167CA"/>
    <w:rsid w:val="006167E6"/>
    <w:rsid w:val="00620542"/>
    <w:rsid w:val="0062268F"/>
    <w:rsid w:val="00622FF6"/>
    <w:rsid w:val="006231D9"/>
    <w:rsid w:val="006240A3"/>
    <w:rsid w:val="00624A29"/>
    <w:rsid w:val="00625164"/>
    <w:rsid w:val="006259B6"/>
    <w:rsid w:val="00626260"/>
    <w:rsid w:val="00626A62"/>
    <w:rsid w:val="00627E90"/>
    <w:rsid w:val="006306EF"/>
    <w:rsid w:val="00631434"/>
    <w:rsid w:val="006318BB"/>
    <w:rsid w:val="0063192C"/>
    <w:rsid w:val="0063195F"/>
    <w:rsid w:val="00632909"/>
    <w:rsid w:val="00632BFE"/>
    <w:rsid w:val="0063318C"/>
    <w:rsid w:val="006349CC"/>
    <w:rsid w:val="006360A2"/>
    <w:rsid w:val="00636524"/>
    <w:rsid w:val="0063654A"/>
    <w:rsid w:val="006367E2"/>
    <w:rsid w:val="006368FB"/>
    <w:rsid w:val="00636917"/>
    <w:rsid w:val="00637389"/>
    <w:rsid w:val="0063795F"/>
    <w:rsid w:val="006379AE"/>
    <w:rsid w:val="00640430"/>
    <w:rsid w:val="00640488"/>
    <w:rsid w:val="006408C1"/>
    <w:rsid w:val="006408FB"/>
    <w:rsid w:val="00640A26"/>
    <w:rsid w:val="00640C50"/>
    <w:rsid w:val="00640E62"/>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2C5D"/>
    <w:rsid w:val="0065381A"/>
    <w:rsid w:val="00655248"/>
    <w:rsid w:val="00655369"/>
    <w:rsid w:val="0065564B"/>
    <w:rsid w:val="00655CCE"/>
    <w:rsid w:val="00656474"/>
    <w:rsid w:val="00656A0B"/>
    <w:rsid w:val="00656D85"/>
    <w:rsid w:val="00656F6F"/>
    <w:rsid w:val="006574B2"/>
    <w:rsid w:val="00657C85"/>
    <w:rsid w:val="00657D44"/>
    <w:rsid w:val="0066033E"/>
    <w:rsid w:val="0066040B"/>
    <w:rsid w:val="00661407"/>
    <w:rsid w:val="00661534"/>
    <w:rsid w:val="00661647"/>
    <w:rsid w:val="00661F78"/>
    <w:rsid w:val="00662B50"/>
    <w:rsid w:val="0066344D"/>
    <w:rsid w:val="006636C3"/>
    <w:rsid w:val="00664B47"/>
    <w:rsid w:val="0066513B"/>
    <w:rsid w:val="00665BC3"/>
    <w:rsid w:val="00666498"/>
    <w:rsid w:val="006668EF"/>
    <w:rsid w:val="00667B07"/>
    <w:rsid w:val="0067011E"/>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9BF"/>
    <w:rsid w:val="00680BB2"/>
    <w:rsid w:val="00681752"/>
    <w:rsid w:val="00682D51"/>
    <w:rsid w:val="0068304B"/>
    <w:rsid w:val="00684307"/>
    <w:rsid w:val="00684F39"/>
    <w:rsid w:val="006867E6"/>
    <w:rsid w:val="00686C27"/>
    <w:rsid w:val="00686DC8"/>
    <w:rsid w:val="00686E74"/>
    <w:rsid w:val="0069136B"/>
    <w:rsid w:val="006915F2"/>
    <w:rsid w:val="006917DA"/>
    <w:rsid w:val="00691A31"/>
    <w:rsid w:val="00691AFE"/>
    <w:rsid w:val="00691E36"/>
    <w:rsid w:val="006923C2"/>
    <w:rsid w:val="0069260D"/>
    <w:rsid w:val="006927A8"/>
    <w:rsid w:val="00692A98"/>
    <w:rsid w:val="0069337A"/>
    <w:rsid w:val="00693531"/>
    <w:rsid w:val="00693E90"/>
    <w:rsid w:val="00694010"/>
    <w:rsid w:val="006940AA"/>
    <w:rsid w:val="00694A47"/>
    <w:rsid w:val="00694AC6"/>
    <w:rsid w:val="00694CB9"/>
    <w:rsid w:val="00695712"/>
    <w:rsid w:val="006957D8"/>
    <w:rsid w:val="00695C40"/>
    <w:rsid w:val="00695E21"/>
    <w:rsid w:val="0069650F"/>
    <w:rsid w:val="00696BB1"/>
    <w:rsid w:val="00696C73"/>
    <w:rsid w:val="00696DE0"/>
    <w:rsid w:val="006975A9"/>
    <w:rsid w:val="006A0EE1"/>
    <w:rsid w:val="006A2EEF"/>
    <w:rsid w:val="006A3297"/>
    <w:rsid w:val="006A4782"/>
    <w:rsid w:val="006A5BDB"/>
    <w:rsid w:val="006A62C9"/>
    <w:rsid w:val="006A6BD3"/>
    <w:rsid w:val="006A78F0"/>
    <w:rsid w:val="006B00FA"/>
    <w:rsid w:val="006B012D"/>
    <w:rsid w:val="006B082C"/>
    <w:rsid w:val="006B099B"/>
    <w:rsid w:val="006B0B8A"/>
    <w:rsid w:val="006B1908"/>
    <w:rsid w:val="006B1BD1"/>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D58"/>
    <w:rsid w:val="006C0D98"/>
    <w:rsid w:val="006C0E1C"/>
    <w:rsid w:val="006C1112"/>
    <w:rsid w:val="006C1D99"/>
    <w:rsid w:val="006C24F8"/>
    <w:rsid w:val="006C2506"/>
    <w:rsid w:val="006C3A56"/>
    <w:rsid w:val="006C3E4A"/>
    <w:rsid w:val="006C3E4B"/>
    <w:rsid w:val="006C42C9"/>
    <w:rsid w:val="006C4872"/>
    <w:rsid w:val="006C4D29"/>
    <w:rsid w:val="006C4F00"/>
    <w:rsid w:val="006C57AD"/>
    <w:rsid w:val="006C5C28"/>
    <w:rsid w:val="006C6532"/>
    <w:rsid w:val="006C6E9F"/>
    <w:rsid w:val="006D0E00"/>
    <w:rsid w:val="006D17C4"/>
    <w:rsid w:val="006D1B4E"/>
    <w:rsid w:val="006D1C41"/>
    <w:rsid w:val="006D244F"/>
    <w:rsid w:val="006D2915"/>
    <w:rsid w:val="006D2E3A"/>
    <w:rsid w:val="006D303C"/>
    <w:rsid w:val="006D4020"/>
    <w:rsid w:val="006D438B"/>
    <w:rsid w:val="006D43AE"/>
    <w:rsid w:val="006D47DE"/>
    <w:rsid w:val="006D4C58"/>
    <w:rsid w:val="006D4C78"/>
    <w:rsid w:val="006D50C3"/>
    <w:rsid w:val="006D53C8"/>
    <w:rsid w:val="006D549D"/>
    <w:rsid w:val="006D562D"/>
    <w:rsid w:val="006D5BCE"/>
    <w:rsid w:val="006D6407"/>
    <w:rsid w:val="006D6760"/>
    <w:rsid w:val="006D6EA5"/>
    <w:rsid w:val="006D7C80"/>
    <w:rsid w:val="006D7C85"/>
    <w:rsid w:val="006E029D"/>
    <w:rsid w:val="006E0DE4"/>
    <w:rsid w:val="006E128A"/>
    <w:rsid w:val="006E17FA"/>
    <w:rsid w:val="006E18B6"/>
    <w:rsid w:val="006E18C4"/>
    <w:rsid w:val="006E1D89"/>
    <w:rsid w:val="006E1E7D"/>
    <w:rsid w:val="006E24DB"/>
    <w:rsid w:val="006E2692"/>
    <w:rsid w:val="006E2A90"/>
    <w:rsid w:val="006E2CE2"/>
    <w:rsid w:val="006E3443"/>
    <w:rsid w:val="006E3656"/>
    <w:rsid w:val="006E3899"/>
    <w:rsid w:val="006E3C23"/>
    <w:rsid w:val="006E3F67"/>
    <w:rsid w:val="006E46B0"/>
    <w:rsid w:val="006E4CD1"/>
    <w:rsid w:val="006E56AA"/>
    <w:rsid w:val="006E582F"/>
    <w:rsid w:val="006E6216"/>
    <w:rsid w:val="006E6941"/>
    <w:rsid w:val="006E6B0E"/>
    <w:rsid w:val="006E7374"/>
    <w:rsid w:val="006E7CB2"/>
    <w:rsid w:val="006F0A77"/>
    <w:rsid w:val="006F0ADB"/>
    <w:rsid w:val="006F0C5C"/>
    <w:rsid w:val="006F0E7B"/>
    <w:rsid w:val="006F253B"/>
    <w:rsid w:val="006F2D4B"/>
    <w:rsid w:val="006F3136"/>
    <w:rsid w:val="006F34B8"/>
    <w:rsid w:val="006F3A08"/>
    <w:rsid w:val="006F4F18"/>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3F4A"/>
    <w:rsid w:val="007040C2"/>
    <w:rsid w:val="007048C3"/>
    <w:rsid w:val="00705B50"/>
    <w:rsid w:val="00705E2B"/>
    <w:rsid w:val="00706607"/>
    <w:rsid w:val="00706B20"/>
    <w:rsid w:val="00706E14"/>
    <w:rsid w:val="00706F24"/>
    <w:rsid w:val="00707967"/>
    <w:rsid w:val="00707F09"/>
    <w:rsid w:val="0071001E"/>
    <w:rsid w:val="00711051"/>
    <w:rsid w:val="00711527"/>
    <w:rsid w:val="007117E3"/>
    <w:rsid w:val="00711803"/>
    <w:rsid w:val="007118F8"/>
    <w:rsid w:val="0071190B"/>
    <w:rsid w:val="007123A0"/>
    <w:rsid w:val="007134B1"/>
    <w:rsid w:val="00713C70"/>
    <w:rsid w:val="00714050"/>
    <w:rsid w:val="00714434"/>
    <w:rsid w:val="007148F1"/>
    <w:rsid w:val="00714A2A"/>
    <w:rsid w:val="00714D7D"/>
    <w:rsid w:val="00715A72"/>
    <w:rsid w:val="00715AAB"/>
    <w:rsid w:val="007163A8"/>
    <w:rsid w:val="00716BEA"/>
    <w:rsid w:val="00716D55"/>
    <w:rsid w:val="007171E0"/>
    <w:rsid w:val="00717278"/>
    <w:rsid w:val="00717473"/>
    <w:rsid w:val="00717B70"/>
    <w:rsid w:val="007203DA"/>
    <w:rsid w:val="0072057C"/>
    <w:rsid w:val="007209A4"/>
    <w:rsid w:val="0072101E"/>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6112"/>
    <w:rsid w:val="00746551"/>
    <w:rsid w:val="00746AC3"/>
    <w:rsid w:val="00746C91"/>
    <w:rsid w:val="00746F55"/>
    <w:rsid w:val="007474B0"/>
    <w:rsid w:val="007505E2"/>
    <w:rsid w:val="00750891"/>
    <w:rsid w:val="0075095D"/>
    <w:rsid w:val="00750D1E"/>
    <w:rsid w:val="00751389"/>
    <w:rsid w:val="0075142E"/>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1915"/>
    <w:rsid w:val="0077205B"/>
    <w:rsid w:val="007720A7"/>
    <w:rsid w:val="0077235D"/>
    <w:rsid w:val="00772816"/>
    <w:rsid w:val="00773132"/>
    <w:rsid w:val="007736F7"/>
    <w:rsid w:val="00773734"/>
    <w:rsid w:val="00774A61"/>
    <w:rsid w:val="00774D2C"/>
    <w:rsid w:val="0077536A"/>
    <w:rsid w:val="00775ACF"/>
    <w:rsid w:val="00775ADA"/>
    <w:rsid w:val="00775D7D"/>
    <w:rsid w:val="007768D0"/>
    <w:rsid w:val="00776C7D"/>
    <w:rsid w:val="00777D05"/>
    <w:rsid w:val="00777D4A"/>
    <w:rsid w:val="007802D7"/>
    <w:rsid w:val="0078030F"/>
    <w:rsid w:val="00780586"/>
    <w:rsid w:val="00780777"/>
    <w:rsid w:val="00780E70"/>
    <w:rsid w:val="0078114A"/>
    <w:rsid w:val="00781881"/>
    <w:rsid w:val="00781E42"/>
    <w:rsid w:val="00782357"/>
    <w:rsid w:val="00782F27"/>
    <w:rsid w:val="0078362A"/>
    <w:rsid w:val="007840B4"/>
    <w:rsid w:val="00784A81"/>
    <w:rsid w:val="00785B7F"/>
    <w:rsid w:val="00785CAF"/>
    <w:rsid w:val="0078605E"/>
    <w:rsid w:val="00786639"/>
    <w:rsid w:val="00786A61"/>
    <w:rsid w:val="00786B93"/>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63AF"/>
    <w:rsid w:val="00797183"/>
    <w:rsid w:val="00797B02"/>
    <w:rsid w:val="00797D43"/>
    <w:rsid w:val="00797E59"/>
    <w:rsid w:val="00797F44"/>
    <w:rsid w:val="007A0D48"/>
    <w:rsid w:val="007A0E0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66A5"/>
    <w:rsid w:val="007A7124"/>
    <w:rsid w:val="007A7B72"/>
    <w:rsid w:val="007B095F"/>
    <w:rsid w:val="007B0F3F"/>
    <w:rsid w:val="007B21EF"/>
    <w:rsid w:val="007B2890"/>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6B3"/>
    <w:rsid w:val="007D499F"/>
    <w:rsid w:val="007D4C5F"/>
    <w:rsid w:val="007D5919"/>
    <w:rsid w:val="007D5939"/>
    <w:rsid w:val="007D64F4"/>
    <w:rsid w:val="007D6FA2"/>
    <w:rsid w:val="007D729D"/>
    <w:rsid w:val="007E0316"/>
    <w:rsid w:val="007E1085"/>
    <w:rsid w:val="007E12C9"/>
    <w:rsid w:val="007E1790"/>
    <w:rsid w:val="007E17D4"/>
    <w:rsid w:val="007E187E"/>
    <w:rsid w:val="007E18F3"/>
    <w:rsid w:val="007E2320"/>
    <w:rsid w:val="007E25B5"/>
    <w:rsid w:val="007E25E9"/>
    <w:rsid w:val="007E2AD6"/>
    <w:rsid w:val="007E2F80"/>
    <w:rsid w:val="007E3ECD"/>
    <w:rsid w:val="007E4277"/>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2D63"/>
    <w:rsid w:val="007F34CF"/>
    <w:rsid w:val="007F34FF"/>
    <w:rsid w:val="007F38C3"/>
    <w:rsid w:val="007F3AE8"/>
    <w:rsid w:val="007F3F31"/>
    <w:rsid w:val="007F4DD7"/>
    <w:rsid w:val="007F51C8"/>
    <w:rsid w:val="007F5EDA"/>
    <w:rsid w:val="007F6230"/>
    <w:rsid w:val="007F6D8C"/>
    <w:rsid w:val="007F6FAC"/>
    <w:rsid w:val="0080133E"/>
    <w:rsid w:val="00802109"/>
    <w:rsid w:val="00802E17"/>
    <w:rsid w:val="00802E49"/>
    <w:rsid w:val="00803164"/>
    <w:rsid w:val="00803E6D"/>
    <w:rsid w:val="0080564D"/>
    <w:rsid w:val="008059A0"/>
    <w:rsid w:val="008060C2"/>
    <w:rsid w:val="00806234"/>
    <w:rsid w:val="00806D86"/>
    <w:rsid w:val="00806E9C"/>
    <w:rsid w:val="0080758B"/>
    <w:rsid w:val="00807E1F"/>
    <w:rsid w:val="00810E48"/>
    <w:rsid w:val="00810F5D"/>
    <w:rsid w:val="008111A1"/>
    <w:rsid w:val="0081131C"/>
    <w:rsid w:val="00811E3D"/>
    <w:rsid w:val="008123D8"/>
    <w:rsid w:val="00812F75"/>
    <w:rsid w:val="0081338B"/>
    <w:rsid w:val="00813BBA"/>
    <w:rsid w:val="00813C17"/>
    <w:rsid w:val="0081404B"/>
    <w:rsid w:val="0081455B"/>
    <w:rsid w:val="008145A7"/>
    <w:rsid w:val="008149E7"/>
    <w:rsid w:val="008149FB"/>
    <w:rsid w:val="00814B0A"/>
    <w:rsid w:val="0081514D"/>
    <w:rsid w:val="008167DC"/>
    <w:rsid w:val="00816EB2"/>
    <w:rsid w:val="00816F08"/>
    <w:rsid w:val="00817795"/>
    <w:rsid w:val="00817CFB"/>
    <w:rsid w:val="00817D41"/>
    <w:rsid w:val="008207DF"/>
    <w:rsid w:val="008213F7"/>
    <w:rsid w:val="0082244A"/>
    <w:rsid w:val="00822642"/>
    <w:rsid w:val="00822F4F"/>
    <w:rsid w:val="00824543"/>
    <w:rsid w:val="00824839"/>
    <w:rsid w:val="00825759"/>
    <w:rsid w:val="00825820"/>
    <w:rsid w:val="00826133"/>
    <w:rsid w:val="00826197"/>
    <w:rsid w:val="008266D9"/>
    <w:rsid w:val="008268A5"/>
    <w:rsid w:val="00826A06"/>
    <w:rsid w:val="00830000"/>
    <w:rsid w:val="00830E32"/>
    <w:rsid w:val="00831268"/>
    <w:rsid w:val="008313BF"/>
    <w:rsid w:val="008313FC"/>
    <w:rsid w:val="008314CF"/>
    <w:rsid w:val="008314E0"/>
    <w:rsid w:val="00831B8C"/>
    <w:rsid w:val="008322D8"/>
    <w:rsid w:val="00833766"/>
    <w:rsid w:val="00835C98"/>
    <w:rsid w:val="00836391"/>
    <w:rsid w:val="00836E9B"/>
    <w:rsid w:val="00837DA8"/>
    <w:rsid w:val="008404E2"/>
    <w:rsid w:val="00841148"/>
    <w:rsid w:val="008416A7"/>
    <w:rsid w:val="008422D6"/>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BC3"/>
    <w:rsid w:val="00852E67"/>
    <w:rsid w:val="00853541"/>
    <w:rsid w:val="008537C0"/>
    <w:rsid w:val="0085484E"/>
    <w:rsid w:val="008548D1"/>
    <w:rsid w:val="00854947"/>
    <w:rsid w:val="008557F2"/>
    <w:rsid w:val="0085627F"/>
    <w:rsid w:val="008568CE"/>
    <w:rsid w:val="008573DB"/>
    <w:rsid w:val="0085743E"/>
    <w:rsid w:val="00857AAF"/>
    <w:rsid w:val="00857B91"/>
    <w:rsid w:val="00860163"/>
    <w:rsid w:val="00860A60"/>
    <w:rsid w:val="00860F3A"/>
    <w:rsid w:val="00861065"/>
    <w:rsid w:val="0086259B"/>
    <w:rsid w:val="0086283D"/>
    <w:rsid w:val="008629FE"/>
    <w:rsid w:val="0086320F"/>
    <w:rsid w:val="008638BB"/>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4D1"/>
    <w:rsid w:val="00877834"/>
    <w:rsid w:val="00877A20"/>
    <w:rsid w:val="00880562"/>
    <w:rsid w:val="00880A3D"/>
    <w:rsid w:val="00880BF4"/>
    <w:rsid w:val="00880F36"/>
    <w:rsid w:val="0088125C"/>
    <w:rsid w:val="0088130A"/>
    <w:rsid w:val="00881510"/>
    <w:rsid w:val="00881929"/>
    <w:rsid w:val="00881954"/>
    <w:rsid w:val="00882B89"/>
    <w:rsid w:val="00883094"/>
    <w:rsid w:val="00883222"/>
    <w:rsid w:val="00883D92"/>
    <w:rsid w:val="00885025"/>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994"/>
    <w:rsid w:val="00893E54"/>
    <w:rsid w:val="00894064"/>
    <w:rsid w:val="008943A0"/>
    <w:rsid w:val="00894F9D"/>
    <w:rsid w:val="0089517D"/>
    <w:rsid w:val="008954E5"/>
    <w:rsid w:val="00895CB2"/>
    <w:rsid w:val="0089688B"/>
    <w:rsid w:val="008A0A65"/>
    <w:rsid w:val="008A0D5D"/>
    <w:rsid w:val="008A127B"/>
    <w:rsid w:val="008A140E"/>
    <w:rsid w:val="008A1C11"/>
    <w:rsid w:val="008A2111"/>
    <w:rsid w:val="008A264F"/>
    <w:rsid w:val="008A27E2"/>
    <w:rsid w:val="008A2A72"/>
    <w:rsid w:val="008A4F11"/>
    <w:rsid w:val="008A4F90"/>
    <w:rsid w:val="008A544E"/>
    <w:rsid w:val="008A5D44"/>
    <w:rsid w:val="008B026C"/>
    <w:rsid w:val="008B02EE"/>
    <w:rsid w:val="008B0FEE"/>
    <w:rsid w:val="008B1025"/>
    <w:rsid w:val="008B11A7"/>
    <w:rsid w:val="008B12C8"/>
    <w:rsid w:val="008B14D4"/>
    <w:rsid w:val="008B23FA"/>
    <w:rsid w:val="008B2B76"/>
    <w:rsid w:val="008B37A3"/>
    <w:rsid w:val="008B37B9"/>
    <w:rsid w:val="008B41E8"/>
    <w:rsid w:val="008B5259"/>
    <w:rsid w:val="008B5DC7"/>
    <w:rsid w:val="008B69C8"/>
    <w:rsid w:val="008B71AC"/>
    <w:rsid w:val="008B7958"/>
    <w:rsid w:val="008B7E57"/>
    <w:rsid w:val="008C2807"/>
    <w:rsid w:val="008C2AAF"/>
    <w:rsid w:val="008C347D"/>
    <w:rsid w:val="008C3722"/>
    <w:rsid w:val="008C3F9C"/>
    <w:rsid w:val="008C4388"/>
    <w:rsid w:val="008C438A"/>
    <w:rsid w:val="008C47A4"/>
    <w:rsid w:val="008C4839"/>
    <w:rsid w:val="008C5560"/>
    <w:rsid w:val="008C5A1D"/>
    <w:rsid w:val="008C6154"/>
    <w:rsid w:val="008C7156"/>
    <w:rsid w:val="008C7280"/>
    <w:rsid w:val="008C72A3"/>
    <w:rsid w:val="008C7CB2"/>
    <w:rsid w:val="008C7F9C"/>
    <w:rsid w:val="008D025F"/>
    <w:rsid w:val="008D160F"/>
    <w:rsid w:val="008D1981"/>
    <w:rsid w:val="008D1F59"/>
    <w:rsid w:val="008D27F4"/>
    <w:rsid w:val="008D2A5D"/>
    <w:rsid w:val="008D3097"/>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FF"/>
    <w:rsid w:val="008E4AEB"/>
    <w:rsid w:val="008E50A0"/>
    <w:rsid w:val="008E5741"/>
    <w:rsid w:val="008E5838"/>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0F5E"/>
    <w:rsid w:val="009014D1"/>
    <w:rsid w:val="00901665"/>
    <w:rsid w:val="0090172F"/>
    <w:rsid w:val="0090234F"/>
    <w:rsid w:val="00902821"/>
    <w:rsid w:val="00902AC1"/>
    <w:rsid w:val="009032DD"/>
    <w:rsid w:val="00903814"/>
    <w:rsid w:val="00904146"/>
    <w:rsid w:val="009041A9"/>
    <w:rsid w:val="00904BAA"/>
    <w:rsid w:val="0090583F"/>
    <w:rsid w:val="00905E21"/>
    <w:rsid w:val="00907BF0"/>
    <w:rsid w:val="00910224"/>
    <w:rsid w:val="00911197"/>
    <w:rsid w:val="009114E0"/>
    <w:rsid w:val="00911C59"/>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015"/>
    <w:rsid w:val="00922022"/>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46"/>
    <w:rsid w:val="009329C2"/>
    <w:rsid w:val="00932FE0"/>
    <w:rsid w:val="00935652"/>
    <w:rsid w:val="00935C1E"/>
    <w:rsid w:val="0093671A"/>
    <w:rsid w:val="009372E1"/>
    <w:rsid w:val="0093771B"/>
    <w:rsid w:val="00937A96"/>
    <w:rsid w:val="00937AE7"/>
    <w:rsid w:val="00937FA3"/>
    <w:rsid w:val="0094059B"/>
    <w:rsid w:val="00940981"/>
    <w:rsid w:val="00941410"/>
    <w:rsid w:val="00941B8A"/>
    <w:rsid w:val="009437B2"/>
    <w:rsid w:val="009437CE"/>
    <w:rsid w:val="009438F0"/>
    <w:rsid w:val="00943DDC"/>
    <w:rsid w:val="009440E4"/>
    <w:rsid w:val="00944CB4"/>
    <w:rsid w:val="00945329"/>
    <w:rsid w:val="0094681A"/>
    <w:rsid w:val="00947FB1"/>
    <w:rsid w:val="009500E4"/>
    <w:rsid w:val="0095083D"/>
    <w:rsid w:val="009509AD"/>
    <w:rsid w:val="009515E1"/>
    <w:rsid w:val="00952A03"/>
    <w:rsid w:val="00952D77"/>
    <w:rsid w:val="00952E31"/>
    <w:rsid w:val="00954AA7"/>
    <w:rsid w:val="00954F56"/>
    <w:rsid w:val="009555DC"/>
    <w:rsid w:val="00955807"/>
    <w:rsid w:val="00955C45"/>
    <w:rsid w:val="00956C04"/>
    <w:rsid w:val="00956ED7"/>
    <w:rsid w:val="00957142"/>
    <w:rsid w:val="009577EC"/>
    <w:rsid w:val="0096023A"/>
    <w:rsid w:val="009608E9"/>
    <w:rsid w:val="00961343"/>
    <w:rsid w:val="00962405"/>
    <w:rsid w:val="009626CE"/>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046"/>
    <w:rsid w:val="00970AE5"/>
    <w:rsid w:val="00970CB4"/>
    <w:rsid w:val="00971139"/>
    <w:rsid w:val="00971240"/>
    <w:rsid w:val="009721FE"/>
    <w:rsid w:val="00973B34"/>
    <w:rsid w:val="009755FD"/>
    <w:rsid w:val="00976041"/>
    <w:rsid w:val="009764F1"/>
    <w:rsid w:val="00976625"/>
    <w:rsid w:val="009766C3"/>
    <w:rsid w:val="009769F4"/>
    <w:rsid w:val="00977733"/>
    <w:rsid w:val="00977961"/>
    <w:rsid w:val="00977C21"/>
    <w:rsid w:val="00981696"/>
    <w:rsid w:val="009817B8"/>
    <w:rsid w:val="00981A56"/>
    <w:rsid w:val="009821C6"/>
    <w:rsid w:val="0098244A"/>
    <w:rsid w:val="009824ED"/>
    <w:rsid w:val="00982B4F"/>
    <w:rsid w:val="00982E68"/>
    <w:rsid w:val="0098313F"/>
    <w:rsid w:val="00983416"/>
    <w:rsid w:val="00984BA5"/>
    <w:rsid w:val="00984EF2"/>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5E72"/>
    <w:rsid w:val="00996B78"/>
    <w:rsid w:val="0099752E"/>
    <w:rsid w:val="00997D36"/>
    <w:rsid w:val="009A0B98"/>
    <w:rsid w:val="009A2204"/>
    <w:rsid w:val="009A2BFA"/>
    <w:rsid w:val="009A34D4"/>
    <w:rsid w:val="009A39E0"/>
    <w:rsid w:val="009A3EE7"/>
    <w:rsid w:val="009A5DBF"/>
    <w:rsid w:val="009A60AD"/>
    <w:rsid w:val="009A6DE5"/>
    <w:rsid w:val="009A6F88"/>
    <w:rsid w:val="009A7727"/>
    <w:rsid w:val="009B0770"/>
    <w:rsid w:val="009B0793"/>
    <w:rsid w:val="009B1DF6"/>
    <w:rsid w:val="009B4962"/>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029"/>
    <w:rsid w:val="009C715B"/>
    <w:rsid w:val="009C72D4"/>
    <w:rsid w:val="009C766C"/>
    <w:rsid w:val="009C7704"/>
    <w:rsid w:val="009C7853"/>
    <w:rsid w:val="009D1361"/>
    <w:rsid w:val="009D1590"/>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4C2A"/>
    <w:rsid w:val="009E5060"/>
    <w:rsid w:val="009E541A"/>
    <w:rsid w:val="009E59A5"/>
    <w:rsid w:val="009E5F09"/>
    <w:rsid w:val="009E72EC"/>
    <w:rsid w:val="009E7964"/>
    <w:rsid w:val="009F111C"/>
    <w:rsid w:val="009F126D"/>
    <w:rsid w:val="009F1D06"/>
    <w:rsid w:val="009F2279"/>
    <w:rsid w:val="009F22FE"/>
    <w:rsid w:val="009F2F13"/>
    <w:rsid w:val="009F33B6"/>
    <w:rsid w:val="009F356C"/>
    <w:rsid w:val="009F3A30"/>
    <w:rsid w:val="009F58E6"/>
    <w:rsid w:val="009F632A"/>
    <w:rsid w:val="009F67F3"/>
    <w:rsid w:val="009F7DC9"/>
    <w:rsid w:val="00A004C8"/>
    <w:rsid w:val="00A00D0A"/>
    <w:rsid w:val="00A0103C"/>
    <w:rsid w:val="00A017C5"/>
    <w:rsid w:val="00A01911"/>
    <w:rsid w:val="00A01A2C"/>
    <w:rsid w:val="00A02040"/>
    <w:rsid w:val="00A023C4"/>
    <w:rsid w:val="00A038EE"/>
    <w:rsid w:val="00A03E1C"/>
    <w:rsid w:val="00A03F40"/>
    <w:rsid w:val="00A043EB"/>
    <w:rsid w:val="00A0541C"/>
    <w:rsid w:val="00A05E9A"/>
    <w:rsid w:val="00A061D2"/>
    <w:rsid w:val="00A071A5"/>
    <w:rsid w:val="00A072E7"/>
    <w:rsid w:val="00A075C3"/>
    <w:rsid w:val="00A076B1"/>
    <w:rsid w:val="00A10813"/>
    <w:rsid w:val="00A10D84"/>
    <w:rsid w:val="00A115C9"/>
    <w:rsid w:val="00A11CBA"/>
    <w:rsid w:val="00A11F34"/>
    <w:rsid w:val="00A128CD"/>
    <w:rsid w:val="00A1298F"/>
    <w:rsid w:val="00A13AE6"/>
    <w:rsid w:val="00A14D9C"/>
    <w:rsid w:val="00A15077"/>
    <w:rsid w:val="00A15C0C"/>
    <w:rsid w:val="00A16B82"/>
    <w:rsid w:val="00A174C9"/>
    <w:rsid w:val="00A17789"/>
    <w:rsid w:val="00A20D59"/>
    <w:rsid w:val="00A216EE"/>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3CB"/>
    <w:rsid w:val="00A35673"/>
    <w:rsid w:val="00A35A51"/>
    <w:rsid w:val="00A36390"/>
    <w:rsid w:val="00A36680"/>
    <w:rsid w:val="00A37872"/>
    <w:rsid w:val="00A40033"/>
    <w:rsid w:val="00A402A3"/>
    <w:rsid w:val="00A409C2"/>
    <w:rsid w:val="00A40AE1"/>
    <w:rsid w:val="00A41B0E"/>
    <w:rsid w:val="00A42635"/>
    <w:rsid w:val="00A43234"/>
    <w:rsid w:val="00A43EB0"/>
    <w:rsid w:val="00A44EA4"/>
    <w:rsid w:val="00A45606"/>
    <w:rsid w:val="00A45F0E"/>
    <w:rsid w:val="00A466FA"/>
    <w:rsid w:val="00A470C5"/>
    <w:rsid w:val="00A47592"/>
    <w:rsid w:val="00A4766B"/>
    <w:rsid w:val="00A50893"/>
    <w:rsid w:val="00A5157B"/>
    <w:rsid w:val="00A51ACD"/>
    <w:rsid w:val="00A51B4B"/>
    <w:rsid w:val="00A51DF8"/>
    <w:rsid w:val="00A5233D"/>
    <w:rsid w:val="00A52EA3"/>
    <w:rsid w:val="00A53B39"/>
    <w:rsid w:val="00A53ECF"/>
    <w:rsid w:val="00A5534B"/>
    <w:rsid w:val="00A5542B"/>
    <w:rsid w:val="00A554AE"/>
    <w:rsid w:val="00A554E5"/>
    <w:rsid w:val="00A5615D"/>
    <w:rsid w:val="00A562F6"/>
    <w:rsid w:val="00A56A25"/>
    <w:rsid w:val="00A57856"/>
    <w:rsid w:val="00A57C5A"/>
    <w:rsid w:val="00A60521"/>
    <w:rsid w:val="00A605DB"/>
    <w:rsid w:val="00A62348"/>
    <w:rsid w:val="00A63561"/>
    <w:rsid w:val="00A63C2C"/>
    <w:rsid w:val="00A64467"/>
    <w:rsid w:val="00A64483"/>
    <w:rsid w:val="00A6488F"/>
    <w:rsid w:val="00A649F9"/>
    <w:rsid w:val="00A66880"/>
    <w:rsid w:val="00A66CD1"/>
    <w:rsid w:val="00A66DEF"/>
    <w:rsid w:val="00A674A6"/>
    <w:rsid w:val="00A70BA5"/>
    <w:rsid w:val="00A70C7D"/>
    <w:rsid w:val="00A70DD4"/>
    <w:rsid w:val="00A712E0"/>
    <w:rsid w:val="00A71450"/>
    <w:rsid w:val="00A71922"/>
    <w:rsid w:val="00A71980"/>
    <w:rsid w:val="00A71DA1"/>
    <w:rsid w:val="00A72035"/>
    <w:rsid w:val="00A72570"/>
    <w:rsid w:val="00A72A4A"/>
    <w:rsid w:val="00A738D1"/>
    <w:rsid w:val="00A73941"/>
    <w:rsid w:val="00A74137"/>
    <w:rsid w:val="00A74441"/>
    <w:rsid w:val="00A74814"/>
    <w:rsid w:val="00A7621C"/>
    <w:rsid w:val="00A76EA0"/>
    <w:rsid w:val="00A77ECE"/>
    <w:rsid w:val="00A801F8"/>
    <w:rsid w:val="00A813E1"/>
    <w:rsid w:val="00A8219D"/>
    <w:rsid w:val="00A821AE"/>
    <w:rsid w:val="00A823B4"/>
    <w:rsid w:val="00A82D8B"/>
    <w:rsid w:val="00A83FBF"/>
    <w:rsid w:val="00A84067"/>
    <w:rsid w:val="00A84E0C"/>
    <w:rsid w:val="00A850EC"/>
    <w:rsid w:val="00A86F8D"/>
    <w:rsid w:val="00A876BF"/>
    <w:rsid w:val="00A87B02"/>
    <w:rsid w:val="00A87DC5"/>
    <w:rsid w:val="00A9057A"/>
    <w:rsid w:val="00A905C6"/>
    <w:rsid w:val="00A906A8"/>
    <w:rsid w:val="00A90942"/>
    <w:rsid w:val="00A90FBD"/>
    <w:rsid w:val="00A91E77"/>
    <w:rsid w:val="00A92135"/>
    <w:rsid w:val="00A92563"/>
    <w:rsid w:val="00A92767"/>
    <w:rsid w:val="00A931FC"/>
    <w:rsid w:val="00A933C3"/>
    <w:rsid w:val="00A93DE2"/>
    <w:rsid w:val="00A940AE"/>
    <w:rsid w:val="00A946F9"/>
    <w:rsid w:val="00A94885"/>
    <w:rsid w:val="00A95662"/>
    <w:rsid w:val="00A958AE"/>
    <w:rsid w:val="00A95D82"/>
    <w:rsid w:val="00A97254"/>
    <w:rsid w:val="00A9733A"/>
    <w:rsid w:val="00A97868"/>
    <w:rsid w:val="00AA0E94"/>
    <w:rsid w:val="00AA11F4"/>
    <w:rsid w:val="00AA137B"/>
    <w:rsid w:val="00AA1FF8"/>
    <w:rsid w:val="00AA2168"/>
    <w:rsid w:val="00AA2243"/>
    <w:rsid w:val="00AA2D96"/>
    <w:rsid w:val="00AA306A"/>
    <w:rsid w:val="00AA3220"/>
    <w:rsid w:val="00AA369B"/>
    <w:rsid w:val="00AA516A"/>
    <w:rsid w:val="00AA73AF"/>
    <w:rsid w:val="00AA772A"/>
    <w:rsid w:val="00AA79AD"/>
    <w:rsid w:val="00AB0FF0"/>
    <w:rsid w:val="00AB1656"/>
    <w:rsid w:val="00AB22EC"/>
    <w:rsid w:val="00AB2E3B"/>
    <w:rsid w:val="00AB2E6C"/>
    <w:rsid w:val="00AB4B33"/>
    <w:rsid w:val="00AB5350"/>
    <w:rsid w:val="00AB5412"/>
    <w:rsid w:val="00AB55BF"/>
    <w:rsid w:val="00AB5E6B"/>
    <w:rsid w:val="00AB70CC"/>
    <w:rsid w:val="00AB73FC"/>
    <w:rsid w:val="00AB7F86"/>
    <w:rsid w:val="00AC0BB9"/>
    <w:rsid w:val="00AC21C4"/>
    <w:rsid w:val="00AC26CF"/>
    <w:rsid w:val="00AC2A14"/>
    <w:rsid w:val="00AC43B3"/>
    <w:rsid w:val="00AC45AE"/>
    <w:rsid w:val="00AC542A"/>
    <w:rsid w:val="00AC556D"/>
    <w:rsid w:val="00AC5C50"/>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F6"/>
    <w:rsid w:val="00AE13C5"/>
    <w:rsid w:val="00AE1E98"/>
    <w:rsid w:val="00AE3141"/>
    <w:rsid w:val="00AE3AB8"/>
    <w:rsid w:val="00AE3FC4"/>
    <w:rsid w:val="00AE42D8"/>
    <w:rsid w:val="00AE541B"/>
    <w:rsid w:val="00AE5A5A"/>
    <w:rsid w:val="00AE5EDF"/>
    <w:rsid w:val="00AE610B"/>
    <w:rsid w:val="00AE61EE"/>
    <w:rsid w:val="00AE6ED4"/>
    <w:rsid w:val="00AE72EC"/>
    <w:rsid w:val="00AE74A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1E96"/>
    <w:rsid w:val="00B02089"/>
    <w:rsid w:val="00B0266D"/>
    <w:rsid w:val="00B02853"/>
    <w:rsid w:val="00B0351C"/>
    <w:rsid w:val="00B043E9"/>
    <w:rsid w:val="00B04EB1"/>
    <w:rsid w:val="00B057DD"/>
    <w:rsid w:val="00B05864"/>
    <w:rsid w:val="00B05B33"/>
    <w:rsid w:val="00B06B42"/>
    <w:rsid w:val="00B06F80"/>
    <w:rsid w:val="00B077FB"/>
    <w:rsid w:val="00B100D4"/>
    <w:rsid w:val="00B10866"/>
    <w:rsid w:val="00B1131F"/>
    <w:rsid w:val="00B11DA0"/>
    <w:rsid w:val="00B11DBD"/>
    <w:rsid w:val="00B12031"/>
    <w:rsid w:val="00B12A3D"/>
    <w:rsid w:val="00B12E69"/>
    <w:rsid w:val="00B12F45"/>
    <w:rsid w:val="00B13B12"/>
    <w:rsid w:val="00B14BE5"/>
    <w:rsid w:val="00B15838"/>
    <w:rsid w:val="00B16252"/>
    <w:rsid w:val="00B162A8"/>
    <w:rsid w:val="00B16F49"/>
    <w:rsid w:val="00B17739"/>
    <w:rsid w:val="00B1776D"/>
    <w:rsid w:val="00B17799"/>
    <w:rsid w:val="00B178B5"/>
    <w:rsid w:val="00B201EB"/>
    <w:rsid w:val="00B203DB"/>
    <w:rsid w:val="00B20873"/>
    <w:rsid w:val="00B213AD"/>
    <w:rsid w:val="00B218E2"/>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2683"/>
    <w:rsid w:val="00B42E36"/>
    <w:rsid w:val="00B43149"/>
    <w:rsid w:val="00B43718"/>
    <w:rsid w:val="00B4383F"/>
    <w:rsid w:val="00B44653"/>
    <w:rsid w:val="00B45C8A"/>
    <w:rsid w:val="00B462FF"/>
    <w:rsid w:val="00B46885"/>
    <w:rsid w:val="00B46903"/>
    <w:rsid w:val="00B471B7"/>
    <w:rsid w:val="00B4730E"/>
    <w:rsid w:val="00B47CFF"/>
    <w:rsid w:val="00B47E2E"/>
    <w:rsid w:val="00B501E9"/>
    <w:rsid w:val="00B50F25"/>
    <w:rsid w:val="00B51340"/>
    <w:rsid w:val="00B515C6"/>
    <w:rsid w:val="00B51A42"/>
    <w:rsid w:val="00B5217A"/>
    <w:rsid w:val="00B52872"/>
    <w:rsid w:val="00B537E5"/>
    <w:rsid w:val="00B54718"/>
    <w:rsid w:val="00B54778"/>
    <w:rsid w:val="00B549EA"/>
    <w:rsid w:val="00B55863"/>
    <w:rsid w:val="00B55FFB"/>
    <w:rsid w:val="00B57192"/>
    <w:rsid w:val="00B57269"/>
    <w:rsid w:val="00B60930"/>
    <w:rsid w:val="00B60E32"/>
    <w:rsid w:val="00B60ED9"/>
    <w:rsid w:val="00B6160A"/>
    <w:rsid w:val="00B6165A"/>
    <w:rsid w:val="00B6185F"/>
    <w:rsid w:val="00B61945"/>
    <w:rsid w:val="00B61A99"/>
    <w:rsid w:val="00B61DB6"/>
    <w:rsid w:val="00B6212D"/>
    <w:rsid w:val="00B62444"/>
    <w:rsid w:val="00B6356F"/>
    <w:rsid w:val="00B63A40"/>
    <w:rsid w:val="00B64278"/>
    <w:rsid w:val="00B6437B"/>
    <w:rsid w:val="00B64D78"/>
    <w:rsid w:val="00B64E32"/>
    <w:rsid w:val="00B65277"/>
    <w:rsid w:val="00B65E79"/>
    <w:rsid w:val="00B6632E"/>
    <w:rsid w:val="00B66AA2"/>
    <w:rsid w:val="00B679FE"/>
    <w:rsid w:val="00B67D38"/>
    <w:rsid w:val="00B701B5"/>
    <w:rsid w:val="00B708D3"/>
    <w:rsid w:val="00B70AAE"/>
    <w:rsid w:val="00B70B1F"/>
    <w:rsid w:val="00B71689"/>
    <w:rsid w:val="00B71713"/>
    <w:rsid w:val="00B71A24"/>
    <w:rsid w:val="00B71C74"/>
    <w:rsid w:val="00B72A3F"/>
    <w:rsid w:val="00B73351"/>
    <w:rsid w:val="00B733C4"/>
    <w:rsid w:val="00B734E6"/>
    <w:rsid w:val="00B7653D"/>
    <w:rsid w:val="00B770BD"/>
    <w:rsid w:val="00B80F58"/>
    <w:rsid w:val="00B812B5"/>
    <w:rsid w:val="00B81F4F"/>
    <w:rsid w:val="00B820BD"/>
    <w:rsid w:val="00B823A2"/>
    <w:rsid w:val="00B826C4"/>
    <w:rsid w:val="00B827AB"/>
    <w:rsid w:val="00B828BD"/>
    <w:rsid w:val="00B845C6"/>
    <w:rsid w:val="00B848D0"/>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742"/>
    <w:rsid w:val="00B93A58"/>
    <w:rsid w:val="00B9408D"/>
    <w:rsid w:val="00B942C8"/>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0FD3"/>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F9F"/>
    <w:rsid w:val="00BB0CBF"/>
    <w:rsid w:val="00BB0E73"/>
    <w:rsid w:val="00BB1471"/>
    <w:rsid w:val="00BB1973"/>
    <w:rsid w:val="00BB25DA"/>
    <w:rsid w:val="00BB2FA0"/>
    <w:rsid w:val="00BB308B"/>
    <w:rsid w:val="00BB395E"/>
    <w:rsid w:val="00BB3D89"/>
    <w:rsid w:val="00BB4371"/>
    <w:rsid w:val="00BB44D0"/>
    <w:rsid w:val="00BB500C"/>
    <w:rsid w:val="00BB5110"/>
    <w:rsid w:val="00BB57F2"/>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43A"/>
    <w:rsid w:val="00BC4747"/>
    <w:rsid w:val="00BC4F36"/>
    <w:rsid w:val="00BC5155"/>
    <w:rsid w:val="00BC5754"/>
    <w:rsid w:val="00BC5951"/>
    <w:rsid w:val="00BC5A79"/>
    <w:rsid w:val="00BC6872"/>
    <w:rsid w:val="00BC6938"/>
    <w:rsid w:val="00BC6A85"/>
    <w:rsid w:val="00BC74D3"/>
    <w:rsid w:val="00BC7C84"/>
    <w:rsid w:val="00BD00A8"/>
    <w:rsid w:val="00BD0B6D"/>
    <w:rsid w:val="00BD1194"/>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76E"/>
    <w:rsid w:val="00BE1936"/>
    <w:rsid w:val="00BE19A9"/>
    <w:rsid w:val="00BE4F90"/>
    <w:rsid w:val="00BE5461"/>
    <w:rsid w:val="00BE61F0"/>
    <w:rsid w:val="00BE6650"/>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9A0"/>
    <w:rsid w:val="00C05AFA"/>
    <w:rsid w:val="00C061C4"/>
    <w:rsid w:val="00C06BFD"/>
    <w:rsid w:val="00C06D6D"/>
    <w:rsid w:val="00C071CB"/>
    <w:rsid w:val="00C07BE0"/>
    <w:rsid w:val="00C1003B"/>
    <w:rsid w:val="00C10322"/>
    <w:rsid w:val="00C10327"/>
    <w:rsid w:val="00C108BB"/>
    <w:rsid w:val="00C10922"/>
    <w:rsid w:val="00C10D9D"/>
    <w:rsid w:val="00C10FC5"/>
    <w:rsid w:val="00C1118F"/>
    <w:rsid w:val="00C12351"/>
    <w:rsid w:val="00C12540"/>
    <w:rsid w:val="00C1268B"/>
    <w:rsid w:val="00C13655"/>
    <w:rsid w:val="00C1374D"/>
    <w:rsid w:val="00C1391C"/>
    <w:rsid w:val="00C14A64"/>
    <w:rsid w:val="00C14E6C"/>
    <w:rsid w:val="00C14E79"/>
    <w:rsid w:val="00C1556F"/>
    <w:rsid w:val="00C177E9"/>
    <w:rsid w:val="00C178F9"/>
    <w:rsid w:val="00C20676"/>
    <w:rsid w:val="00C209A1"/>
    <w:rsid w:val="00C20D59"/>
    <w:rsid w:val="00C21E6A"/>
    <w:rsid w:val="00C22D36"/>
    <w:rsid w:val="00C25595"/>
    <w:rsid w:val="00C265AC"/>
    <w:rsid w:val="00C30471"/>
    <w:rsid w:val="00C30490"/>
    <w:rsid w:val="00C307F0"/>
    <w:rsid w:val="00C308E6"/>
    <w:rsid w:val="00C30A19"/>
    <w:rsid w:val="00C30DB0"/>
    <w:rsid w:val="00C310F5"/>
    <w:rsid w:val="00C31C2A"/>
    <w:rsid w:val="00C32648"/>
    <w:rsid w:val="00C32AAE"/>
    <w:rsid w:val="00C32AFF"/>
    <w:rsid w:val="00C33117"/>
    <w:rsid w:val="00C33875"/>
    <w:rsid w:val="00C33EE8"/>
    <w:rsid w:val="00C3451A"/>
    <w:rsid w:val="00C3557B"/>
    <w:rsid w:val="00C3658D"/>
    <w:rsid w:val="00C37BB0"/>
    <w:rsid w:val="00C40E65"/>
    <w:rsid w:val="00C4174A"/>
    <w:rsid w:val="00C426B2"/>
    <w:rsid w:val="00C44011"/>
    <w:rsid w:val="00C4436D"/>
    <w:rsid w:val="00C45312"/>
    <w:rsid w:val="00C4549B"/>
    <w:rsid w:val="00C466A5"/>
    <w:rsid w:val="00C46A38"/>
    <w:rsid w:val="00C47610"/>
    <w:rsid w:val="00C50C28"/>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0F22"/>
    <w:rsid w:val="00C60FD9"/>
    <w:rsid w:val="00C6201B"/>
    <w:rsid w:val="00C625C2"/>
    <w:rsid w:val="00C62BB9"/>
    <w:rsid w:val="00C63820"/>
    <w:rsid w:val="00C63B5D"/>
    <w:rsid w:val="00C644B5"/>
    <w:rsid w:val="00C645C4"/>
    <w:rsid w:val="00C656AB"/>
    <w:rsid w:val="00C656F3"/>
    <w:rsid w:val="00C66487"/>
    <w:rsid w:val="00C66646"/>
    <w:rsid w:val="00C67921"/>
    <w:rsid w:val="00C70663"/>
    <w:rsid w:val="00C7068E"/>
    <w:rsid w:val="00C706AD"/>
    <w:rsid w:val="00C70BAF"/>
    <w:rsid w:val="00C71321"/>
    <w:rsid w:val="00C716D8"/>
    <w:rsid w:val="00C72CE1"/>
    <w:rsid w:val="00C74328"/>
    <w:rsid w:val="00C74987"/>
    <w:rsid w:val="00C751D2"/>
    <w:rsid w:val="00C7697D"/>
    <w:rsid w:val="00C776E2"/>
    <w:rsid w:val="00C77B78"/>
    <w:rsid w:val="00C77F5E"/>
    <w:rsid w:val="00C8111A"/>
    <w:rsid w:val="00C8146A"/>
    <w:rsid w:val="00C83560"/>
    <w:rsid w:val="00C83945"/>
    <w:rsid w:val="00C840AA"/>
    <w:rsid w:val="00C84118"/>
    <w:rsid w:val="00C843FC"/>
    <w:rsid w:val="00C84FE3"/>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97BF6"/>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0F82"/>
    <w:rsid w:val="00CB17C9"/>
    <w:rsid w:val="00CB2021"/>
    <w:rsid w:val="00CB2539"/>
    <w:rsid w:val="00CB265B"/>
    <w:rsid w:val="00CB32F5"/>
    <w:rsid w:val="00CB3651"/>
    <w:rsid w:val="00CB39C0"/>
    <w:rsid w:val="00CB414D"/>
    <w:rsid w:val="00CB483E"/>
    <w:rsid w:val="00CB6326"/>
    <w:rsid w:val="00CB7286"/>
    <w:rsid w:val="00CB7851"/>
    <w:rsid w:val="00CC001F"/>
    <w:rsid w:val="00CC0FB9"/>
    <w:rsid w:val="00CC1631"/>
    <w:rsid w:val="00CC2137"/>
    <w:rsid w:val="00CC30C3"/>
    <w:rsid w:val="00CC34FD"/>
    <w:rsid w:val="00CC3984"/>
    <w:rsid w:val="00CC4291"/>
    <w:rsid w:val="00CC43C7"/>
    <w:rsid w:val="00CC44E2"/>
    <w:rsid w:val="00CC49E2"/>
    <w:rsid w:val="00CC4F0D"/>
    <w:rsid w:val="00CC50E5"/>
    <w:rsid w:val="00CC516C"/>
    <w:rsid w:val="00CC5370"/>
    <w:rsid w:val="00CC5404"/>
    <w:rsid w:val="00CC5672"/>
    <w:rsid w:val="00CC5DC6"/>
    <w:rsid w:val="00CC61BF"/>
    <w:rsid w:val="00CC67B8"/>
    <w:rsid w:val="00CC6E7D"/>
    <w:rsid w:val="00CC74B8"/>
    <w:rsid w:val="00CC7534"/>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5FD9"/>
    <w:rsid w:val="00CD6A09"/>
    <w:rsid w:val="00CD6B1D"/>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2E6C"/>
    <w:rsid w:val="00D04563"/>
    <w:rsid w:val="00D04A6F"/>
    <w:rsid w:val="00D05034"/>
    <w:rsid w:val="00D0533E"/>
    <w:rsid w:val="00D05CD1"/>
    <w:rsid w:val="00D061EB"/>
    <w:rsid w:val="00D0679B"/>
    <w:rsid w:val="00D06F83"/>
    <w:rsid w:val="00D078BA"/>
    <w:rsid w:val="00D07A34"/>
    <w:rsid w:val="00D07BB7"/>
    <w:rsid w:val="00D07BE1"/>
    <w:rsid w:val="00D07F12"/>
    <w:rsid w:val="00D1057B"/>
    <w:rsid w:val="00D108C1"/>
    <w:rsid w:val="00D1139D"/>
    <w:rsid w:val="00D11CA9"/>
    <w:rsid w:val="00D1215E"/>
    <w:rsid w:val="00D12390"/>
    <w:rsid w:val="00D135CD"/>
    <w:rsid w:val="00D13B6E"/>
    <w:rsid w:val="00D13E30"/>
    <w:rsid w:val="00D14315"/>
    <w:rsid w:val="00D1437A"/>
    <w:rsid w:val="00D14BBF"/>
    <w:rsid w:val="00D14C56"/>
    <w:rsid w:val="00D14D5E"/>
    <w:rsid w:val="00D15267"/>
    <w:rsid w:val="00D16405"/>
    <w:rsid w:val="00D1748E"/>
    <w:rsid w:val="00D1787C"/>
    <w:rsid w:val="00D17929"/>
    <w:rsid w:val="00D17B8E"/>
    <w:rsid w:val="00D17D1E"/>
    <w:rsid w:val="00D2142A"/>
    <w:rsid w:val="00D22C82"/>
    <w:rsid w:val="00D23163"/>
    <w:rsid w:val="00D23C3A"/>
    <w:rsid w:val="00D23C7C"/>
    <w:rsid w:val="00D24BAF"/>
    <w:rsid w:val="00D250AF"/>
    <w:rsid w:val="00D25136"/>
    <w:rsid w:val="00D2516E"/>
    <w:rsid w:val="00D256D6"/>
    <w:rsid w:val="00D25BD4"/>
    <w:rsid w:val="00D26F47"/>
    <w:rsid w:val="00D26F4F"/>
    <w:rsid w:val="00D271C0"/>
    <w:rsid w:val="00D27744"/>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37C38"/>
    <w:rsid w:val="00D40AD7"/>
    <w:rsid w:val="00D4134B"/>
    <w:rsid w:val="00D413CF"/>
    <w:rsid w:val="00D41576"/>
    <w:rsid w:val="00D41AA2"/>
    <w:rsid w:val="00D41BC6"/>
    <w:rsid w:val="00D427EC"/>
    <w:rsid w:val="00D43101"/>
    <w:rsid w:val="00D432BF"/>
    <w:rsid w:val="00D43704"/>
    <w:rsid w:val="00D43840"/>
    <w:rsid w:val="00D43992"/>
    <w:rsid w:val="00D43D34"/>
    <w:rsid w:val="00D43D63"/>
    <w:rsid w:val="00D441A1"/>
    <w:rsid w:val="00D444EB"/>
    <w:rsid w:val="00D45078"/>
    <w:rsid w:val="00D457CC"/>
    <w:rsid w:val="00D46846"/>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3FC"/>
    <w:rsid w:val="00D816A0"/>
    <w:rsid w:val="00D81A13"/>
    <w:rsid w:val="00D82026"/>
    <w:rsid w:val="00D82979"/>
    <w:rsid w:val="00D82CB4"/>
    <w:rsid w:val="00D82F25"/>
    <w:rsid w:val="00D84484"/>
    <w:rsid w:val="00D846E1"/>
    <w:rsid w:val="00D8479E"/>
    <w:rsid w:val="00D84839"/>
    <w:rsid w:val="00D85B14"/>
    <w:rsid w:val="00D85EB1"/>
    <w:rsid w:val="00D862AE"/>
    <w:rsid w:val="00D87215"/>
    <w:rsid w:val="00D874A8"/>
    <w:rsid w:val="00D8778A"/>
    <w:rsid w:val="00D8789E"/>
    <w:rsid w:val="00D907C4"/>
    <w:rsid w:val="00D91214"/>
    <w:rsid w:val="00D91A35"/>
    <w:rsid w:val="00D924A3"/>
    <w:rsid w:val="00D931A6"/>
    <w:rsid w:val="00D93A0A"/>
    <w:rsid w:val="00D93B00"/>
    <w:rsid w:val="00D93E21"/>
    <w:rsid w:val="00D93F25"/>
    <w:rsid w:val="00D940C1"/>
    <w:rsid w:val="00D94160"/>
    <w:rsid w:val="00D9419B"/>
    <w:rsid w:val="00D94280"/>
    <w:rsid w:val="00D94E27"/>
    <w:rsid w:val="00D94EB3"/>
    <w:rsid w:val="00D95810"/>
    <w:rsid w:val="00D974F9"/>
    <w:rsid w:val="00D97C91"/>
    <w:rsid w:val="00D97E61"/>
    <w:rsid w:val="00DA0749"/>
    <w:rsid w:val="00DA09EF"/>
    <w:rsid w:val="00DA10C5"/>
    <w:rsid w:val="00DA1821"/>
    <w:rsid w:val="00DA1A29"/>
    <w:rsid w:val="00DA34C2"/>
    <w:rsid w:val="00DA3785"/>
    <w:rsid w:val="00DA3994"/>
    <w:rsid w:val="00DA3EA1"/>
    <w:rsid w:val="00DA4991"/>
    <w:rsid w:val="00DA4CF2"/>
    <w:rsid w:val="00DA4FE6"/>
    <w:rsid w:val="00DA617A"/>
    <w:rsid w:val="00DA6555"/>
    <w:rsid w:val="00DA6C9A"/>
    <w:rsid w:val="00DA6ED9"/>
    <w:rsid w:val="00DA7551"/>
    <w:rsid w:val="00DB0363"/>
    <w:rsid w:val="00DB0F21"/>
    <w:rsid w:val="00DB1007"/>
    <w:rsid w:val="00DB1068"/>
    <w:rsid w:val="00DB1835"/>
    <w:rsid w:val="00DB21C2"/>
    <w:rsid w:val="00DB22AE"/>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579"/>
    <w:rsid w:val="00DC2A2D"/>
    <w:rsid w:val="00DC2D06"/>
    <w:rsid w:val="00DC34CD"/>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677"/>
    <w:rsid w:val="00DE630A"/>
    <w:rsid w:val="00DE7423"/>
    <w:rsid w:val="00DE7910"/>
    <w:rsid w:val="00DE7B52"/>
    <w:rsid w:val="00DF0D77"/>
    <w:rsid w:val="00DF2172"/>
    <w:rsid w:val="00DF22C4"/>
    <w:rsid w:val="00DF273D"/>
    <w:rsid w:val="00DF37A1"/>
    <w:rsid w:val="00DF3FA0"/>
    <w:rsid w:val="00DF4EA6"/>
    <w:rsid w:val="00DF53CD"/>
    <w:rsid w:val="00DF5405"/>
    <w:rsid w:val="00DF5648"/>
    <w:rsid w:val="00DF579A"/>
    <w:rsid w:val="00DF622C"/>
    <w:rsid w:val="00E00888"/>
    <w:rsid w:val="00E008CF"/>
    <w:rsid w:val="00E01666"/>
    <w:rsid w:val="00E018D8"/>
    <w:rsid w:val="00E02310"/>
    <w:rsid w:val="00E03055"/>
    <w:rsid w:val="00E03157"/>
    <w:rsid w:val="00E0327E"/>
    <w:rsid w:val="00E038D3"/>
    <w:rsid w:val="00E038EE"/>
    <w:rsid w:val="00E03C1F"/>
    <w:rsid w:val="00E03CA6"/>
    <w:rsid w:val="00E03E84"/>
    <w:rsid w:val="00E04893"/>
    <w:rsid w:val="00E04E30"/>
    <w:rsid w:val="00E05589"/>
    <w:rsid w:val="00E05D82"/>
    <w:rsid w:val="00E07BB8"/>
    <w:rsid w:val="00E1038F"/>
    <w:rsid w:val="00E103F1"/>
    <w:rsid w:val="00E106B6"/>
    <w:rsid w:val="00E10E54"/>
    <w:rsid w:val="00E11015"/>
    <w:rsid w:val="00E118F8"/>
    <w:rsid w:val="00E132DE"/>
    <w:rsid w:val="00E142EC"/>
    <w:rsid w:val="00E14DA4"/>
    <w:rsid w:val="00E1521B"/>
    <w:rsid w:val="00E156EC"/>
    <w:rsid w:val="00E162FA"/>
    <w:rsid w:val="00E16DFB"/>
    <w:rsid w:val="00E1730E"/>
    <w:rsid w:val="00E17369"/>
    <w:rsid w:val="00E1788D"/>
    <w:rsid w:val="00E1797F"/>
    <w:rsid w:val="00E204C6"/>
    <w:rsid w:val="00E211F0"/>
    <w:rsid w:val="00E216C3"/>
    <w:rsid w:val="00E2179A"/>
    <w:rsid w:val="00E21F30"/>
    <w:rsid w:val="00E225A8"/>
    <w:rsid w:val="00E22A99"/>
    <w:rsid w:val="00E22B8E"/>
    <w:rsid w:val="00E22DD1"/>
    <w:rsid w:val="00E22E47"/>
    <w:rsid w:val="00E2343A"/>
    <w:rsid w:val="00E237CA"/>
    <w:rsid w:val="00E23A71"/>
    <w:rsid w:val="00E24152"/>
    <w:rsid w:val="00E24DD5"/>
    <w:rsid w:val="00E25296"/>
    <w:rsid w:val="00E25618"/>
    <w:rsid w:val="00E25A80"/>
    <w:rsid w:val="00E27EAB"/>
    <w:rsid w:val="00E300A3"/>
    <w:rsid w:val="00E3042C"/>
    <w:rsid w:val="00E309B3"/>
    <w:rsid w:val="00E31D14"/>
    <w:rsid w:val="00E327B2"/>
    <w:rsid w:val="00E327CF"/>
    <w:rsid w:val="00E327DA"/>
    <w:rsid w:val="00E33034"/>
    <w:rsid w:val="00E33541"/>
    <w:rsid w:val="00E33D91"/>
    <w:rsid w:val="00E33E19"/>
    <w:rsid w:val="00E34180"/>
    <w:rsid w:val="00E341FE"/>
    <w:rsid w:val="00E34245"/>
    <w:rsid w:val="00E34C57"/>
    <w:rsid w:val="00E35055"/>
    <w:rsid w:val="00E35754"/>
    <w:rsid w:val="00E357D6"/>
    <w:rsid w:val="00E35807"/>
    <w:rsid w:val="00E360ED"/>
    <w:rsid w:val="00E368E4"/>
    <w:rsid w:val="00E37286"/>
    <w:rsid w:val="00E3764C"/>
    <w:rsid w:val="00E37D97"/>
    <w:rsid w:val="00E40213"/>
    <w:rsid w:val="00E404EC"/>
    <w:rsid w:val="00E4055E"/>
    <w:rsid w:val="00E41092"/>
    <w:rsid w:val="00E415D2"/>
    <w:rsid w:val="00E416A1"/>
    <w:rsid w:val="00E419A9"/>
    <w:rsid w:val="00E41CBF"/>
    <w:rsid w:val="00E42890"/>
    <w:rsid w:val="00E42E09"/>
    <w:rsid w:val="00E43ADF"/>
    <w:rsid w:val="00E43C13"/>
    <w:rsid w:val="00E449E0"/>
    <w:rsid w:val="00E45A3D"/>
    <w:rsid w:val="00E45F57"/>
    <w:rsid w:val="00E469EA"/>
    <w:rsid w:val="00E46AF6"/>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374C"/>
    <w:rsid w:val="00E643C3"/>
    <w:rsid w:val="00E64707"/>
    <w:rsid w:val="00E65758"/>
    <w:rsid w:val="00E66082"/>
    <w:rsid w:val="00E663AF"/>
    <w:rsid w:val="00E666DD"/>
    <w:rsid w:val="00E66802"/>
    <w:rsid w:val="00E709FE"/>
    <w:rsid w:val="00E70C42"/>
    <w:rsid w:val="00E72BCE"/>
    <w:rsid w:val="00E72E3A"/>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8E6"/>
    <w:rsid w:val="00E839ED"/>
    <w:rsid w:val="00E844A4"/>
    <w:rsid w:val="00E84777"/>
    <w:rsid w:val="00E84C0B"/>
    <w:rsid w:val="00E8542C"/>
    <w:rsid w:val="00E86571"/>
    <w:rsid w:val="00E87060"/>
    <w:rsid w:val="00E871AD"/>
    <w:rsid w:val="00E8770B"/>
    <w:rsid w:val="00E900F1"/>
    <w:rsid w:val="00E901E9"/>
    <w:rsid w:val="00E906C1"/>
    <w:rsid w:val="00E90EE8"/>
    <w:rsid w:val="00E92A7B"/>
    <w:rsid w:val="00E93158"/>
    <w:rsid w:val="00E93DDC"/>
    <w:rsid w:val="00E941F3"/>
    <w:rsid w:val="00E95873"/>
    <w:rsid w:val="00E95FEE"/>
    <w:rsid w:val="00E96A14"/>
    <w:rsid w:val="00E96DEA"/>
    <w:rsid w:val="00E976EF"/>
    <w:rsid w:val="00E97B2D"/>
    <w:rsid w:val="00E97E17"/>
    <w:rsid w:val="00EA00E7"/>
    <w:rsid w:val="00EA0942"/>
    <w:rsid w:val="00EA14C2"/>
    <w:rsid w:val="00EA1BB0"/>
    <w:rsid w:val="00EA1BC0"/>
    <w:rsid w:val="00EA203B"/>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F40"/>
    <w:rsid w:val="00EB3FB2"/>
    <w:rsid w:val="00EB4166"/>
    <w:rsid w:val="00EB7DE6"/>
    <w:rsid w:val="00EC11C7"/>
    <w:rsid w:val="00EC120A"/>
    <w:rsid w:val="00EC1B7D"/>
    <w:rsid w:val="00EC250F"/>
    <w:rsid w:val="00EC29BA"/>
    <w:rsid w:val="00EC2CE5"/>
    <w:rsid w:val="00EC337F"/>
    <w:rsid w:val="00EC3E75"/>
    <w:rsid w:val="00EC4C68"/>
    <w:rsid w:val="00EC5B8C"/>
    <w:rsid w:val="00EC5FFF"/>
    <w:rsid w:val="00EC62DA"/>
    <w:rsid w:val="00EC7209"/>
    <w:rsid w:val="00EC768E"/>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E41"/>
    <w:rsid w:val="00ED6F55"/>
    <w:rsid w:val="00ED7107"/>
    <w:rsid w:val="00ED7253"/>
    <w:rsid w:val="00EE07E4"/>
    <w:rsid w:val="00EE09FA"/>
    <w:rsid w:val="00EE1394"/>
    <w:rsid w:val="00EE14B7"/>
    <w:rsid w:val="00EE1584"/>
    <w:rsid w:val="00EE18BA"/>
    <w:rsid w:val="00EE1E67"/>
    <w:rsid w:val="00EE2866"/>
    <w:rsid w:val="00EE3070"/>
    <w:rsid w:val="00EE3E48"/>
    <w:rsid w:val="00EE3EF3"/>
    <w:rsid w:val="00EE451A"/>
    <w:rsid w:val="00EE46B8"/>
    <w:rsid w:val="00EE48E9"/>
    <w:rsid w:val="00EE4BA3"/>
    <w:rsid w:val="00EE56F4"/>
    <w:rsid w:val="00EE5CE4"/>
    <w:rsid w:val="00EE6232"/>
    <w:rsid w:val="00EE64A4"/>
    <w:rsid w:val="00EE71F2"/>
    <w:rsid w:val="00EE7328"/>
    <w:rsid w:val="00EE7875"/>
    <w:rsid w:val="00EE7CFF"/>
    <w:rsid w:val="00EF0F29"/>
    <w:rsid w:val="00EF1654"/>
    <w:rsid w:val="00EF17D2"/>
    <w:rsid w:val="00EF1A7C"/>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077A4"/>
    <w:rsid w:val="00F10030"/>
    <w:rsid w:val="00F102E0"/>
    <w:rsid w:val="00F1092B"/>
    <w:rsid w:val="00F11F87"/>
    <w:rsid w:val="00F12B14"/>
    <w:rsid w:val="00F13373"/>
    <w:rsid w:val="00F13386"/>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C80"/>
    <w:rsid w:val="00F27E36"/>
    <w:rsid w:val="00F30FAE"/>
    <w:rsid w:val="00F312EF"/>
    <w:rsid w:val="00F317B2"/>
    <w:rsid w:val="00F31C7E"/>
    <w:rsid w:val="00F32B03"/>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B6"/>
    <w:rsid w:val="00F401ED"/>
    <w:rsid w:val="00F40250"/>
    <w:rsid w:val="00F40C95"/>
    <w:rsid w:val="00F40FB7"/>
    <w:rsid w:val="00F411CC"/>
    <w:rsid w:val="00F41815"/>
    <w:rsid w:val="00F42801"/>
    <w:rsid w:val="00F4526D"/>
    <w:rsid w:val="00F46398"/>
    <w:rsid w:val="00F50EC9"/>
    <w:rsid w:val="00F50F09"/>
    <w:rsid w:val="00F5101E"/>
    <w:rsid w:val="00F511EE"/>
    <w:rsid w:val="00F514A2"/>
    <w:rsid w:val="00F51BEC"/>
    <w:rsid w:val="00F51C18"/>
    <w:rsid w:val="00F51F20"/>
    <w:rsid w:val="00F520E5"/>
    <w:rsid w:val="00F53604"/>
    <w:rsid w:val="00F536F2"/>
    <w:rsid w:val="00F5437D"/>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598"/>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6B5F"/>
    <w:rsid w:val="00F67AC5"/>
    <w:rsid w:val="00F67DF3"/>
    <w:rsid w:val="00F70088"/>
    <w:rsid w:val="00F70541"/>
    <w:rsid w:val="00F70AF8"/>
    <w:rsid w:val="00F71992"/>
    <w:rsid w:val="00F71BAF"/>
    <w:rsid w:val="00F71EAD"/>
    <w:rsid w:val="00F72C0B"/>
    <w:rsid w:val="00F733CE"/>
    <w:rsid w:val="00F73D19"/>
    <w:rsid w:val="00F7594B"/>
    <w:rsid w:val="00F760C5"/>
    <w:rsid w:val="00F76FEE"/>
    <w:rsid w:val="00F77133"/>
    <w:rsid w:val="00F80740"/>
    <w:rsid w:val="00F82A36"/>
    <w:rsid w:val="00F8333A"/>
    <w:rsid w:val="00F83630"/>
    <w:rsid w:val="00F8396B"/>
    <w:rsid w:val="00F841F7"/>
    <w:rsid w:val="00F855DB"/>
    <w:rsid w:val="00F85B40"/>
    <w:rsid w:val="00F86A40"/>
    <w:rsid w:val="00F87095"/>
    <w:rsid w:val="00F87B6E"/>
    <w:rsid w:val="00F87D87"/>
    <w:rsid w:val="00F90F60"/>
    <w:rsid w:val="00F911FD"/>
    <w:rsid w:val="00F91E73"/>
    <w:rsid w:val="00F92074"/>
    <w:rsid w:val="00F92D2C"/>
    <w:rsid w:val="00F92F9B"/>
    <w:rsid w:val="00F932A8"/>
    <w:rsid w:val="00F93384"/>
    <w:rsid w:val="00F934A1"/>
    <w:rsid w:val="00F94072"/>
    <w:rsid w:val="00F9408A"/>
    <w:rsid w:val="00F942B0"/>
    <w:rsid w:val="00F942BE"/>
    <w:rsid w:val="00F94459"/>
    <w:rsid w:val="00F94945"/>
    <w:rsid w:val="00F94A66"/>
    <w:rsid w:val="00F964E7"/>
    <w:rsid w:val="00FA09C5"/>
    <w:rsid w:val="00FA0DD3"/>
    <w:rsid w:val="00FA10AE"/>
    <w:rsid w:val="00FA1181"/>
    <w:rsid w:val="00FA16BB"/>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28D"/>
    <w:rsid w:val="00FC7507"/>
    <w:rsid w:val="00FC76AB"/>
    <w:rsid w:val="00FD033A"/>
    <w:rsid w:val="00FD1368"/>
    <w:rsid w:val="00FD1EA7"/>
    <w:rsid w:val="00FD2DC1"/>
    <w:rsid w:val="00FD3C97"/>
    <w:rsid w:val="00FD448C"/>
    <w:rsid w:val="00FD57AD"/>
    <w:rsid w:val="00FD5AE5"/>
    <w:rsid w:val="00FD5B52"/>
    <w:rsid w:val="00FD72A1"/>
    <w:rsid w:val="00FD7415"/>
    <w:rsid w:val="00FD796F"/>
    <w:rsid w:val="00FE01B0"/>
    <w:rsid w:val="00FE09C0"/>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36D6-0A6B-48B5-ACD9-3356722C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2021-09-03T07:42:00Z</cp:lastPrinted>
  <dcterms:created xsi:type="dcterms:W3CDTF">2021-09-10T08:59:00Z</dcterms:created>
  <dcterms:modified xsi:type="dcterms:W3CDTF">2021-09-10T08:59:00Z</dcterms:modified>
</cp:coreProperties>
</file>