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1D96" w:rsidRDefault="00444C01" w:rsidP="00521D96">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ZIMBABWE RUBBER INDU</w:t>
      </w:r>
      <w:r w:rsidR="00384979">
        <w:rPr>
          <w:rFonts w:ascii="Times New Roman" w:hAnsi="Times New Roman" w:cs="Times New Roman"/>
          <w:sz w:val="24"/>
          <w:szCs w:val="24"/>
        </w:rPr>
        <w:t xml:space="preserve">STRIES </w:t>
      </w:r>
      <w:r w:rsidR="00384979">
        <w:rPr>
          <w:rFonts w:ascii="Times New Roman" w:hAnsi="Times New Roman" w:cs="Times New Roman"/>
          <w:sz w:val="24"/>
          <w:szCs w:val="24"/>
        </w:rPr>
        <w:tab/>
      </w:r>
      <w:r w:rsidR="00384979">
        <w:rPr>
          <w:rFonts w:ascii="Times New Roman" w:hAnsi="Times New Roman" w:cs="Times New Roman"/>
          <w:sz w:val="24"/>
          <w:szCs w:val="24"/>
        </w:rPr>
        <w:tab/>
        <w:t>1</w:t>
      </w:r>
      <w:r w:rsidR="00384979" w:rsidRPr="00384979">
        <w:rPr>
          <w:rFonts w:ascii="Times New Roman" w:hAnsi="Times New Roman" w:cs="Times New Roman"/>
          <w:sz w:val="24"/>
          <w:szCs w:val="24"/>
          <w:vertAlign w:val="superscript"/>
        </w:rPr>
        <w:t>ST</w:t>
      </w:r>
      <w:r w:rsidR="00384979">
        <w:rPr>
          <w:rFonts w:ascii="Times New Roman" w:hAnsi="Times New Roman" w:cs="Times New Roman"/>
          <w:sz w:val="24"/>
          <w:szCs w:val="24"/>
        </w:rPr>
        <w:t xml:space="preserve"> APPELLANT</w:t>
      </w:r>
    </w:p>
    <w:p w:rsidR="001B6E43" w:rsidRDefault="0088287E" w:rsidP="00521D9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1B6E43">
        <w:rPr>
          <w:rFonts w:ascii="Times New Roman" w:hAnsi="Times New Roman" w:cs="Times New Roman"/>
          <w:sz w:val="24"/>
          <w:szCs w:val="24"/>
        </w:rPr>
        <w:t>nd</w:t>
      </w:r>
    </w:p>
    <w:p w:rsidR="001B6E43" w:rsidRDefault="00384979" w:rsidP="00384979">
      <w:pPr>
        <w:tabs>
          <w:tab w:val="left" w:pos="510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N.T</w:t>
      </w:r>
      <w:r w:rsidR="00444C01">
        <w:rPr>
          <w:rFonts w:ascii="Times New Roman" w:hAnsi="Times New Roman" w:cs="Times New Roman"/>
          <w:sz w:val="24"/>
          <w:szCs w:val="24"/>
        </w:rPr>
        <w:t>.</w:t>
      </w:r>
      <w:r>
        <w:rPr>
          <w:rFonts w:ascii="Times New Roman" w:hAnsi="Times New Roman" w:cs="Times New Roman"/>
          <w:sz w:val="24"/>
          <w:szCs w:val="24"/>
        </w:rPr>
        <w:t xml:space="preserve"> MANYUCHI</w:t>
      </w:r>
      <w:r>
        <w:rPr>
          <w:rFonts w:ascii="Times New Roman" w:hAnsi="Times New Roman" w:cs="Times New Roman"/>
          <w:sz w:val="24"/>
          <w:szCs w:val="24"/>
        </w:rPr>
        <w:tab/>
        <w:t>2</w:t>
      </w:r>
      <w:r w:rsidRPr="00384979">
        <w:rPr>
          <w:rFonts w:ascii="Times New Roman" w:hAnsi="Times New Roman" w:cs="Times New Roman"/>
          <w:sz w:val="24"/>
          <w:szCs w:val="24"/>
          <w:vertAlign w:val="superscript"/>
        </w:rPr>
        <w:t>ND</w:t>
      </w:r>
      <w:r>
        <w:rPr>
          <w:rFonts w:ascii="Times New Roman" w:hAnsi="Times New Roman" w:cs="Times New Roman"/>
          <w:sz w:val="24"/>
          <w:szCs w:val="24"/>
        </w:rPr>
        <w:t xml:space="preserve"> APPELLANT</w:t>
      </w:r>
    </w:p>
    <w:p w:rsidR="001B6E43" w:rsidRDefault="00384979" w:rsidP="00521D9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1B6E43" w:rsidRDefault="00384979" w:rsidP="00521D9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COLLEN FOYA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RESPONDENT</w:t>
      </w:r>
    </w:p>
    <w:p w:rsidR="00521D96" w:rsidRDefault="00521D96" w:rsidP="00521D96">
      <w:pPr>
        <w:tabs>
          <w:tab w:val="left" w:pos="176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rsidR="00521D96" w:rsidRDefault="00521D96" w:rsidP="00521D96">
      <w:pPr>
        <w:spacing w:after="0" w:line="240" w:lineRule="auto"/>
        <w:jc w:val="both"/>
        <w:rPr>
          <w:rFonts w:ascii="Times New Roman" w:hAnsi="Times New Roman" w:cs="Times New Roman"/>
          <w:sz w:val="24"/>
          <w:szCs w:val="24"/>
        </w:rPr>
      </w:pPr>
    </w:p>
    <w:p w:rsidR="00521D96" w:rsidRDefault="00521D96" w:rsidP="00521D9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HIGH COURT OF ZIMBABWE </w:t>
      </w:r>
    </w:p>
    <w:p w:rsidR="00521D96" w:rsidRDefault="00365AFD" w:rsidP="00521D9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MWAYERA AND </w:t>
      </w:r>
      <w:r w:rsidR="00571695">
        <w:rPr>
          <w:rFonts w:ascii="Times New Roman" w:hAnsi="Times New Roman" w:cs="Times New Roman"/>
          <w:sz w:val="24"/>
          <w:szCs w:val="24"/>
        </w:rPr>
        <w:t xml:space="preserve">MUZENDA </w:t>
      </w:r>
      <w:r w:rsidR="00521D96">
        <w:rPr>
          <w:rFonts w:ascii="Times New Roman" w:hAnsi="Times New Roman" w:cs="Times New Roman"/>
          <w:sz w:val="24"/>
          <w:szCs w:val="24"/>
        </w:rPr>
        <w:t>J</w:t>
      </w:r>
      <w:r>
        <w:rPr>
          <w:rFonts w:ascii="Times New Roman" w:hAnsi="Times New Roman" w:cs="Times New Roman"/>
          <w:sz w:val="24"/>
          <w:szCs w:val="24"/>
        </w:rPr>
        <w:t>J</w:t>
      </w:r>
    </w:p>
    <w:p w:rsidR="00521D96" w:rsidRDefault="00521D96" w:rsidP="00521D9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MUTARE, </w:t>
      </w:r>
      <w:r w:rsidR="00A94A1D">
        <w:rPr>
          <w:rFonts w:ascii="Times New Roman" w:hAnsi="Times New Roman" w:cs="Times New Roman"/>
          <w:sz w:val="24"/>
          <w:szCs w:val="24"/>
        </w:rPr>
        <w:t>8</w:t>
      </w:r>
      <w:r w:rsidR="00A94A1D">
        <w:rPr>
          <w:rFonts w:ascii="Times New Roman" w:hAnsi="Times New Roman" w:cs="Times New Roman"/>
          <w:sz w:val="24"/>
          <w:szCs w:val="24"/>
          <w:vertAlign w:val="superscript"/>
        </w:rPr>
        <w:t xml:space="preserve"> </w:t>
      </w:r>
      <w:r w:rsidR="00365AFD">
        <w:rPr>
          <w:rFonts w:ascii="Times New Roman" w:hAnsi="Times New Roman" w:cs="Times New Roman"/>
          <w:sz w:val="24"/>
          <w:szCs w:val="24"/>
        </w:rPr>
        <w:t>October</w:t>
      </w:r>
      <w:r w:rsidR="00A94A1D">
        <w:rPr>
          <w:rFonts w:ascii="Times New Roman" w:hAnsi="Times New Roman" w:cs="Times New Roman"/>
          <w:sz w:val="24"/>
          <w:szCs w:val="24"/>
        </w:rPr>
        <w:t xml:space="preserve"> 2020</w:t>
      </w:r>
    </w:p>
    <w:p w:rsidR="00521D96" w:rsidRDefault="00521D96" w:rsidP="00521D96">
      <w:pPr>
        <w:spacing w:after="0" w:line="240" w:lineRule="auto"/>
        <w:jc w:val="both"/>
        <w:rPr>
          <w:rFonts w:ascii="Times New Roman" w:hAnsi="Times New Roman" w:cs="Times New Roman"/>
          <w:sz w:val="24"/>
          <w:szCs w:val="24"/>
        </w:rPr>
      </w:pPr>
    </w:p>
    <w:p w:rsidR="00521D96" w:rsidRDefault="00521D96" w:rsidP="00521D96">
      <w:pPr>
        <w:spacing w:after="0" w:line="240" w:lineRule="auto"/>
        <w:jc w:val="both"/>
        <w:rPr>
          <w:rFonts w:ascii="Times New Roman" w:hAnsi="Times New Roman" w:cs="Times New Roman"/>
          <w:sz w:val="24"/>
          <w:szCs w:val="24"/>
        </w:rPr>
      </w:pPr>
    </w:p>
    <w:p w:rsidR="0057248A" w:rsidRPr="006F2779" w:rsidRDefault="00A94A1D" w:rsidP="0057248A">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Civil Appeal </w:t>
      </w:r>
      <w:r w:rsidR="0057248A" w:rsidRPr="0057248A">
        <w:rPr>
          <w:rFonts w:ascii="Times New Roman" w:hAnsi="Times New Roman" w:cs="Times New Roman"/>
          <w:sz w:val="24"/>
          <w:szCs w:val="24"/>
        </w:rPr>
        <w:t>(</w:t>
      </w:r>
      <w:r w:rsidR="0057248A" w:rsidRPr="006F2779">
        <w:rPr>
          <w:rFonts w:ascii="Times New Roman" w:hAnsi="Times New Roman" w:cs="Times New Roman"/>
          <w:sz w:val="24"/>
          <w:szCs w:val="24"/>
        </w:rPr>
        <w:t>Reasons for J</w:t>
      </w:r>
      <w:r w:rsidR="0057248A">
        <w:rPr>
          <w:rFonts w:ascii="Times New Roman" w:hAnsi="Times New Roman" w:cs="Times New Roman"/>
          <w:sz w:val="24"/>
          <w:szCs w:val="24"/>
        </w:rPr>
        <w:t>udgment)</w:t>
      </w:r>
    </w:p>
    <w:p w:rsidR="00A94A1D" w:rsidRDefault="00A94A1D" w:rsidP="00521D96">
      <w:pPr>
        <w:spacing w:after="0" w:line="240" w:lineRule="auto"/>
        <w:rPr>
          <w:rFonts w:ascii="Times New Roman" w:hAnsi="Times New Roman" w:cs="Times New Roman"/>
          <w:b/>
          <w:sz w:val="24"/>
          <w:szCs w:val="24"/>
        </w:rPr>
      </w:pPr>
    </w:p>
    <w:p w:rsidR="00521D96" w:rsidRDefault="00521D96" w:rsidP="00521D96">
      <w:pPr>
        <w:spacing w:after="0" w:line="240" w:lineRule="auto"/>
        <w:rPr>
          <w:rFonts w:ascii="Times New Roman" w:hAnsi="Times New Roman" w:cs="Times New Roman"/>
          <w:b/>
          <w:sz w:val="24"/>
          <w:szCs w:val="24"/>
        </w:rPr>
      </w:pPr>
    </w:p>
    <w:p w:rsidR="00521D96" w:rsidRDefault="00521D96" w:rsidP="00521D96">
      <w:pPr>
        <w:spacing w:after="0" w:line="240" w:lineRule="auto"/>
        <w:rPr>
          <w:rFonts w:ascii="Times New Roman" w:hAnsi="Times New Roman" w:cs="Times New Roman"/>
          <w:b/>
          <w:sz w:val="24"/>
          <w:szCs w:val="24"/>
        </w:rPr>
      </w:pPr>
    </w:p>
    <w:p w:rsidR="00521D96" w:rsidRDefault="00A94A1D" w:rsidP="00521D96">
      <w:pPr>
        <w:spacing w:after="0" w:line="240" w:lineRule="auto"/>
        <w:rPr>
          <w:rFonts w:ascii="Times New Roman" w:hAnsi="Times New Roman" w:cs="Times New Roman"/>
          <w:sz w:val="24"/>
          <w:szCs w:val="24"/>
        </w:rPr>
      </w:pPr>
      <w:r>
        <w:rPr>
          <w:rFonts w:ascii="Times New Roman" w:hAnsi="Times New Roman" w:cs="Times New Roman"/>
          <w:i/>
          <w:sz w:val="24"/>
          <w:szCs w:val="24"/>
        </w:rPr>
        <w:t>V Chinzamba,</w:t>
      </w:r>
      <w:r>
        <w:rPr>
          <w:rFonts w:ascii="Times New Roman" w:hAnsi="Times New Roman" w:cs="Times New Roman"/>
          <w:sz w:val="24"/>
          <w:szCs w:val="24"/>
        </w:rPr>
        <w:t xml:space="preserve"> for the Appellants</w:t>
      </w:r>
    </w:p>
    <w:p w:rsidR="00521D96" w:rsidRDefault="00A94A1D" w:rsidP="00521D96">
      <w:pPr>
        <w:spacing w:after="0" w:line="240" w:lineRule="auto"/>
        <w:rPr>
          <w:rFonts w:ascii="Times New Roman" w:hAnsi="Times New Roman" w:cs="Times New Roman"/>
          <w:sz w:val="24"/>
          <w:szCs w:val="24"/>
        </w:rPr>
      </w:pPr>
      <w:r>
        <w:rPr>
          <w:rFonts w:ascii="Times New Roman" w:hAnsi="Times New Roman" w:cs="Times New Roman"/>
          <w:sz w:val="24"/>
          <w:szCs w:val="24"/>
        </w:rPr>
        <w:t>C.N Mukwena</w:t>
      </w:r>
      <w:r w:rsidR="00521D96">
        <w:rPr>
          <w:rFonts w:ascii="Times New Roman" w:hAnsi="Times New Roman" w:cs="Times New Roman"/>
          <w:sz w:val="24"/>
          <w:szCs w:val="24"/>
        </w:rPr>
        <w:t xml:space="preserve">, for the </w:t>
      </w:r>
      <w:r>
        <w:rPr>
          <w:rFonts w:ascii="Times New Roman" w:hAnsi="Times New Roman" w:cs="Times New Roman"/>
          <w:sz w:val="24"/>
          <w:szCs w:val="24"/>
        </w:rPr>
        <w:t>R</w:t>
      </w:r>
      <w:r w:rsidR="00521D96">
        <w:rPr>
          <w:rFonts w:ascii="Times New Roman" w:hAnsi="Times New Roman" w:cs="Times New Roman"/>
          <w:sz w:val="24"/>
          <w:szCs w:val="24"/>
        </w:rPr>
        <w:t>espondent</w:t>
      </w:r>
    </w:p>
    <w:p w:rsidR="00521D96" w:rsidRDefault="00521D96" w:rsidP="00521D96">
      <w:pPr>
        <w:spacing w:after="0" w:line="240" w:lineRule="auto"/>
        <w:jc w:val="both"/>
        <w:rPr>
          <w:rFonts w:ascii="Times New Roman" w:hAnsi="Times New Roman" w:cs="Times New Roman"/>
          <w:sz w:val="24"/>
          <w:szCs w:val="24"/>
        </w:rPr>
      </w:pPr>
    </w:p>
    <w:p w:rsidR="00521D96" w:rsidRDefault="00521D96" w:rsidP="00521D96">
      <w:pPr>
        <w:spacing w:after="0" w:line="240" w:lineRule="auto"/>
        <w:jc w:val="both"/>
        <w:rPr>
          <w:rFonts w:ascii="Times New Roman" w:hAnsi="Times New Roman" w:cs="Times New Roman"/>
          <w:sz w:val="24"/>
          <w:szCs w:val="24"/>
        </w:rPr>
      </w:pPr>
    </w:p>
    <w:p w:rsidR="00521D96" w:rsidRPr="00465643" w:rsidRDefault="00521D96" w:rsidP="00A94A1D">
      <w:pPr>
        <w:tabs>
          <w:tab w:val="left" w:pos="709"/>
        </w:tabs>
        <w:spacing w:after="0" w:line="360" w:lineRule="auto"/>
        <w:ind w:firstLine="720"/>
        <w:jc w:val="both"/>
        <w:rPr>
          <w:rFonts w:ascii="Times New Roman" w:hAnsi="Times New Roman" w:cs="Times New Roman"/>
          <w:sz w:val="24"/>
          <w:szCs w:val="24"/>
        </w:rPr>
      </w:pPr>
      <w:r w:rsidRPr="00465643">
        <w:rPr>
          <w:rFonts w:ascii="Times New Roman" w:hAnsi="Times New Roman" w:cs="Times New Roman"/>
          <w:sz w:val="24"/>
          <w:szCs w:val="24"/>
        </w:rPr>
        <w:t xml:space="preserve">MUZENDA J: </w:t>
      </w:r>
      <w:r w:rsidR="00A94A1D">
        <w:rPr>
          <w:rFonts w:ascii="Times New Roman" w:hAnsi="Times New Roman" w:cs="Times New Roman"/>
          <w:sz w:val="24"/>
          <w:szCs w:val="24"/>
        </w:rPr>
        <w:t>This is an appeal against the whole judgment of Provincial Magistrate sitting at Mutare on 25 February 2020 where the appellants outlined the grounds of appeal as follows:</w:t>
      </w:r>
    </w:p>
    <w:p w:rsidR="002D3B86" w:rsidRPr="00A94A1D" w:rsidRDefault="00A94A1D" w:rsidP="00521D96">
      <w:pPr>
        <w:spacing w:after="0" w:line="360" w:lineRule="auto"/>
        <w:jc w:val="both"/>
        <w:rPr>
          <w:rFonts w:ascii="Times New Roman" w:hAnsi="Times New Roman" w:cs="Times New Roman"/>
          <w:sz w:val="24"/>
          <w:szCs w:val="24"/>
          <w:u w:val="single"/>
        </w:rPr>
      </w:pPr>
      <w:r>
        <w:rPr>
          <w:rFonts w:ascii="Times New Roman" w:hAnsi="Times New Roman" w:cs="Times New Roman"/>
          <w:sz w:val="24"/>
          <w:szCs w:val="24"/>
          <w:u w:val="single"/>
        </w:rPr>
        <w:t>GROUNDS OF APPEAL</w:t>
      </w:r>
    </w:p>
    <w:p w:rsidR="00521D96" w:rsidRDefault="00A94A1D" w:rsidP="00037F27">
      <w:pPr>
        <w:pStyle w:val="ListParagraph"/>
        <w:numPr>
          <w:ilvl w:val="0"/>
          <w:numId w:val="2"/>
        </w:numPr>
        <w:tabs>
          <w:tab w:val="left" w:pos="426"/>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The learned Magistrate erred at law by making a finding on the facts that the lease agreement between the parties had not been properly terminated.</w:t>
      </w:r>
    </w:p>
    <w:p w:rsidR="00521D96" w:rsidRDefault="002D3B86" w:rsidP="00521D96">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00A94A1D">
        <w:rPr>
          <w:rFonts w:ascii="Times New Roman" w:hAnsi="Times New Roman" w:cs="Times New Roman"/>
          <w:sz w:val="24"/>
          <w:szCs w:val="24"/>
        </w:rPr>
        <w:t xml:space="preserve">learned Magistrate also erred at law by making a finding on the facts that the respondent was in peaceful occupation of the premises when the </w:t>
      </w:r>
      <w:r w:rsidR="008F314D">
        <w:rPr>
          <w:rFonts w:ascii="Times New Roman" w:hAnsi="Times New Roman" w:cs="Times New Roman"/>
          <w:sz w:val="24"/>
          <w:szCs w:val="24"/>
        </w:rPr>
        <w:t>a</w:t>
      </w:r>
      <w:r w:rsidR="00A94A1D">
        <w:rPr>
          <w:rFonts w:ascii="Times New Roman" w:hAnsi="Times New Roman" w:cs="Times New Roman"/>
          <w:sz w:val="24"/>
          <w:szCs w:val="24"/>
        </w:rPr>
        <w:t>ppellants came to the premises and started renovating them.</w:t>
      </w:r>
    </w:p>
    <w:p w:rsidR="00521D96" w:rsidRPr="008F314D" w:rsidRDefault="00A94A1D" w:rsidP="00F80CA4">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court a quo thus misdirected itself when it concluded that the </w:t>
      </w:r>
      <w:r w:rsidR="008F314D">
        <w:rPr>
          <w:rFonts w:ascii="Times New Roman" w:hAnsi="Times New Roman" w:cs="Times New Roman"/>
          <w:sz w:val="24"/>
          <w:szCs w:val="24"/>
        </w:rPr>
        <w:t>a</w:t>
      </w:r>
      <w:r>
        <w:rPr>
          <w:rFonts w:ascii="Times New Roman" w:hAnsi="Times New Roman" w:cs="Times New Roman"/>
          <w:sz w:val="24"/>
          <w:szCs w:val="24"/>
        </w:rPr>
        <w:t>ppellants took the law into their own hands and</w:t>
      </w:r>
      <w:r w:rsidR="008F314D">
        <w:rPr>
          <w:rFonts w:ascii="Times New Roman" w:hAnsi="Times New Roman" w:cs="Times New Roman"/>
          <w:sz w:val="24"/>
          <w:szCs w:val="24"/>
        </w:rPr>
        <w:t xml:space="preserve"> despoiled the respondents.</w:t>
      </w:r>
    </w:p>
    <w:p w:rsidR="00452668" w:rsidRDefault="008F314D" w:rsidP="008F314D">
      <w:pPr>
        <w:tabs>
          <w:tab w:val="left" w:pos="70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appellants pray that the appeal succeeds and that the judgment of the court </w:t>
      </w:r>
      <w:r w:rsidRPr="008F314D">
        <w:rPr>
          <w:rFonts w:ascii="Times New Roman" w:hAnsi="Times New Roman" w:cs="Times New Roman"/>
          <w:i/>
          <w:sz w:val="24"/>
          <w:szCs w:val="24"/>
        </w:rPr>
        <w:t>a quo</w:t>
      </w:r>
      <w:r>
        <w:rPr>
          <w:rFonts w:ascii="Times New Roman" w:hAnsi="Times New Roman" w:cs="Times New Roman"/>
          <w:sz w:val="24"/>
          <w:szCs w:val="24"/>
        </w:rPr>
        <w:t xml:space="preserve"> be set aside and be substituted with one dismissing the application with costs.</w:t>
      </w:r>
    </w:p>
    <w:p w:rsidR="008F314D" w:rsidRDefault="008F314D" w:rsidP="008F314D">
      <w:pPr>
        <w:tabs>
          <w:tab w:val="left" w:pos="70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appeal is opposed by the Respondent.</w:t>
      </w:r>
    </w:p>
    <w:p w:rsidR="008541D0" w:rsidRDefault="008541D0" w:rsidP="008F314D">
      <w:pPr>
        <w:tabs>
          <w:tab w:val="left" w:pos="709"/>
        </w:tabs>
        <w:spacing w:after="0" w:line="360" w:lineRule="auto"/>
        <w:jc w:val="both"/>
        <w:rPr>
          <w:rFonts w:ascii="Times New Roman" w:hAnsi="Times New Roman" w:cs="Times New Roman"/>
          <w:sz w:val="24"/>
          <w:szCs w:val="24"/>
          <w:u w:val="single"/>
        </w:rPr>
      </w:pPr>
    </w:p>
    <w:p w:rsidR="008541D0" w:rsidRDefault="008541D0" w:rsidP="008F314D">
      <w:pPr>
        <w:tabs>
          <w:tab w:val="left" w:pos="709"/>
        </w:tabs>
        <w:spacing w:after="0" w:line="360" w:lineRule="auto"/>
        <w:jc w:val="both"/>
        <w:rPr>
          <w:rFonts w:ascii="Times New Roman" w:hAnsi="Times New Roman" w:cs="Times New Roman"/>
          <w:sz w:val="24"/>
          <w:szCs w:val="24"/>
          <w:u w:val="single"/>
        </w:rPr>
      </w:pPr>
    </w:p>
    <w:p w:rsidR="008541D0" w:rsidRDefault="008541D0" w:rsidP="008F314D">
      <w:pPr>
        <w:tabs>
          <w:tab w:val="left" w:pos="709"/>
        </w:tabs>
        <w:spacing w:after="0" w:line="360" w:lineRule="auto"/>
        <w:jc w:val="both"/>
        <w:rPr>
          <w:rFonts w:ascii="Times New Roman" w:hAnsi="Times New Roman" w:cs="Times New Roman"/>
          <w:sz w:val="24"/>
          <w:szCs w:val="24"/>
          <w:u w:val="single"/>
        </w:rPr>
      </w:pPr>
    </w:p>
    <w:p w:rsidR="0057248A" w:rsidRDefault="0057248A" w:rsidP="008F314D">
      <w:pPr>
        <w:tabs>
          <w:tab w:val="left" w:pos="709"/>
        </w:tabs>
        <w:spacing w:after="0" w:line="360" w:lineRule="auto"/>
        <w:jc w:val="both"/>
        <w:rPr>
          <w:rFonts w:ascii="Times New Roman" w:hAnsi="Times New Roman" w:cs="Times New Roman"/>
          <w:sz w:val="24"/>
          <w:szCs w:val="24"/>
          <w:u w:val="single"/>
        </w:rPr>
      </w:pPr>
    </w:p>
    <w:p w:rsidR="008F314D" w:rsidRPr="008541D0" w:rsidRDefault="008F314D" w:rsidP="008F314D">
      <w:pPr>
        <w:tabs>
          <w:tab w:val="left" w:pos="709"/>
        </w:tabs>
        <w:spacing w:after="0" w:line="360" w:lineRule="auto"/>
        <w:jc w:val="both"/>
        <w:rPr>
          <w:rFonts w:ascii="Times New Roman" w:hAnsi="Times New Roman" w:cs="Times New Roman"/>
          <w:sz w:val="24"/>
          <w:szCs w:val="24"/>
          <w:u w:val="single"/>
        </w:rPr>
      </w:pPr>
      <w:r w:rsidRPr="008541D0">
        <w:rPr>
          <w:rFonts w:ascii="Times New Roman" w:hAnsi="Times New Roman" w:cs="Times New Roman"/>
          <w:sz w:val="24"/>
          <w:szCs w:val="24"/>
          <w:u w:val="single"/>
        </w:rPr>
        <w:lastRenderedPageBreak/>
        <w:t>BACKGROUND FACTS</w:t>
      </w:r>
    </w:p>
    <w:p w:rsidR="00F06B76" w:rsidRDefault="008B7984" w:rsidP="008F314D">
      <w:pPr>
        <w:tabs>
          <w:tab w:val="left" w:pos="709"/>
        </w:tabs>
        <w:spacing w:after="0" w:line="360" w:lineRule="auto"/>
        <w:jc w:val="both"/>
        <w:rPr>
          <w:rFonts w:ascii="Times New Roman" w:hAnsi="Times New Roman" w:cs="Times New Roman"/>
          <w:sz w:val="24"/>
          <w:szCs w:val="24"/>
        </w:rPr>
      </w:pPr>
      <w:r w:rsidRPr="008B7984">
        <w:rPr>
          <w:rFonts w:ascii="Times New Roman" w:hAnsi="Times New Roman" w:cs="Times New Roman"/>
          <w:sz w:val="24"/>
          <w:szCs w:val="24"/>
        </w:rPr>
        <w:tab/>
        <w:t xml:space="preserve">On </w:t>
      </w:r>
      <w:r w:rsidR="008F314D">
        <w:rPr>
          <w:rFonts w:ascii="Times New Roman" w:hAnsi="Times New Roman" w:cs="Times New Roman"/>
          <w:sz w:val="24"/>
          <w:szCs w:val="24"/>
        </w:rPr>
        <w:t>10 January 2020 the resp</w:t>
      </w:r>
      <w:r w:rsidR="002451B3">
        <w:rPr>
          <w:rFonts w:ascii="Times New Roman" w:hAnsi="Times New Roman" w:cs="Times New Roman"/>
          <w:sz w:val="24"/>
          <w:szCs w:val="24"/>
        </w:rPr>
        <w:t>ondent filed an</w:t>
      </w:r>
      <w:r w:rsidR="008F314D">
        <w:rPr>
          <w:rFonts w:ascii="Times New Roman" w:hAnsi="Times New Roman" w:cs="Times New Roman"/>
          <w:sz w:val="24"/>
          <w:szCs w:val="24"/>
        </w:rPr>
        <w:t xml:space="preserve"> </w:t>
      </w:r>
      <w:r w:rsidR="008F314D" w:rsidRPr="002451B3">
        <w:rPr>
          <w:rFonts w:ascii="Times New Roman" w:hAnsi="Times New Roman" w:cs="Times New Roman"/>
          <w:i/>
          <w:sz w:val="24"/>
          <w:szCs w:val="24"/>
        </w:rPr>
        <w:t>exparte</w:t>
      </w:r>
      <w:r w:rsidR="008F314D">
        <w:rPr>
          <w:rFonts w:ascii="Times New Roman" w:hAnsi="Times New Roman" w:cs="Times New Roman"/>
          <w:sz w:val="24"/>
          <w:szCs w:val="24"/>
        </w:rPr>
        <w:t xml:space="preserve"> application </w:t>
      </w:r>
      <w:r w:rsidR="00DB3980">
        <w:rPr>
          <w:rFonts w:ascii="Times New Roman" w:hAnsi="Times New Roman" w:cs="Times New Roman"/>
          <w:sz w:val="24"/>
          <w:szCs w:val="24"/>
        </w:rPr>
        <w:t xml:space="preserve">for a spoliation order at Mutare Provincial Magistrate’s Court on the basis that on 6 January 2020 the current appellants had ordered their employees to invade </w:t>
      </w:r>
      <w:r w:rsidR="002451B3">
        <w:rPr>
          <w:rFonts w:ascii="Times New Roman" w:hAnsi="Times New Roman" w:cs="Times New Roman"/>
          <w:sz w:val="24"/>
          <w:szCs w:val="24"/>
        </w:rPr>
        <w:t xml:space="preserve">a </w:t>
      </w:r>
      <w:r w:rsidR="00DB3980">
        <w:rPr>
          <w:rFonts w:ascii="Times New Roman" w:hAnsi="Times New Roman" w:cs="Times New Roman"/>
          <w:sz w:val="24"/>
          <w:szCs w:val="24"/>
        </w:rPr>
        <w:t>commercial stand housing a service station where the respondent was the tenant and operator. Respondent attached a lease agreement to his application dated 14 March 2019. When the respondent’s employees invaded the service stat</w:t>
      </w:r>
      <w:r w:rsidR="008541D0">
        <w:rPr>
          <w:rFonts w:ascii="Times New Roman" w:hAnsi="Times New Roman" w:cs="Times New Roman"/>
          <w:sz w:val="24"/>
          <w:szCs w:val="24"/>
        </w:rPr>
        <w:t>ion they disjointed fuel pump un</w:t>
      </w:r>
      <w:r w:rsidR="00DB3980">
        <w:rPr>
          <w:rFonts w:ascii="Times New Roman" w:hAnsi="Times New Roman" w:cs="Times New Roman"/>
          <w:sz w:val="24"/>
          <w:szCs w:val="24"/>
        </w:rPr>
        <w:t xml:space="preserve">its, parked a truck in front of a diesel fuel tank blocking the current respondent’s deliveries. On 9 January appellant’s staff allegedly repossessed the service station, removed the marketing brands and started painting the rails and tanks removing respondent’s colours. The respondent claimed that he had been </w:t>
      </w:r>
      <w:r w:rsidR="009B1C21">
        <w:rPr>
          <w:rFonts w:ascii="Times New Roman" w:hAnsi="Times New Roman" w:cs="Times New Roman"/>
          <w:sz w:val="24"/>
          <w:szCs w:val="24"/>
        </w:rPr>
        <w:t>despoil</w:t>
      </w:r>
      <w:r w:rsidR="00DB3980">
        <w:rPr>
          <w:rFonts w:ascii="Times New Roman" w:hAnsi="Times New Roman" w:cs="Times New Roman"/>
          <w:sz w:val="24"/>
          <w:szCs w:val="24"/>
        </w:rPr>
        <w:t>ed without due process.</w:t>
      </w:r>
    </w:p>
    <w:p w:rsidR="00DB3980" w:rsidRDefault="00F06B76" w:rsidP="008F314D">
      <w:pPr>
        <w:tabs>
          <w:tab w:val="left" w:pos="70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On the same date, when the </w:t>
      </w:r>
      <w:r w:rsidRPr="00C7507E">
        <w:rPr>
          <w:rFonts w:ascii="Times New Roman" w:hAnsi="Times New Roman" w:cs="Times New Roman"/>
          <w:i/>
          <w:sz w:val="24"/>
          <w:szCs w:val="24"/>
        </w:rPr>
        <w:t>exparte</w:t>
      </w:r>
      <w:r>
        <w:rPr>
          <w:rFonts w:ascii="Times New Roman" w:hAnsi="Times New Roman" w:cs="Times New Roman"/>
          <w:sz w:val="24"/>
          <w:szCs w:val="24"/>
        </w:rPr>
        <w:t xml:space="preserve"> application was filed, the Learned Provincial Magistrate at Mutare granted a provisional order returnable on 22 January 2020</w:t>
      </w:r>
      <w:r w:rsidR="00C7507E">
        <w:rPr>
          <w:rFonts w:ascii="Times New Roman" w:hAnsi="Times New Roman" w:cs="Times New Roman"/>
          <w:sz w:val="24"/>
          <w:szCs w:val="24"/>
        </w:rPr>
        <w:t xml:space="preserve"> </w:t>
      </w:r>
      <w:r>
        <w:rPr>
          <w:rFonts w:ascii="Times New Roman" w:hAnsi="Times New Roman" w:cs="Times New Roman"/>
          <w:sz w:val="24"/>
          <w:szCs w:val="24"/>
        </w:rPr>
        <w:t xml:space="preserve">virtually restoring the </w:t>
      </w:r>
      <w:r w:rsidRPr="00F06B76">
        <w:rPr>
          <w:rFonts w:ascii="Times New Roman" w:hAnsi="Times New Roman" w:cs="Times New Roman"/>
          <w:i/>
          <w:sz w:val="24"/>
          <w:szCs w:val="24"/>
        </w:rPr>
        <w:t>status quo ante</w:t>
      </w:r>
      <w:r>
        <w:rPr>
          <w:rFonts w:ascii="Times New Roman" w:hAnsi="Times New Roman" w:cs="Times New Roman"/>
          <w:sz w:val="24"/>
          <w:szCs w:val="24"/>
        </w:rPr>
        <w:t xml:space="preserve"> granting respondent access to the premises and allow</w:t>
      </w:r>
      <w:r w:rsidR="00C7507E">
        <w:rPr>
          <w:rFonts w:ascii="Times New Roman" w:hAnsi="Times New Roman" w:cs="Times New Roman"/>
          <w:sz w:val="24"/>
          <w:szCs w:val="24"/>
        </w:rPr>
        <w:t>ed</w:t>
      </w:r>
      <w:r>
        <w:rPr>
          <w:rFonts w:ascii="Times New Roman" w:hAnsi="Times New Roman" w:cs="Times New Roman"/>
          <w:sz w:val="24"/>
          <w:szCs w:val="24"/>
        </w:rPr>
        <w:t xml:space="preserve"> him to operate the service station.</w:t>
      </w:r>
    </w:p>
    <w:p w:rsidR="00F06B76" w:rsidRDefault="00F06B76" w:rsidP="008F314D">
      <w:pPr>
        <w:tabs>
          <w:tab w:val="left" w:pos="70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Appellants filed their opposing papers in the court </w:t>
      </w:r>
      <w:r w:rsidRPr="00F06B76">
        <w:rPr>
          <w:rFonts w:ascii="Times New Roman" w:hAnsi="Times New Roman" w:cs="Times New Roman"/>
          <w:i/>
          <w:sz w:val="24"/>
          <w:szCs w:val="24"/>
        </w:rPr>
        <w:t>a quo</w:t>
      </w:r>
      <w:r>
        <w:rPr>
          <w:rFonts w:ascii="Times New Roman" w:hAnsi="Times New Roman" w:cs="Times New Roman"/>
          <w:sz w:val="24"/>
          <w:szCs w:val="24"/>
        </w:rPr>
        <w:t xml:space="preserve"> firstly raising preliminary points to the effect that the respondent had adopted a wrong procedure by filing an application than using summons. On the merits of the application appellants contended that the respondent was no longer in occupation of the property and had abandoned the site when appellants’ construction team moved onto the premises to remove the logos and repair the building. To the appellants respondent had heeded to the landlord’s notice to vacate. The appellants denied the rest of the respondent’s averments in his affidavit about </w:t>
      </w:r>
      <w:r w:rsidR="003B3016">
        <w:rPr>
          <w:rFonts w:ascii="Times New Roman" w:hAnsi="Times New Roman" w:cs="Times New Roman"/>
          <w:sz w:val="24"/>
          <w:szCs w:val="24"/>
        </w:rPr>
        <w:t>the dismantling of fuel tanks. The appellants prayed for the dismissal of respondent’s application.</w:t>
      </w:r>
    </w:p>
    <w:p w:rsidR="003B3016" w:rsidRDefault="003B3016" w:rsidP="008F314D">
      <w:pPr>
        <w:tabs>
          <w:tab w:val="left" w:pos="70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On 25 February 2020 the lower court dismissed appellants’ points </w:t>
      </w:r>
      <w:r w:rsidRPr="003B3016">
        <w:rPr>
          <w:rFonts w:ascii="Times New Roman" w:hAnsi="Times New Roman" w:cs="Times New Roman"/>
          <w:i/>
          <w:sz w:val="24"/>
          <w:szCs w:val="24"/>
        </w:rPr>
        <w:t>in limine</w:t>
      </w:r>
      <w:r>
        <w:rPr>
          <w:rFonts w:ascii="Times New Roman" w:hAnsi="Times New Roman" w:cs="Times New Roman"/>
          <w:sz w:val="24"/>
          <w:szCs w:val="24"/>
        </w:rPr>
        <w:t xml:space="preserve"> on the basis that the purposes of a spoliation is to restore the </w:t>
      </w:r>
      <w:r w:rsidRPr="003B3016">
        <w:rPr>
          <w:rFonts w:ascii="Times New Roman" w:hAnsi="Times New Roman" w:cs="Times New Roman"/>
          <w:i/>
          <w:sz w:val="24"/>
          <w:szCs w:val="24"/>
        </w:rPr>
        <w:t>status quo</w:t>
      </w:r>
      <w:r>
        <w:rPr>
          <w:rFonts w:ascii="Times New Roman" w:hAnsi="Times New Roman" w:cs="Times New Roman"/>
          <w:sz w:val="24"/>
          <w:szCs w:val="24"/>
        </w:rPr>
        <w:t xml:space="preserve"> </w:t>
      </w:r>
      <w:r w:rsidRPr="003B3016">
        <w:rPr>
          <w:rFonts w:ascii="Times New Roman" w:hAnsi="Times New Roman" w:cs="Times New Roman"/>
          <w:i/>
          <w:sz w:val="24"/>
          <w:szCs w:val="24"/>
        </w:rPr>
        <w:t>ante</w:t>
      </w:r>
      <w:r>
        <w:rPr>
          <w:rFonts w:ascii="Times New Roman" w:hAnsi="Times New Roman" w:cs="Times New Roman"/>
          <w:sz w:val="24"/>
          <w:szCs w:val="24"/>
        </w:rPr>
        <w:t xml:space="preserve"> until whatever dispute between the parties is resolved. The court </w:t>
      </w:r>
      <w:r w:rsidRPr="003B3016">
        <w:rPr>
          <w:rFonts w:ascii="Times New Roman" w:hAnsi="Times New Roman" w:cs="Times New Roman"/>
          <w:i/>
          <w:sz w:val="24"/>
          <w:szCs w:val="24"/>
        </w:rPr>
        <w:t>a quo</w:t>
      </w:r>
      <w:r>
        <w:rPr>
          <w:rFonts w:ascii="Times New Roman" w:hAnsi="Times New Roman" w:cs="Times New Roman"/>
          <w:sz w:val="24"/>
          <w:szCs w:val="24"/>
        </w:rPr>
        <w:t xml:space="preserve"> went on to rule that any act done without a court order is unlawful. The lower court proceeded further to confirm the provisional order </w:t>
      </w:r>
      <w:r w:rsidR="00B014CD">
        <w:rPr>
          <w:rFonts w:ascii="Times New Roman" w:hAnsi="Times New Roman" w:cs="Times New Roman"/>
          <w:sz w:val="24"/>
          <w:szCs w:val="24"/>
        </w:rPr>
        <w:t xml:space="preserve">of </w:t>
      </w:r>
      <w:r>
        <w:rPr>
          <w:rFonts w:ascii="Times New Roman" w:hAnsi="Times New Roman" w:cs="Times New Roman"/>
          <w:sz w:val="24"/>
          <w:szCs w:val="24"/>
        </w:rPr>
        <w:t>10 January 2020 after concluding that the conduct of the appellants amounted to spoliation. It is this order by the lower court which triggered this appeal before this court.</w:t>
      </w:r>
    </w:p>
    <w:p w:rsidR="008541D0" w:rsidRDefault="008541D0" w:rsidP="008F314D">
      <w:pPr>
        <w:tabs>
          <w:tab w:val="left" w:pos="709"/>
        </w:tabs>
        <w:spacing w:after="0" w:line="360" w:lineRule="auto"/>
        <w:jc w:val="both"/>
        <w:rPr>
          <w:rFonts w:ascii="Times New Roman" w:hAnsi="Times New Roman" w:cs="Times New Roman"/>
          <w:sz w:val="24"/>
          <w:szCs w:val="24"/>
          <w:u w:val="single"/>
        </w:rPr>
      </w:pPr>
    </w:p>
    <w:p w:rsidR="008541D0" w:rsidRDefault="008541D0" w:rsidP="008F314D">
      <w:pPr>
        <w:tabs>
          <w:tab w:val="left" w:pos="709"/>
        </w:tabs>
        <w:spacing w:after="0" w:line="360" w:lineRule="auto"/>
        <w:jc w:val="both"/>
        <w:rPr>
          <w:rFonts w:ascii="Times New Roman" w:hAnsi="Times New Roman" w:cs="Times New Roman"/>
          <w:sz w:val="24"/>
          <w:szCs w:val="24"/>
          <w:u w:val="single"/>
        </w:rPr>
      </w:pPr>
    </w:p>
    <w:p w:rsidR="008541D0" w:rsidRDefault="008541D0" w:rsidP="008F314D">
      <w:pPr>
        <w:tabs>
          <w:tab w:val="left" w:pos="709"/>
        </w:tabs>
        <w:spacing w:after="0" w:line="360" w:lineRule="auto"/>
        <w:jc w:val="both"/>
        <w:rPr>
          <w:rFonts w:ascii="Times New Roman" w:hAnsi="Times New Roman" w:cs="Times New Roman"/>
          <w:sz w:val="24"/>
          <w:szCs w:val="24"/>
          <w:u w:val="single"/>
        </w:rPr>
      </w:pPr>
    </w:p>
    <w:p w:rsidR="003B3016" w:rsidRPr="008541D0" w:rsidRDefault="003B3016" w:rsidP="008F314D">
      <w:pPr>
        <w:tabs>
          <w:tab w:val="left" w:pos="709"/>
        </w:tabs>
        <w:spacing w:after="0" w:line="360" w:lineRule="auto"/>
        <w:jc w:val="both"/>
        <w:rPr>
          <w:rFonts w:ascii="Times New Roman" w:hAnsi="Times New Roman" w:cs="Times New Roman"/>
          <w:sz w:val="24"/>
          <w:szCs w:val="24"/>
          <w:u w:val="single"/>
        </w:rPr>
      </w:pPr>
      <w:r w:rsidRPr="008541D0">
        <w:rPr>
          <w:rFonts w:ascii="Times New Roman" w:hAnsi="Times New Roman" w:cs="Times New Roman"/>
          <w:sz w:val="24"/>
          <w:szCs w:val="24"/>
          <w:u w:val="single"/>
        </w:rPr>
        <w:lastRenderedPageBreak/>
        <w:t>SUBMISSIONS BY BOTH COUNSEL BEFORE THIS COURT</w:t>
      </w:r>
    </w:p>
    <w:p w:rsidR="003B3016" w:rsidRDefault="003B3016" w:rsidP="008F314D">
      <w:pPr>
        <w:tabs>
          <w:tab w:val="left" w:pos="70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submissions by the appellant are on p</w:t>
      </w:r>
      <w:r w:rsidR="0057248A">
        <w:rPr>
          <w:rFonts w:ascii="Times New Roman" w:hAnsi="Times New Roman" w:cs="Times New Roman"/>
          <w:sz w:val="24"/>
          <w:szCs w:val="24"/>
        </w:rPr>
        <w:t xml:space="preserve"> </w:t>
      </w:r>
      <w:r>
        <w:rPr>
          <w:rFonts w:ascii="Times New Roman" w:hAnsi="Times New Roman" w:cs="Times New Roman"/>
          <w:sz w:val="24"/>
          <w:szCs w:val="24"/>
        </w:rPr>
        <w:t xml:space="preserve">52 of the record and they are labelled “Respondents Heads of Argument.” In the body of the so-called respondents’ heads, </w:t>
      </w:r>
      <w:r w:rsidR="00DF0D74">
        <w:rPr>
          <w:rFonts w:ascii="Times New Roman" w:hAnsi="Times New Roman" w:cs="Times New Roman"/>
          <w:sz w:val="24"/>
          <w:szCs w:val="24"/>
        </w:rPr>
        <w:t xml:space="preserve">appear applicant’s averments. No amendments were sought by </w:t>
      </w:r>
      <w:r w:rsidR="00B014CD">
        <w:rPr>
          <w:rFonts w:ascii="Times New Roman" w:hAnsi="Times New Roman" w:cs="Times New Roman"/>
          <w:sz w:val="24"/>
          <w:szCs w:val="24"/>
        </w:rPr>
        <w:t>counsel on t</w:t>
      </w:r>
      <w:r w:rsidR="00DF0D74">
        <w:rPr>
          <w:rFonts w:ascii="Times New Roman" w:hAnsi="Times New Roman" w:cs="Times New Roman"/>
          <w:sz w:val="24"/>
          <w:szCs w:val="24"/>
        </w:rPr>
        <w:t>he date of hearing even up to t</w:t>
      </w:r>
      <w:r w:rsidR="000E0257">
        <w:rPr>
          <w:rFonts w:ascii="Times New Roman" w:hAnsi="Times New Roman" w:cs="Times New Roman"/>
          <w:sz w:val="24"/>
          <w:szCs w:val="24"/>
        </w:rPr>
        <w:t>his date, there is no amendment</w:t>
      </w:r>
      <w:r w:rsidR="00DF0D74">
        <w:rPr>
          <w:rFonts w:ascii="Times New Roman" w:hAnsi="Times New Roman" w:cs="Times New Roman"/>
          <w:sz w:val="24"/>
          <w:szCs w:val="24"/>
        </w:rPr>
        <w:t xml:space="preserve"> to the caption. The court proceeded to hear the appellant. The introduction of the heads speak of “Applicant” and first and second respondent in tandem with the heading of the heads of argument, where “applicant” is the respondent before us and the appellants before us are reflected on the heads as the “first and second respondents.” The appellant proceeded on p 53 of the record to adopt the submissions made before the court of first instance to constitute heads of argument before this court. The appellant urged the court to consider that the appellants repossessed the commercial stand well after the respondent had vacated it. Appellants deny taking the law into their own hands. They dispute that respondent was in peaceful occupation. Appellants also criticised the</w:t>
      </w:r>
      <w:r w:rsidR="002266BA">
        <w:rPr>
          <w:rFonts w:ascii="Times New Roman" w:hAnsi="Times New Roman" w:cs="Times New Roman"/>
          <w:sz w:val="24"/>
          <w:szCs w:val="24"/>
        </w:rPr>
        <w:t xml:space="preserve"> </w:t>
      </w:r>
      <w:r w:rsidR="00890C58" w:rsidRPr="00890C58">
        <w:rPr>
          <w:rFonts w:ascii="Times New Roman" w:hAnsi="Times New Roman" w:cs="Times New Roman"/>
          <w:sz w:val="24"/>
          <w:szCs w:val="24"/>
        </w:rPr>
        <w:t>inclusion</w:t>
      </w:r>
      <w:r w:rsidR="00DF0D74">
        <w:rPr>
          <w:rFonts w:ascii="Times New Roman" w:hAnsi="Times New Roman" w:cs="Times New Roman"/>
          <w:sz w:val="24"/>
          <w:szCs w:val="24"/>
        </w:rPr>
        <w:t xml:space="preserve"> of second appellant in the </w:t>
      </w:r>
      <w:r w:rsidR="00EF5A39">
        <w:rPr>
          <w:rFonts w:ascii="Times New Roman" w:hAnsi="Times New Roman" w:cs="Times New Roman"/>
          <w:sz w:val="24"/>
          <w:szCs w:val="24"/>
        </w:rPr>
        <w:t xml:space="preserve">proceedings and that there was no basis by the respondent to cite second appellant. This is totally a new argument absent from the grounds of appeal and the appellants’ counsel did not pursue it on the date of hearing. </w:t>
      </w:r>
    </w:p>
    <w:p w:rsidR="00EF5A39" w:rsidRDefault="00EC19D0" w:rsidP="008F314D">
      <w:pPr>
        <w:tabs>
          <w:tab w:val="left" w:pos="70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EF5A39">
        <w:rPr>
          <w:rFonts w:ascii="Times New Roman" w:hAnsi="Times New Roman" w:cs="Times New Roman"/>
          <w:sz w:val="24"/>
          <w:szCs w:val="24"/>
        </w:rPr>
        <w:t xml:space="preserve">The respondent submitted that the document filed by the appellant purporting to be heads of argument does not transform into heads of argument, the heads are basically defective, they fail to identify the parties in the appeal, the so-called heads of argument constitute the opinion of the appellants’ counsel. The heads of </w:t>
      </w:r>
      <w:r>
        <w:rPr>
          <w:rFonts w:ascii="Times New Roman" w:hAnsi="Times New Roman" w:cs="Times New Roman"/>
          <w:sz w:val="24"/>
          <w:szCs w:val="24"/>
        </w:rPr>
        <w:t>argument fail to deal with points of fact and or law that would assist the court to reach an appropriate decision in compliance with r 9A (2) of the High Court (</w:t>
      </w:r>
      <w:r w:rsidRPr="00E20928">
        <w:rPr>
          <w:rFonts w:ascii="Times New Roman" w:hAnsi="Times New Roman" w:cs="Times New Roman"/>
          <w:i/>
          <w:sz w:val="24"/>
          <w:szCs w:val="24"/>
        </w:rPr>
        <w:t>Miscellaneous Appeals and Reviews) Rules 1975</w:t>
      </w:r>
      <w:r w:rsidR="00E20928">
        <w:rPr>
          <w:rFonts w:ascii="Times New Roman" w:hAnsi="Times New Roman" w:cs="Times New Roman"/>
          <w:i/>
          <w:sz w:val="24"/>
          <w:szCs w:val="24"/>
        </w:rPr>
        <w:t>)</w:t>
      </w:r>
      <w:r>
        <w:rPr>
          <w:rFonts w:ascii="Times New Roman" w:hAnsi="Times New Roman" w:cs="Times New Roman"/>
          <w:sz w:val="24"/>
          <w:szCs w:val="24"/>
        </w:rPr>
        <w:t>. In the final result the respondents submitted that there are no heads of argument to talk about filed by the appellants.</w:t>
      </w:r>
    </w:p>
    <w:p w:rsidR="00EC19D0" w:rsidRDefault="00EC19D0" w:rsidP="008F314D">
      <w:pPr>
        <w:tabs>
          <w:tab w:val="left" w:pos="70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On the merits of the appeal the respondent’s counsel submitted that, the respondent’s prayer before the court </w:t>
      </w:r>
      <w:r w:rsidRPr="00EC19D0">
        <w:rPr>
          <w:rFonts w:ascii="Times New Roman" w:hAnsi="Times New Roman" w:cs="Times New Roman"/>
          <w:i/>
          <w:sz w:val="24"/>
          <w:szCs w:val="24"/>
        </w:rPr>
        <w:t>a quo</w:t>
      </w:r>
      <w:r>
        <w:rPr>
          <w:rFonts w:ascii="Times New Roman" w:hAnsi="Times New Roman" w:cs="Times New Roman"/>
          <w:sz w:val="24"/>
          <w:szCs w:val="24"/>
        </w:rPr>
        <w:t xml:space="preserve"> was for spoliation order, the restoration of the </w:t>
      </w:r>
      <w:r w:rsidRPr="00EC19D0">
        <w:rPr>
          <w:rFonts w:ascii="Times New Roman" w:hAnsi="Times New Roman" w:cs="Times New Roman"/>
          <w:i/>
          <w:sz w:val="24"/>
          <w:szCs w:val="24"/>
        </w:rPr>
        <w:t>status quo ante</w:t>
      </w:r>
      <w:r>
        <w:rPr>
          <w:rFonts w:ascii="Times New Roman" w:hAnsi="Times New Roman" w:cs="Times New Roman"/>
          <w:sz w:val="24"/>
          <w:szCs w:val="24"/>
        </w:rPr>
        <w:t xml:space="preserve">. It was contended by the respondent that once it had been found that the respondent was in occupation of the premises, and that appellants had unlawfully invaded the premises and unlawfully removed the respondent’s property thereat, the court </w:t>
      </w:r>
      <w:r w:rsidRPr="00EC19D0">
        <w:rPr>
          <w:rFonts w:ascii="Times New Roman" w:hAnsi="Times New Roman" w:cs="Times New Roman"/>
          <w:i/>
          <w:sz w:val="24"/>
          <w:szCs w:val="24"/>
        </w:rPr>
        <w:t>a quo</w:t>
      </w:r>
      <w:r>
        <w:rPr>
          <w:rFonts w:ascii="Times New Roman" w:hAnsi="Times New Roman" w:cs="Times New Roman"/>
          <w:sz w:val="24"/>
          <w:szCs w:val="24"/>
        </w:rPr>
        <w:t xml:space="preserve"> did not misdirect itself by ordering spoliation. </w:t>
      </w:r>
    </w:p>
    <w:p w:rsidR="00EC19D0" w:rsidRDefault="00EC19D0" w:rsidP="008F314D">
      <w:pPr>
        <w:tabs>
          <w:tab w:val="left" w:pos="70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Respondent further submitted that the existence of the lease was not material at all, the lawfulness of the lease ag</w:t>
      </w:r>
      <w:r w:rsidR="00F80834">
        <w:rPr>
          <w:rFonts w:ascii="Times New Roman" w:hAnsi="Times New Roman" w:cs="Times New Roman"/>
          <w:sz w:val="24"/>
          <w:szCs w:val="24"/>
        </w:rPr>
        <w:t>reement or otherwise was not</w:t>
      </w:r>
      <w:r>
        <w:rPr>
          <w:rFonts w:ascii="Times New Roman" w:hAnsi="Times New Roman" w:cs="Times New Roman"/>
          <w:sz w:val="24"/>
          <w:szCs w:val="24"/>
        </w:rPr>
        <w:t xml:space="preserve"> at the centre of decision before the </w:t>
      </w:r>
      <w:r>
        <w:rPr>
          <w:rFonts w:ascii="Times New Roman" w:hAnsi="Times New Roman" w:cs="Times New Roman"/>
          <w:sz w:val="24"/>
          <w:szCs w:val="24"/>
        </w:rPr>
        <w:lastRenderedPageBreak/>
        <w:t xml:space="preserve">lower court, the central issue for </w:t>
      </w:r>
      <w:r w:rsidR="00C57385">
        <w:rPr>
          <w:rFonts w:ascii="Times New Roman" w:hAnsi="Times New Roman" w:cs="Times New Roman"/>
          <w:sz w:val="24"/>
          <w:szCs w:val="24"/>
        </w:rPr>
        <w:t xml:space="preserve">determination by the lower court was whether the respondent was </w:t>
      </w:r>
      <w:r w:rsidR="00A4172B">
        <w:rPr>
          <w:rFonts w:ascii="Times New Roman" w:hAnsi="Times New Roman" w:cs="Times New Roman"/>
          <w:sz w:val="24"/>
          <w:szCs w:val="24"/>
        </w:rPr>
        <w:t xml:space="preserve">in </w:t>
      </w:r>
      <w:r w:rsidR="00C57385">
        <w:rPr>
          <w:rFonts w:ascii="Times New Roman" w:hAnsi="Times New Roman" w:cs="Times New Roman"/>
          <w:sz w:val="24"/>
          <w:szCs w:val="24"/>
        </w:rPr>
        <w:t>peaceful and undisturbed possession at the time appellants repossessed the premises.</w:t>
      </w:r>
    </w:p>
    <w:p w:rsidR="00C57385" w:rsidRDefault="00C57385" w:rsidP="008F314D">
      <w:pPr>
        <w:tabs>
          <w:tab w:val="left" w:pos="70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On the second ground of appeal, the respondent submitted that the existence of a lease agreement and the service of the notice do not help the appellants. For the appellants to simply assume that the respondent had vacated the premises was not enoug</w:t>
      </w:r>
      <w:r w:rsidR="00E66753">
        <w:rPr>
          <w:rFonts w:ascii="Times New Roman" w:hAnsi="Times New Roman" w:cs="Times New Roman"/>
          <w:sz w:val="24"/>
          <w:szCs w:val="24"/>
        </w:rPr>
        <w:t>h since respondent was still meet</w:t>
      </w:r>
      <w:r>
        <w:rPr>
          <w:rFonts w:ascii="Times New Roman" w:hAnsi="Times New Roman" w:cs="Times New Roman"/>
          <w:sz w:val="24"/>
          <w:szCs w:val="24"/>
        </w:rPr>
        <w:t>ing his r</w:t>
      </w:r>
      <w:r w:rsidR="005362B9">
        <w:rPr>
          <w:rFonts w:ascii="Times New Roman" w:hAnsi="Times New Roman" w:cs="Times New Roman"/>
          <w:sz w:val="24"/>
          <w:szCs w:val="24"/>
        </w:rPr>
        <w:t>ental obligations. There was thu</w:t>
      </w:r>
      <w:r>
        <w:rPr>
          <w:rFonts w:ascii="Times New Roman" w:hAnsi="Times New Roman" w:cs="Times New Roman"/>
          <w:sz w:val="24"/>
          <w:szCs w:val="24"/>
        </w:rPr>
        <w:t xml:space="preserve">s </w:t>
      </w:r>
      <w:r w:rsidR="005362B9">
        <w:rPr>
          <w:rFonts w:ascii="Times New Roman" w:hAnsi="Times New Roman" w:cs="Times New Roman"/>
          <w:sz w:val="24"/>
          <w:szCs w:val="24"/>
        </w:rPr>
        <w:t xml:space="preserve">no </w:t>
      </w:r>
      <w:r>
        <w:rPr>
          <w:rFonts w:ascii="Times New Roman" w:hAnsi="Times New Roman" w:cs="Times New Roman"/>
          <w:sz w:val="24"/>
          <w:szCs w:val="24"/>
        </w:rPr>
        <w:t>legal basis for the appellants to take the law into her own hands and that conduct by the appellants called for the courts sanction. The payment of rentals, branding, signage and security personnel all point at the respondent’s possession, it was argued by the respondents.</w:t>
      </w:r>
    </w:p>
    <w:p w:rsidR="00C57385" w:rsidRDefault="00C57385" w:rsidP="008F314D">
      <w:pPr>
        <w:tabs>
          <w:tab w:val="left" w:pos="70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On the third ground of appeal, the respondents added that the appellants admitted moving on to the premises, </w:t>
      </w:r>
      <w:r w:rsidR="002736FD">
        <w:rPr>
          <w:rFonts w:ascii="Times New Roman" w:hAnsi="Times New Roman" w:cs="Times New Roman"/>
          <w:sz w:val="24"/>
          <w:szCs w:val="24"/>
        </w:rPr>
        <w:t>admitted letting i</w:t>
      </w:r>
      <w:r>
        <w:rPr>
          <w:rFonts w:ascii="Times New Roman" w:hAnsi="Times New Roman" w:cs="Times New Roman"/>
          <w:sz w:val="24"/>
          <w:szCs w:val="24"/>
        </w:rPr>
        <w:t>n the construction team</w:t>
      </w:r>
      <w:r w:rsidR="002736FD">
        <w:rPr>
          <w:rFonts w:ascii="Times New Roman" w:hAnsi="Times New Roman" w:cs="Times New Roman"/>
          <w:sz w:val="24"/>
          <w:szCs w:val="24"/>
        </w:rPr>
        <w:t>,</w:t>
      </w:r>
      <w:r>
        <w:rPr>
          <w:rFonts w:ascii="Times New Roman" w:hAnsi="Times New Roman" w:cs="Times New Roman"/>
          <w:sz w:val="24"/>
          <w:szCs w:val="24"/>
        </w:rPr>
        <w:t xml:space="preserve"> removing respondent’s signage and repainting the premise</w:t>
      </w:r>
      <w:r w:rsidR="00A54A16">
        <w:rPr>
          <w:rFonts w:ascii="Times New Roman" w:hAnsi="Times New Roman" w:cs="Times New Roman"/>
          <w:sz w:val="24"/>
          <w:szCs w:val="24"/>
        </w:rPr>
        <w:t>s among other things</w:t>
      </w:r>
      <w:r w:rsidR="002736FD">
        <w:rPr>
          <w:rFonts w:ascii="Times New Roman" w:hAnsi="Times New Roman" w:cs="Times New Roman"/>
          <w:sz w:val="24"/>
          <w:szCs w:val="24"/>
        </w:rPr>
        <w:t>,</w:t>
      </w:r>
      <w:r w:rsidR="00A54A16">
        <w:rPr>
          <w:rFonts w:ascii="Times New Roman" w:hAnsi="Times New Roman" w:cs="Times New Roman"/>
          <w:sz w:val="24"/>
          <w:szCs w:val="24"/>
        </w:rPr>
        <w:t xml:space="preserve"> </w:t>
      </w:r>
      <w:r>
        <w:rPr>
          <w:rFonts w:ascii="Times New Roman" w:hAnsi="Times New Roman" w:cs="Times New Roman"/>
          <w:sz w:val="24"/>
          <w:szCs w:val="24"/>
        </w:rPr>
        <w:t>the respondent</w:t>
      </w:r>
      <w:r w:rsidR="00A54A16">
        <w:rPr>
          <w:rFonts w:ascii="Times New Roman" w:hAnsi="Times New Roman" w:cs="Times New Roman"/>
          <w:sz w:val="24"/>
          <w:szCs w:val="24"/>
        </w:rPr>
        <w:t xml:space="preserve"> submitted that it will be naïve for the appellants to state that their conduct was lawful. The letter of termination of the lease is of no effect at all, it was submitted.</w:t>
      </w:r>
    </w:p>
    <w:p w:rsidR="00A54A16" w:rsidRDefault="00A54A16" w:rsidP="008F314D">
      <w:pPr>
        <w:tabs>
          <w:tab w:val="left" w:pos="70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On the aspects of costs the respondent cited the matter of </w:t>
      </w:r>
      <w:r w:rsidR="002736FD">
        <w:rPr>
          <w:rFonts w:ascii="Times New Roman" w:hAnsi="Times New Roman" w:cs="Times New Roman"/>
          <w:i/>
          <w:sz w:val="24"/>
          <w:szCs w:val="24"/>
        </w:rPr>
        <w:t>Hosea Ozia</w:t>
      </w:r>
      <w:r w:rsidR="00A403A6">
        <w:rPr>
          <w:rFonts w:ascii="Times New Roman" w:hAnsi="Times New Roman" w:cs="Times New Roman"/>
          <w:i/>
          <w:sz w:val="24"/>
          <w:szCs w:val="24"/>
        </w:rPr>
        <w:t>h</w:t>
      </w:r>
      <w:r w:rsidR="002736FD">
        <w:rPr>
          <w:rFonts w:ascii="Times New Roman" w:hAnsi="Times New Roman" w:cs="Times New Roman"/>
          <w:i/>
          <w:sz w:val="24"/>
          <w:szCs w:val="24"/>
        </w:rPr>
        <w:t xml:space="preserve"> </w:t>
      </w:r>
      <w:r w:rsidRPr="00187465">
        <w:rPr>
          <w:rFonts w:ascii="Times New Roman" w:hAnsi="Times New Roman" w:cs="Times New Roman"/>
          <w:i/>
          <w:sz w:val="24"/>
          <w:szCs w:val="24"/>
        </w:rPr>
        <w:t>Ncube</w:t>
      </w:r>
      <w:r>
        <w:rPr>
          <w:rFonts w:ascii="Times New Roman" w:hAnsi="Times New Roman" w:cs="Times New Roman"/>
          <w:sz w:val="24"/>
          <w:szCs w:val="24"/>
        </w:rPr>
        <w:t xml:space="preserve"> v </w:t>
      </w:r>
      <w:r w:rsidR="002736FD">
        <w:rPr>
          <w:rFonts w:ascii="Times New Roman" w:hAnsi="Times New Roman" w:cs="Times New Roman"/>
          <w:i/>
          <w:sz w:val="24"/>
          <w:szCs w:val="24"/>
        </w:rPr>
        <w:t>Simbarashe Mupi</w:t>
      </w:r>
      <w:r w:rsidRPr="00187465">
        <w:rPr>
          <w:rFonts w:ascii="Times New Roman" w:hAnsi="Times New Roman" w:cs="Times New Roman"/>
          <w:i/>
          <w:sz w:val="24"/>
          <w:szCs w:val="24"/>
        </w:rPr>
        <w:t>nga</w:t>
      </w:r>
      <w:r>
        <w:rPr>
          <w:rFonts w:ascii="Times New Roman" w:hAnsi="Times New Roman" w:cs="Times New Roman"/>
          <w:sz w:val="24"/>
          <w:szCs w:val="24"/>
        </w:rPr>
        <w:t xml:space="preserve"> </w:t>
      </w:r>
      <w:r>
        <w:rPr>
          <w:rStyle w:val="FootnoteReference"/>
          <w:rFonts w:ascii="Times New Roman" w:hAnsi="Times New Roman" w:cs="Times New Roman"/>
          <w:sz w:val="24"/>
          <w:szCs w:val="24"/>
        </w:rPr>
        <w:footnoteReference w:id="1"/>
      </w:r>
      <w:r>
        <w:rPr>
          <w:rFonts w:ascii="Times New Roman" w:hAnsi="Times New Roman" w:cs="Times New Roman"/>
          <w:sz w:val="24"/>
          <w:szCs w:val="24"/>
        </w:rPr>
        <w:t xml:space="preserve"> dealing with issues of costs where the conduct of a litigant (or its legal practitioner) is to buy time or harass the other party whe</w:t>
      </w:r>
      <w:r w:rsidR="00187465">
        <w:rPr>
          <w:rFonts w:ascii="Times New Roman" w:hAnsi="Times New Roman" w:cs="Times New Roman"/>
          <w:sz w:val="24"/>
          <w:szCs w:val="24"/>
        </w:rPr>
        <w:t xml:space="preserve">re the appeal is not pursued in </w:t>
      </w:r>
      <w:r>
        <w:rPr>
          <w:rFonts w:ascii="Times New Roman" w:hAnsi="Times New Roman" w:cs="Times New Roman"/>
          <w:sz w:val="24"/>
          <w:szCs w:val="24"/>
        </w:rPr>
        <w:t xml:space="preserve">good faith and pregnant with ineptude surely court should show its disfavour via an order </w:t>
      </w:r>
      <w:r w:rsidR="00D85193">
        <w:rPr>
          <w:rFonts w:ascii="Times New Roman" w:hAnsi="Times New Roman" w:cs="Times New Roman"/>
          <w:sz w:val="24"/>
          <w:szCs w:val="24"/>
        </w:rPr>
        <w:t>of costs. In such an event the respondent urged</w:t>
      </w:r>
      <w:r>
        <w:rPr>
          <w:rFonts w:ascii="Times New Roman" w:hAnsi="Times New Roman" w:cs="Times New Roman"/>
          <w:sz w:val="24"/>
          <w:szCs w:val="24"/>
        </w:rPr>
        <w:t xml:space="preserve"> this court to dismiss the appeal with costs on legal practitioner - client scale given the nature of pleadings especially the “heads” and the nature of argument presented on behalf of the appellants.</w:t>
      </w:r>
    </w:p>
    <w:p w:rsidR="008541D0" w:rsidRDefault="008541D0" w:rsidP="008F314D">
      <w:pPr>
        <w:tabs>
          <w:tab w:val="left" w:pos="709"/>
        </w:tabs>
        <w:spacing w:after="0" w:line="360" w:lineRule="auto"/>
        <w:jc w:val="both"/>
        <w:rPr>
          <w:rFonts w:ascii="Times New Roman" w:hAnsi="Times New Roman" w:cs="Times New Roman"/>
          <w:sz w:val="24"/>
          <w:szCs w:val="24"/>
        </w:rPr>
      </w:pPr>
    </w:p>
    <w:p w:rsidR="00A54A16" w:rsidRPr="008541D0" w:rsidRDefault="00A54A16" w:rsidP="008F314D">
      <w:pPr>
        <w:tabs>
          <w:tab w:val="left" w:pos="709"/>
        </w:tabs>
        <w:spacing w:after="0" w:line="360" w:lineRule="auto"/>
        <w:jc w:val="both"/>
        <w:rPr>
          <w:rFonts w:ascii="Times New Roman" w:hAnsi="Times New Roman" w:cs="Times New Roman"/>
          <w:sz w:val="24"/>
          <w:szCs w:val="24"/>
          <w:u w:val="single"/>
        </w:rPr>
      </w:pPr>
      <w:r w:rsidRPr="008541D0">
        <w:rPr>
          <w:rFonts w:ascii="Times New Roman" w:hAnsi="Times New Roman" w:cs="Times New Roman"/>
          <w:sz w:val="24"/>
          <w:szCs w:val="24"/>
          <w:u w:val="single"/>
        </w:rPr>
        <w:t>DISPOSITION</w:t>
      </w:r>
    </w:p>
    <w:p w:rsidR="00A54A16" w:rsidRDefault="00A54A16" w:rsidP="008F314D">
      <w:pPr>
        <w:tabs>
          <w:tab w:val="left" w:pos="70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 have closely analysed the submissions by both </w:t>
      </w:r>
      <w:r w:rsidR="003D6EB1">
        <w:rPr>
          <w:rFonts w:ascii="Times New Roman" w:hAnsi="Times New Roman" w:cs="Times New Roman"/>
          <w:sz w:val="24"/>
          <w:szCs w:val="24"/>
        </w:rPr>
        <w:t xml:space="preserve">counsel on the colour and substance of the document filed by the appellant that is meant to be considered by this court as constituting “heads of argument”. The document is to say the least an example of a “do not care” attitude by the appellants or their legal counsel. For the appellants’ legal practitioner to refer this court to the submissions made on behalf of the lower court simply means that the appellants are saying that it is up to this court to go through the submissions and make a decision. What is apparently clear is that the three grounds of appeal spelt out by the appellants were not placed </w:t>
      </w:r>
      <w:r w:rsidR="003D6EB1">
        <w:rPr>
          <w:rFonts w:ascii="Times New Roman" w:hAnsi="Times New Roman" w:cs="Times New Roman"/>
          <w:sz w:val="24"/>
          <w:szCs w:val="24"/>
        </w:rPr>
        <w:lastRenderedPageBreak/>
        <w:t>before the lower court for determination. How then can the cases cited before the lower court be equally relied on by the appellant if they are not put in context with the grounds of appeal?</w:t>
      </w:r>
    </w:p>
    <w:p w:rsidR="003D6EB1" w:rsidRDefault="003D6EB1" w:rsidP="008F314D">
      <w:pPr>
        <w:tabs>
          <w:tab w:val="left" w:pos="70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9D16FC">
        <w:rPr>
          <w:rFonts w:ascii="Times New Roman" w:hAnsi="Times New Roman" w:cs="Times New Roman"/>
          <w:sz w:val="24"/>
          <w:szCs w:val="24"/>
        </w:rPr>
        <w:t xml:space="preserve">The submission must be </w:t>
      </w:r>
      <w:r w:rsidR="00D32B8B">
        <w:rPr>
          <w:rFonts w:ascii="Times New Roman" w:hAnsi="Times New Roman" w:cs="Times New Roman"/>
          <w:sz w:val="24"/>
          <w:szCs w:val="24"/>
        </w:rPr>
        <w:t>realigned</w:t>
      </w:r>
      <w:r>
        <w:rPr>
          <w:rFonts w:ascii="Times New Roman" w:hAnsi="Times New Roman" w:cs="Times New Roman"/>
          <w:sz w:val="24"/>
          <w:szCs w:val="24"/>
        </w:rPr>
        <w:t xml:space="preserve"> to each ground of appeal and make meaningful reference to the point of argument as anticipated by r 9A of the High Court (</w:t>
      </w:r>
      <w:r w:rsidRPr="003D6EB1">
        <w:rPr>
          <w:rFonts w:ascii="Times New Roman" w:hAnsi="Times New Roman" w:cs="Times New Roman"/>
          <w:i/>
          <w:sz w:val="24"/>
          <w:szCs w:val="24"/>
        </w:rPr>
        <w:t>Miscellaneous Appeals and Reviews) Rules 1975</w:t>
      </w:r>
      <w:r>
        <w:rPr>
          <w:rFonts w:ascii="Times New Roman" w:hAnsi="Times New Roman" w:cs="Times New Roman"/>
          <w:sz w:val="24"/>
          <w:szCs w:val="24"/>
        </w:rPr>
        <w:t xml:space="preserve">, the “heads” of argument should set out the main heads of an appellant’s argument with a </w:t>
      </w:r>
      <w:r w:rsidR="00DB6260">
        <w:rPr>
          <w:rFonts w:ascii="Times New Roman" w:hAnsi="Times New Roman" w:cs="Times New Roman"/>
          <w:sz w:val="24"/>
          <w:szCs w:val="24"/>
        </w:rPr>
        <w:t xml:space="preserve">list of appropriate </w:t>
      </w:r>
      <w:r w:rsidR="004D6C9D">
        <w:rPr>
          <w:rFonts w:ascii="Times New Roman" w:hAnsi="Times New Roman" w:cs="Times New Roman"/>
          <w:sz w:val="24"/>
          <w:szCs w:val="24"/>
        </w:rPr>
        <w:t>authorities to support each hea</w:t>
      </w:r>
      <w:r w:rsidR="00DB6260">
        <w:rPr>
          <w:rFonts w:ascii="Times New Roman" w:hAnsi="Times New Roman" w:cs="Times New Roman"/>
          <w:sz w:val="24"/>
          <w:szCs w:val="24"/>
        </w:rPr>
        <w:t>d. The appellants failed to comply with this requirement and I agree with the respondents’ counsel that the ma</w:t>
      </w:r>
      <w:r w:rsidR="003D647B">
        <w:rPr>
          <w:rFonts w:ascii="Times New Roman" w:hAnsi="Times New Roman" w:cs="Times New Roman"/>
          <w:sz w:val="24"/>
          <w:szCs w:val="24"/>
        </w:rPr>
        <w:t>nner the papers were prepared mo</w:t>
      </w:r>
      <w:r w:rsidR="00DB6260">
        <w:rPr>
          <w:rFonts w:ascii="Times New Roman" w:hAnsi="Times New Roman" w:cs="Times New Roman"/>
          <w:sz w:val="24"/>
          <w:szCs w:val="24"/>
        </w:rPr>
        <w:t xml:space="preserve">re particularly what the </w:t>
      </w:r>
      <w:r w:rsidR="008541D0">
        <w:rPr>
          <w:rFonts w:ascii="Times New Roman" w:hAnsi="Times New Roman" w:cs="Times New Roman"/>
          <w:sz w:val="24"/>
          <w:szCs w:val="24"/>
        </w:rPr>
        <w:t>appellants’</w:t>
      </w:r>
      <w:r w:rsidR="00DB6260">
        <w:rPr>
          <w:rFonts w:ascii="Times New Roman" w:hAnsi="Times New Roman" w:cs="Times New Roman"/>
          <w:sz w:val="24"/>
          <w:szCs w:val="24"/>
        </w:rPr>
        <w:t xml:space="preserve"> coin “heads” right from the heading the appellation and the contents are totally at war with what is expected by these courts. I have no hesitation to conclude that the appellant did not file heads. The respondent did not address us as to what is to be done in the event that the court judges that the appellant failed to abide by the requirements pertaining to heads. The court had no option than to proceed to deal with the appeal on merits. Although there were three grounds of appeal, the grounds of appeal can be summarised as whether the court </w:t>
      </w:r>
      <w:r w:rsidR="00DB6260" w:rsidRPr="00DB6260">
        <w:rPr>
          <w:rFonts w:ascii="Times New Roman" w:hAnsi="Times New Roman" w:cs="Times New Roman"/>
          <w:i/>
          <w:sz w:val="24"/>
          <w:szCs w:val="24"/>
        </w:rPr>
        <w:t>a quo</w:t>
      </w:r>
      <w:r w:rsidR="00DB6260">
        <w:rPr>
          <w:rFonts w:ascii="Times New Roman" w:hAnsi="Times New Roman" w:cs="Times New Roman"/>
          <w:sz w:val="24"/>
          <w:szCs w:val="24"/>
        </w:rPr>
        <w:t xml:space="preserve"> erred and misdirected itself in confirming the provisional order, effectively resolving the </w:t>
      </w:r>
      <w:r w:rsidR="00DB6260" w:rsidRPr="00DB6260">
        <w:rPr>
          <w:rFonts w:ascii="Times New Roman" w:hAnsi="Times New Roman" w:cs="Times New Roman"/>
          <w:i/>
          <w:sz w:val="24"/>
          <w:szCs w:val="24"/>
        </w:rPr>
        <w:t>status quo ante</w:t>
      </w:r>
      <w:r w:rsidR="00DB6260">
        <w:rPr>
          <w:rFonts w:ascii="Times New Roman" w:hAnsi="Times New Roman" w:cs="Times New Roman"/>
          <w:sz w:val="24"/>
          <w:szCs w:val="24"/>
        </w:rPr>
        <w:t xml:space="preserve"> to the respondent. In other words whether the requirements of a spoliation order were met by the respondent. What is </w:t>
      </w:r>
      <w:r w:rsidR="003F29BD">
        <w:rPr>
          <w:rFonts w:ascii="Times New Roman" w:hAnsi="Times New Roman" w:cs="Times New Roman"/>
          <w:sz w:val="24"/>
          <w:szCs w:val="24"/>
        </w:rPr>
        <w:t>however clear is that an appeal court would interfere with the lower court’s decision, if there was a material misdirection or irregularity, or if the decision was one no reasonable tribunal could have reached.</w:t>
      </w:r>
      <w:r w:rsidR="003F29BD">
        <w:rPr>
          <w:rStyle w:val="FootnoteReference"/>
          <w:rFonts w:ascii="Times New Roman" w:hAnsi="Times New Roman" w:cs="Times New Roman"/>
          <w:sz w:val="24"/>
          <w:szCs w:val="24"/>
        </w:rPr>
        <w:footnoteReference w:id="2"/>
      </w:r>
    </w:p>
    <w:p w:rsidR="003F29BD" w:rsidRDefault="003F29BD" w:rsidP="008F314D">
      <w:pPr>
        <w:tabs>
          <w:tab w:val="left" w:pos="70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requirements for a spoliation are:</w:t>
      </w:r>
    </w:p>
    <w:p w:rsidR="003F29BD" w:rsidRPr="003F29BD" w:rsidRDefault="0053717E" w:rsidP="0053717E">
      <w:pPr>
        <w:pStyle w:val="ListParagraph"/>
        <w:numPr>
          <w:ilvl w:val="0"/>
          <w:numId w:val="9"/>
        </w:numPr>
        <w:tabs>
          <w:tab w:val="left" w:pos="72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F29BD" w:rsidRPr="003F29BD">
        <w:rPr>
          <w:rFonts w:ascii="Times New Roman" w:hAnsi="Times New Roman" w:cs="Times New Roman"/>
          <w:sz w:val="24"/>
          <w:szCs w:val="24"/>
        </w:rPr>
        <w:t xml:space="preserve">that the applicant was in peaceful and undisturbed possession of the thing, and, </w:t>
      </w:r>
    </w:p>
    <w:p w:rsidR="003F29BD" w:rsidRPr="003F29BD" w:rsidRDefault="003F29BD" w:rsidP="003F29BD">
      <w:pPr>
        <w:pStyle w:val="ListParagraph"/>
        <w:numPr>
          <w:ilvl w:val="0"/>
          <w:numId w:val="9"/>
        </w:numPr>
        <w:tabs>
          <w:tab w:val="left" w:pos="709"/>
        </w:tabs>
        <w:spacing w:after="0" w:line="360" w:lineRule="auto"/>
        <w:jc w:val="both"/>
        <w:rPr>
          <w:rFonts w:ascii="Times New Roman" w:hAnsi="Times New Roman" w:cs="Times New Roman"/>
          <w:sz w:val="24"/>
          <w:szCs w:val="24"/>
        </w:rPr>
      </w:pPr>
      <w:r w:rsidRPr="003F29BD">
        <w:rPr>
          <w:rFonts w:ascii="Times New Roman" w:hAnsi="Times New Roman" w:cs="Times New Roman"/>
          <w:sz w:val="24"/>
          <w:szCs w:val="24"/>
        </w:rPr>
        <w:t>he was unlawfully deprived of such possession .</w:t>
      </w:r>
      <w:r>
        <w:rPr>
          <w:rStyle w:val="FootnoteReference"/>
          <w:rFonts w:ascii="Times New Roman" w:hAnsi="Times New Roman" w:cs="Times New Roman"/>
          <w:sz w:val="24"/>
          <w:szCs w:val="24"/>
        </w:rPr>
        <w:footnoteReference w:id="3"/>
      </w:r>
    </w:p>
    <w:p w:rsidR="003F29BD" w:rsidRDefault="003F29BD" w:rsidP="008F314D">
      <w:pPr>
        <w:tabs>
          <w:tab w:val="left" w:pos="70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53717E">
        <w:rPr>
          <w:rFonts w:ascii="Times New Roman" w:hAnsi="Times New Roman" w:cs="Times New Roman"/>
          <w:sz w:val="24"/>
          <w:szCs w:val="24"/>
        </w:rPr>
        <w:t xml:space="preserve">      </w:t>
      </w:r>
      <w:r>
        <w:rPr>
          <w:rFonts w:ascii="Times New Roman" w:hAnsi="Times New Roman" w:cs="Times New Roman"/>
          <w:sz w:val="24"/>
          <w:szCs w:val="24"/>
        </w:rPr>
        <w:t>A respondent to spoliation can raise valid defences to the claim as</w:t>
      </w:r>
      <w:r w:rsidR="008851A2">
        <w:rPr>
          <w:rFonts w:ascii="Times New Roman" w:hAnsi="Times New Roman" w:cs="Times New Roman"/>
          <w:sz w:val="24"/>
          <w:szCs w:val="24"/>
        </w:rPr>
        <w:t>:</w:t>
      </w:r>
      <w:r>
        <w:rPr>
          <w:rFonts w:ascii="Times New Roman" w:hAnsi="Times New Roman" w:cs="Times New Roman"/>
          <w:sz w:val="24"/>
          <w:szCs w:val="24"/>
        </w:rPr>
        <w:t xml:space="preserve"> </w:t>
      </w:r>
    </w:p>
    <w:p w:rsidR="003F29BD" w:rsidRDefault="002B6424" w:rsidP="003F29BD">
      <w:pPr>
        <w:pStyle w:val="ListParagraph"/>
        <w:numPr>
          <w:ilvl w:val="0"/>
          <w:numId w:val="11"/>
        </w:numPr>
        <w:tabs>
          <w:tab w:val="left" w:pos="70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that the applicant was not in peaceful and undisturbed possession of the thing in question at the time of dispossession, and, </w:t>
      </w:r>
    </w:p>
    <w:p w:rsidR="002B6424" w:rsidRDefault="002B6424" w:rsidP="003F29BD">
      <w:pPr>
        <w:pStyle w:val="ListParagraph"/>
        <w:numPr>
          <w:ilvl w:val="0"/>
          <w:numId w:val="11"/>
        </w:numPr>
        <w:tabs>
          <w:tab w:val="left" w:pos="70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the dispossession was not unlawful and therefore did not constitute spoliation.</w:t>
      </w:r>
      <w:r>
        <w:rPr>
          <w:rStyle w:val="FootnoteReference"/>
          <w:rFonts w:ascii="Times New Roman" w:hAnsi="Times New Roman" w:cs="Times New Roman"/>
          <w:sz w:val="24"/>
          <w:szCs w:val="24"/>
        </w:rPr>
        <w:footnoteReference w:id="4"/>
      </w:r>
      <w:r>
        <w:rPr>
          <w:rFonts w:ascii="Times New Roman" w:hAnsi="Times New Roman" w:cs="Times New Roman"/>
          <w:sz w:val="24"/>
          <w:szCs w:val="24"/>
        </w:rPr>
        <w:t xml:space="preserve"> </w:t>
      </w:r>
    </w:p>
    <w:p w:rsidR="002B6424" w:rsidRDefault="002B6424" w:rsidP="002B6424">
      <w:pPr>
        <w:tabs>
          <w:tab w:val="left" w:pos="70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It is a well-recognised </w:t>
      </w:r>
      <w:r w:rsidR="0057248A">
        <w:rPr>
          <w:rFonts w:ascii="Times New Roman" w:hAnsi="Times New Roman" w:cs="Times New Roman"/>
          <w:sz w:val="24"/>
          <w:szCs w:val="24"/>
        </w:rPr>
        <w:t>princi</w:t>
      </w:r>
      <w:r>
        <w:rPr>
          <w:rFonts w:ascii="Times New Roman" w:hAnsi="Times New Roman" w:cs="Times New Roman"/>
          <w:sz w:val="24"/>
          <w:szCs w:val="24"/>
        </w:rPr>
        <w:t>ple that in spoliation</w:t>
      </w:r>
      <w:r w:rsidR="008541D0">
        <w:rPr>
          <w:rFonts w:ascii="Times New Roman" w:hAnsi="Times New Roman" w:cs="Times New Roman"/>
          <w:sz w:val="24"/>
          <w:szCs w:val="24"/>
        </w:rPr>
        <w:t xml:space="preserve"> proceedings it needs only</w:t>
      </w:r>
      <w:r>
        <w:rPr>
          <w:rFonts w:ascii="Times New Roman" w:hAnsi="Times New Roman" w:cs="Times New Roman"/>
          <w:sz w:val="24"/>
          <w:szCs w:val="24"/>
        </w:rPr>
        <w:t xml:space="preserve"> be proved that the applicant was in possession o</w:t>
      </w:r>
      <w:r w:rsidR="008541D0">
        <w:rPr>
          <w:rFonts w:ascii="Times New Roman" w:hAnsi="Times New Roman" w:cs="Times New Roman"/>
          <w:sz w:val="24"/>
          <w:szCs w:val="24"/>
        </w:rPr>
        <w:t>f something and that there was</w:t>
      </w:r>
      <w:r w:rsidR="00361ABB">
        <w:rPr>
          <w:rFonts w:ascii="Times New Roman" w:hAnsi="Times New Roman" w:cs="Times New Roman"/>
          <w:sz w:val="24"/>
          <w:szCs w:val="24"/>
        </w:rPr>
        <w:t xml:space="preserve"> forci</w:t>
      </w:r>
      <w:r>
        <w:rPr>
          <w:rFonts w:ascii="Times New Roman" w:hAnsi="Times New Roman" w:cs="Times New Roman"/>
          <w:sz w:val="24"/>
          <w:szCs w:val="24"/>
        </w:rPr>
        <w:t>ble and wrongful interference with his possession of that thing. Lawfulness of possession does not enter into it.</w:t>
      </w:r>
      <w:r>
        <w:rPr>
          <w:rStyle w:val="FootnoteReference"/>
          <w:rFonts w:ascii="Times New Roman" w:hAnsi="Times New Roman" w:cs="Times New Roman"/>
          <w:sz w:val="24"/>
          <w:szCs w:val="24"/>
        </w:rPr>
        <w:footnoteReference w:id="5"/>
      </w:r>
      <w:r>
        <w:rPr>
          <w:rFonts w:ascii="Times New Roman" w:hAnsi="Times New Roman" w:cs="Times New Roman"/>
          <w:sz w:val="24"/>
          <w:szCs w:val="24"/>
        </w:rPr>
        <w:t xml:space="preserve"> </w:t>
      </w:r>
    </w:p>
    <w:p w:rsidR="0018094F" w:rsidRDefault="0018094F" w:rsidP="002B6424">
      <w:pPr>
        <w:tabs>
          <w:tab w:val="left" w:pos="70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lower court analysed the affi</w:t>
      </w:r>
      <w:r w:rsidR="00AC39B3">
        <w:rPr>
          <w:rFonts w:ascii="Times New Roman" w:hAnsi="Times New Roman" w:cs="Times New Roman"/>
          <w:sz w:val="24"/>
          <w:szCs w:val="24"/>
        </w:rPr>
        <w:t>davits of the respondent and cam</w:t>
      </w:r>
      <w:r>
        <w:rPr>
          <w:rFonts w:ascii="Times New Roman" w:hAnsi="Times New Roman" w:cs="Times New Roman"/>
          <w:sz w:val="24"/>
          <w:szCs w:val="24"/>
        </w:rPr>
        <w:t xml:space="preserve">e to the conclusion that the respondent was despoiled. I have looked at the reasons for such an order and detect no misdirection on the part of the trial court. The court </w:t>
      </w:r>
      <w:r w:rsidRPr="0018094F">
        <w:rPr>
          <w:rFonts w:ascii="Times New Roman" w:hAnsi="Times New Roman" w:cs="Times New Roman"/>
          <w:i/>
          <w:sz w:val="24"/>
          <w:szCs w:val="24"/>
        </w:rPr>
        <w:t>a quo</w:t>
      </w:r>
      <w:r>
        <w:rPr>
          <w:rFonts w:ascii="Times New Roman" w:hAnsi="Times New Roman" w:cs="Times New Roman"/>
          <w:sz w:val="24"/>
          <w:szCs w:val="24"/>
        </w:rPr>
        <w:t xml:space="preserve"> looked at the requirements of spoliation and applied the law to the facts. The lower court also analysed the defence of the appellants and came to the conclusion that the appellants had failed to prove the defence of spoliation. I see no error in the analysis of the law and facts. The confirmation of the provisional order by the court </w:t>
      </w:r>
      <w:r w:rsidRPr="0018094F">
        <w:rPr>
          <w:rFonts w:ascii="Times New Roman" w:hAnsi="Times New Roman" w:cs="Times New Roman"/>
          <w:i/>
          <w:sz w:val="24"/>
          <w:szCs w:val="24"/>
        </w:rPr>
        <w:t>a quo</w:t>
      </w:r>
      <w:r>
        <w:rPr>
          <w:rFonts w:ascii="Times New Roman" w:hAnsi="Times New Roman" w:cs="Times New Roman"/>
          <w:sz w:val="24"/>
          <w:szCs w:val="24"/>
        </w:rPr>
        <w:t xml:space="preserve"> was in my view appropriate and the grounds of appeal by the appellants lack merit they</w:t>
      </w:r>
      <w:r w:rsidR="00CD5D98">
        <w:rPr>
          <w:rFonts w:ascii="Times New Roman" w:hAnsi="Times New Roman" w:cs="Times New Roman"/>
          <w:sz w:val="24"/>
          <w:szCs w:val="24"/>
        </w:rPr>
        <w:t xml:space="preserve"> are</w:t>
      </w:r>
      <w:r>
        <w:rPr>
          <w:rFonts w:ascii="Times New Roman" w:hAnsi="Times New Roman" w:cs="Times New Roman"/>
          <w:sz w:val="24"/>
          <w:szCs w:val="24"/>
        </w:rPr>
        <w:t xml:space="preserve"> all dismissed. </w:t>
      </w:r>
    </w:p>
    <w:p w:rsidR="0053717E" w:rsidRDefault="0018094F" w:rsidP="002B6424">
      <w:pPr>
        <w:tabs>
          <w:tab w:val="left" w:pos="70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As regards costs, I am persuaded by the respondents that the appeal was done to harass the respondents. The manner the heads of argument were shoddily prepared, worse by a well experienced legal practitioner calls for sanction by the courts. It should have occurred to</w:t>
      </w:r>
      <w:r w:rsidR="002E50DA">
        <w:rPr>
          <w:rFonts w:ascii="Times New Roman" w:hAnsi="Times New Roman" w:cs="Times New Roman"/>
          <w:sz w:val="24"/>
          <w:szCs w:val="24"/>
        </w:rPr>
        <w:t xml:space="preserve"> the appellants that their</w:t>
      </w:r>
      <w:r>
        <w:rPr>
          <w:rFonts w:ascii="Times New Roman" w:hAnsi="Times New Roman" w:cs="Times New Roman"/>
          <w:sz w:val="24"/>
          <w:szCs w:val="24"/>
        </w:rPr>
        <w:t xml:space="preserve"> heads were in </w:t>
      </w:r>
      <w:r w:rsidR="0053717E">
        <w:rPr>
          <w:rFonts w:ascii="Times New Roman" w:hAnsi="Times New Roman" w:cs="Times New Roman"/>
          <w:sz w:val="24"/>
          <w:szCs w:val="24"/>
        </w:rPr>
        <w:t xml:space="preserve">disarray and made </w:t>
      </w:r>
      <w:r w:rsidR="0085120C">
        <w:rPr>
          <w:rFonts w:ascii="Times New Roman" w:hAnsi="Times New Roman" w:cs="Times New Roman"/>
          <w:sz w:val="24"/>
          <w:szCs w:val="24"/>
        </w:rPr>
        <w:t xml:space="preserve">no </w:t>
      </w:r>
      <w:r w:rsidR="0053717E">
        <w:rPr>
          <w:rFonts w:ascii="Times New Roman" w:hAnsi="Times New Roman" w:cs="Times New Roman"/>
          <w:sz w:val="24"/>
          <w:szCs w:val="24"/>
        </w:rPr>
        <w:t>efforts to correct such</w:t>
      </w:r>
      <w:r w:rsidR="0085120C">
        <w:rPr>
          <w:rFonts w:ascii="Times New Roman" w:hAnsi="Times New Roman" w:cs="Times New Roman"/>
          <w:sz w:val="24"/>
          <w:szCs w:val="24"/>
        </w:rPr>
        <w:t>,</w:t>
      </w:r>
      <w:r w:rsidR="0053717E">
        <w:rPr>
          <w:rFonts w:ascii="Times New Roman" w:hAnsi="Times New Roman" w:cs="Times New Roman"/>
          <w:sz w:val="24"/>
          <w:szCs w:val="24"/>
        </w:rPr>
        <w:t xml:space="preserve"> well before the date of hearing. The request by the respondent relating to costs on legal practitioner-client scale has merit.</w:t>
      </w:r>
    </w:p>
    <w:p w:rsidR="0053717E" w:rsidRDefault="0053717E" w:rsidP="002B6424">
      <w:pPr>
        <w:tabs>
          <w:tab w:val="left" w:pos="70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Accordingly the following order is returned.</w:t>
      </w:r>
    </w:p>
    <w:p w:rsidR="0053717E" w:rsidRDefault="0053717E" w:rsidP="0053717E">
      <w:pPr>
        <w:tabs>
          <w:tab w:val="left" w:pos="567"/>
          <w:tab w:val="left" w:pos="70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1. The appeal be and is hereby dismissed with costs on legal practitioner and client scale.</w:t>
      </w:r>
    </w:p>
    <w:p w:rsidR="0018094F" w:rsidRPr="002B6424" w:rsidRDefault="0018094F" w:rsidP="002B6424">
      <w:pPr>
        <w:tabs>
          <w:tab w:val="left" w:pos="70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3F29BD" w:rsidRDefault="003F29BD" w:rsidP="008F314D">
      <w:pPr>
        <w:tabs>
          <w:tab w:val="left" w:pos="709"/>
        </w:tabs>
        <w:spacing w:after="0" w:line="360" w:lineRule="auto"/>
        <w:jc w:val="both"/>
        <w:rPr>
          <w:rFonts w:ascii="Times New Roman" w:hAnsi="Times New Roman" w:cs="Times New Roman"/>
          <w:sz w:val="24"/>
          <w:szCs w:val="24"/>
        </w:rPr>
      </w:pPr>
    </w:p>
    <w:p w:rsidR="00FC263C" w:rsidRDefault="00FC263C" w:rsidP="008F314D">
      <w:pPr>
        <w:tabs>
          <w:tab w:val="left" w:pos="709"/>
        </w:tabs>
        <w:spacing w:after="0" w:line="360" w:lineRule="auto"/>
        <w:jc w:val="both"/>
        <w:rPr>
          <w:rFonts w:ascii="Times New Roman" w:hAnsi="Times New Roman" w:cs="Times New Roman"/>
          <w:sz w:val="24"/>
          <w:szCs w:val="24"/>
        </w:rPr>
      </w:pPr>
    </w:p>
    <w:p w:rsidR="00FC263C" w:rsidRDefault="00FC263C" w:rsidP="00FC263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MWAYERA J agrees ________________</w:t>
      </w:r>
    </w:p>
    <w:p w:rsidR="000221B6" w:rsidRPr="008851A2" w:rsidRDefault="000221B6" w:rsidP="000221B6">
      <w:pPr>
        <w:tabs>
          <w:tab w:val="left" w:pos="709"/>
        </w:tabs>
        <w:spacing w:after="0" w:line="360" w:lineRule="auto"/>
        <w:jc w:val="both"/>
        <w:rPr>
          <w:rFonts w:ascii="Times New Roman" w:hAnsi="Times New Roman" w:cs="Times New Roman"/>
          <w:sz w:val="24"/>
          <w:szCs w:val="24"/>
        </w:rPr>
      </w:pPr>
    </w:p>
    <w:p w:rsidR="000221B6" w:rsidRDefault="0053717E" w:rsidP="000221B6">
      <w:pPr>
        <w:tabs>
          <w:tab w:val="left" w:pos="709"/>
        </w:tabs>
        <w:spacing w:after="0" w:line="240" w:lineRule="auto"/>
        <w:jc w:val="both"/>
        <w:rPr>
          <w:rFonts w:ascii="Times New Roman" w:hAnsi="Times New Roman" w:cs="Times New Roman"/>
          <w:sz w:val="24"/>
        </w:rPr>
      </w:pPr>
      <w:r>
        <w:rPr>
          <w:rFonts w:ascii="Times New Roman" w:hAnsi="Times New Roman" w:cs="Times New Roman"/>
          <w:i/>
          <w:sz w:val="24"/>
        </w:rPr>
        <w:t>Mugadza Chinzamba and Partners</w:t>
      </w:r>
      <w:r>
        <w:rPr>
          <w:rFonts w:ascii="Times New Roman" w:hAnsi="Times New Roman" w:cs="Times New Roman"/>
          <w:sz w:val="24"/>
        </w:rPr>
        <w:t>, Appellant</w:t>
      </w:r>
      <w:r w:rsidR="000221B6">
        <w:rPr>
          <w:rFonts w:ascii="Times New Roman" w:hAnsi="Times New Roman" w:cs="Times New Roman"/>
          <w:sz w:val="24"/>
        </w:rPr>
        <w:t xml:space="preserve">s Legal Practitioners </w:t>
      </w:r>
    </w:p>
    <w:p w:rsidR="000221B6" w:rsidRDefault="0053717E" w:rsidP="000221B6">
      <w:pPr>
        <w:tabs>
          <w:tab w:val="left" w:pos="709"/>
        </w:tabs>
        <w:spacing w:after="0" w:line="240" w:lineRule="auto"/>
        <w:jc w:val="both"/>
        <w:rPr>
          <w:rFonts w:ascii="Times New Roman" w:hAnsi="Times New Roman" w:cs="Times New Roman"/>
          <w:sz w:val="24"/>
        </w:rPr>
      </w:pPr>
      <w:r>
        <w:rPr>
          <w:rFonts w:ascii="Times New Roman" w:hAnsi="Times New Roman" w:cs="Times New Roman"/>
          <w:i/>
          <w:sz w:val="24"/>
        </w:rPr>
        <w:t>Chibaya and Partners</w:t>
      </w:r>
      <w:r>
        <w:rPr>
          <w:rFonts w:ascii="Times New Roman" w:hAnsi="Times New Roman" w:cs="Times New Roman"/>
          <w:sz w:val="24"/>
        </w:rPr>
        <w:t>, Respondent</w:t>
      </w:r>
      <w:r w:rsidR="008541D0">
        <w:rPr>
          <w:rFonts w:ascii="Times New Roman" w:hAnsi="Times New Roman" w:cs="Times New Roman"/>
          <w:sz w:val="24"/>
        </w:rPr>
        <w:t>’</w:t>
      </w:r>
      <w:r w:rsidR="000221B6">
        <w:rPr>
          <w:rFonts w:ascii="Times New Roman" w:hAnsi="Times New Roman" w:cs="Times New Roman"/>
          <w:sz w:val="24"/>
        </w:rPr>
        <w:t xml:space="preserve">s Legal Practitioners </w:t>
      </w:r>
    </w:p>
    <w:sectPr w:rsidR="000221B6">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25BF" w:rsidRDefault="00A925BF" w:rsidP="000D64BF">
      <w:pPr>
        <w:spacing w:after="0" w:line="240" w:lineRule="auto"/>
      </w:pPr>
      <w:r>
        <w:separator/>
      </w:r>
    </w:p>
  </w:endnote>
  <w:endnote w:type="continuationSeparator" w:id="0">
    <w:p w:rsidR="00A925BF" w:rsidRDefault="00A925BF" w:rsidP="000D64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25BF" w:rsidRDefault="00A925BF" w:rsidP="000D64BF">
      <w:pPr>
        <w:spacing w:after="0" w:line="240" w:lineRule="auto"/>
      </w:pPr>
      <w:r>
        <w:separator/>
      </w:r>
    </w:p>
  </w:footnote>
  <w:footnote w:type="continuationSeparator" w:id="0">
    <w:p w:rsidR="00A925BF" w:rsidRDefault="00A925BF" w:rsidP="000D64BF">
      <w:pPr>
        <w:spacing w:after="0" w:line="240" w:lineRule="auto"/>
      </w:pPr>
      <w:r>
        <w:continuationSeparator/>
      </w:r>
    </w:p>
  </w:footnote>
  <w:footnote w:id="1">
    <w:p w:rsidR="0018094F" w:rsidRDefault="0018094F">
      <w:pPr>
        <w:pStyle w:val="FootnoteText"/>
      </w:pPr>
      <w:r>
        <w:rPr>
          <w:rStyle w:val="FootnoteReference"/>
        </w:rPr>
        <w:footnoteRef/>
      </w:r>
      <w:r>
        <w:t xml:space="preserve"> HH 212/18 per </w:t>
      </w:r>
      <w:r w:rsidRPr="00A54A16">
        <w:rPr>
          <w:smallCaps/>
        </w:rPr>
        <w:t>Charewa</w:t>
      </w:r>
      <w:r>
        <w:t xml:space="preserve"> J</w:t>
      </w:r>
    </w:p>
  </w:footnote>
  <w:footnote w:id="2">
    <w:p w:rsidR="0018094F" w:rsidRDefault="0018094F">
      <w:pPr>
        <w:pStyle w:val="FootnoteText"/>
      </w:pPr>
      <w:r>
        <w:rPr>
          <w:rStyle w:val="FootnoteReference"/>
        </w:rPr>
        <w:footnoteRef/>
      </w:r>
      <w:r>
        <w:t xml:space="preserve"> S v Ailken SC 126-95</w:t>
      </w:r>
    </w:p>
  </w:footnote>
  <w:footnote w:id="3">
    <w:p w:rsidR="0018094F" w:rsidRDefault="0018094F">
      <w:pPr>
        <w:pStyle w:val="FootnoteText"/>
      </w:pPr>
      <w:r>
        <w:rPr>
          <w:rStyle w:val="FootnoteReference"/>
        </w:rPr>
        <w:footnoteRef/>
      </w:r>
      <w:r>
        <w:t xml:space="preserve"> </w:t>
      </w:r>
      <w:r w:rsidRPr="003F29BD">
        <w:rPr>
          <w:smallCaps/>
        </w:rPr>
        <w:t>Per Gwaunza</w:t>
      </w:r>
      <w:r>
        <w:t xml:space="preserve"> JA (as she then was) in A. Banga and 20 Others v S Tawe SC 54/14</w:t>
      </w:r>
    </w:p>
  </w:footnote>
  <w:footnote w:id="4">
    <w:p w:rsidR="0018094F" w:rsidRDefault="0018094F">
      <w:pPr>
        <w:pStyle w:val="FootnoteText"/>
      </w:pPr>
      <w:r>
        <w:rPr>
          <w:rStyle w:val="FootnoteReference"/>
        </w:rPr>
        <w:footnoteRef/>
      </w:r>
      <w:r>
        <w:t xml:space="preserve"> Botha and Another v.Barret 1996 (2) ZLR 73 (S) 79E</w:t>
      </w:r>
    </w:p>
  </w:footnote>
  <w:footnote w:id="5">
    <w:p w:rsidR="0018094F" w:rsidRDefault="0018094F">
      <w:pPr>
        <w:pStyle w:val="FootnoteText"/>
      </w:pPr>
      <w:r>
        <w:rPr>
          <w:rStyle w:val="FootnoteReference"/>
        </w:rPr>
        <w:footnoteRef/>
      </w:r>
      <w:r>
        <w:t xml:space="preserve"> Chesveto v Minister of Local Government and Town Planning 1984 (1) ZLR 240 (H) 250A7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1518307"/>
      <w:docPartObj>
        <w:docPartGallery w:val="Page Numbers (Top of Page)"/>
        <w:docPartUnique/>
      </w:docPartObj>
    </w:sdtPr>
    <w:sdtEndPr>
      <w:rPr>
        <w:noProof/>
      </w:rPr>
    </w:sdtEndPr>
    <w:sdtContent>
      <w:p w:rsidR="0018094F" w:rsidRDefault="0018094F">
        <w:pPr>
          <w:pStyle w:val="Header"/>
          <w:jc w:val="right"/>
          <w:rPr>
            <w:noProof/>
          </w:rPr>
        </w:pPr>
        <w:r>
          <w:fldChar w:fldCharType="begin"/>
        </w:r>
        <w:r>
          <w:instrText xml:space="preserve"> PAGE   \* MERGEFORMAT </w:instrText>
        </w:r>
        <w:r>
          <w:fldChar w:fldCharType="separate"/>
        </w:r>
        <w:r w:rsidR="007218F2">
          <w:rPr>
            <w:noProof/>
          </w:rPr>
          <w:t>1</w:t>
        </w:r>
        <w:r>
          <w:rPr>
            <w:noProof/>
          </w:rPr>
          <w:fldChar w:fldCharType="end"/>
        </w:r>
      </w:p>
      <w:p w:rsidR="0018094F" w:rsidRDefault="0018094F">
        <w:pPr>
          <w:pStyle w:val="Header"/>
          <w:jc w:val="right"/>
          <w:rPr>
            <w:noProof/>
          </w:rPr>
        </w:pPr>
        <w:r>
          <w:rPr>
            <w:noProof/>
          </w:rPr>
          <w:t xml:space="preserve">HMT </w:t>
        </w:r>
        <w:r w:rsidR="0090010C">
          <w:rPr>
            <w:noProof/>
          </w:rPr>
          <w:t>97</w:t>
        </w:r>
        <w:r>
          <w:rPr>
            <w:noProof/>
          </w:rPr>
          <w:t>-20</w:t>
        </w:r>
      </w:p>
      <w:p w:rsidR="0018094F" w:rsidRDefault="0018094F">
        <w:pPr>
          <w:pStyle w:val="Header"/>
          <w:jc w:val="right"/>
          <w:rPr>
            <w:noProof/>
          </w:rPr>
        </w:pPr>
        <w:r>
          <w:rPr>
            <w:noProof/>
          </w:rPr>
          <w:t>CIV “A” 11/20</w:t>
        </w:r>
      </w:p>
      <w:p w:rsidR="0018094F" w:rsidRDefault="0018094F">
        <w:pPr>
          <w:pStyle w:val="Header"/>
          <w:jc w:val="right"/>
          <w:rPr>
            <w:noProof/>
          </w:rPr>
        </w:pPr>
      </w:p>
      <w:p w:rsidR="0018094F" w:rsidRDefault="00A925BF" w:rsidP="00384979">
        <w:pPr>
          <w:pStyle w:val="Header"/>
          <w:jc w:val="center"/>
        </w:pPr>
      </w:p>
    </w:sdtContent>
  </w:sdt>
  <w:p w:rsidR="0018094F" w:rsidRDefault="0018094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A94418"/>
    <w:multiLevelType w:val="hybridMultilevel"/>
    <w:tmpl w:val="FF1C68B6"/>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0E4C3353"/>
    <w:multiLevelType w:val="hybridMultilevel"/>
    <w:tmpl w:val="7DD85124"/>
    <w:lvl w:ilvl="0" w:tplc="0AA2574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157F51E7"/>
    <w:multiLevelType w:val="hybridMultilevel"/>
    <w:tmpl w:val="952E91C8"/>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1D127646"/>
    <w:multiLevelType w:val="hybridMultilevel"/>
    <w:tmpl w:val="0E90F678"/>
    <w:lvl w:ilvl="0" w:tplc="3009000F">
      <w:start w:val="1"/>
      <w:numFmt w:val="decimal"/>
      <w:lvlText w:val="%1."/>
      <w:lvlJc w:val="left"/>
      <w:pPr>
        <w:ind w:left="720" w:hanging="360"/>
      </w:pPr>
    </w:lvl>
    <w:lvl w:ilvl="1" w:tplc="30090019">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270233A6"/>
    <w:multiLevelType w:val="hybridMultilevel"/>
    <w:tmpl w:val="2E167F8C"/>
    <w:lvl w:ilvl="0" w:tplc="3009000F">
      <w:start w:val="1"/>
      <w:numFmt w:val="decimal"/>
      <w:lvlText w:val="%1."/>
      <w:lvlJc w:val="left"/>
      <w:pPr>
        <w:ind w:left="786" w:hanging="360"/>
      </w:pPr>
    </w:lvl>
    <w:lvl w:ilvl="1" w:tplc="30090019" w:tentative="1">
      <w:start w:val="1"/>
      <w:numFmt w:val="lowerLetter"/>
      <w:lvlText w:val="%2."/>
      <w:lvlJc w:val="left"/>
      <w:pPr>
        <w:ind w:left="1506" w:hanging="360"/>
      </w:pPr>
    </w:lvl>
    <w:lvl w:ilvl="2" w:tplc="3009001B" w:tentative="1">
      <w:start w:val="1"/>
      <w:numFmt w:val="lowerRoman"/>
      <w:lvlText w:val="%3."/>
      <w:lvlJc w:val="right"/>
      <w:pPr>
        <w:ind w:left="2226" w:hanging="180"/>
      </w:pPr>
    </w:lvl>
    <w:lvl w:ilvl="3" w:tplc="3009000F" w:tentative="1">
      <w:start w:val="1"/>
      <w:numFmt w:val="decimal"/>
      <w:lvlText w:val="%4."/>
      <w:lvlJc w:val="left"/>
      <w:pPr>
        <w:ind w:left="2946" w:hanging="360"/>
      </w:pPr>
    </w:lvl>
    <w:lvl w:ilvl="4" w:tplc="30090019" w:tentative="1">
      <w:start w:val="1"/>
      <w:numFmt w:val="lowerLetter"/>
      <w:lvlText w:val="%5."/>
      <w:lvlJc w:val="left"/>
      <w:pPr>
        <w:ind w:left="3666" w:hanging="360"/>
      </w:pPr>
    </w:lvl>
    <w:lvl w:ilvl="5" w:tplc="3009001B" w:tentative="1">
      <w:start w:val="1"/>
      <w:numFmt w:val="lowerRoman"/>
      <w:lvlText w:val="%6."/>
      <w:lvlJc w:val="right"/>
      <w:pPr>
        <w:ind w:left="4386" w:hanging="180"/>
      </w:pPr>
    </w:lvl>
    <w:lvl w:ilvl="6" w:tplc="3009000F" w:tentative="1">
      <w:start w:val="1"/>
      <w:numFmt w:val="decimal"/>
      <w:lvlText w:val="%7."/>
      <w:lvlJc w:val="left"/>
      <w:pPr>
        <w:ind w:left="5106" w:hanging="360"/>
      </w:pPr>
    </w:lvl>
    <w:lvl w:ilvl="7" w:tplc="30090019" w:tentative="1">
      <w:start w:val="1"/>
      <w:numFmt w:val="lowerLetter"/>
      <w:lvlText w:val="%8."/>
      <w:lvlJc w:val="left"/>
      <w:pPr>
        <w:ind w:left="5826" w:hanging="360"/>
      </w:pPr>
    </w:lvl>
    <w:lvl w:ilvl="8" w:tplc="3009001B" w:tentative="1">
      <w:start w:val="1"/>
      <w:numFmt w:val="lowerRoman"/>
      <w:lvlText w:val="%9."/>
      <w:lvlJc w:val="right"/>
      <w:pPr>
        <w:ind w:left="6546" w:hanging="180"/>
      </w:pPr>
    </w:lvl>
  </w:abstractNum>
  <w:abstractNum w:abstractNumId="5" w15:restartNumberingAfterBreak="0">
    <w:nsid w:val="5BA64591"/>
    <w:multiLevelType w:val="hybridMultilevel"/>
    <w:tmpl w:val="35A0AA9A"/>
    <w:lvl w:ilvl="0" w:tplc="469AF82C">
      <w:start w:val="1"/>
      <w:numFmt w:val="decimal"/>
      <w:lvlText w:val="(%1)"/>
      <w:lvlJc w:val="left"/>
      <w:pPr>
        <w:ind w:left="1440" w:hanging="720"/>
      </w:pPr>
      <w:rPr>
        <w:rFonts w:ascii="Times New Roman" w:eastAsiaTheme="minorHAnsi" w:hAnsi="Times New Roman" w:cs="Times New Roman"/>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15:restartNumberingAfterBreak="0">
    <w:nsid w:val="5DB81A8F"/>
    <w:multiLevelType w:val="hybridMultilevel"/>
    <w:tmpl w:val="79508856"/>
    <w:lvl w:ilvl="0" w:tplc="3009000F">
      <w:start w:val="1"/>
      <w:numFmt w:val="decimal"/>
      <w:lvlText w:val="%1."/>
      <w:lvlJc w:val="left"/>
      <w:pPr>
        <w:ind w:left="720" w:hanging="360"/>
      </w:pPr>
    </w:lvl>
    <w:lvl w:ilvl="1" w:tplc="C9A8B39A">
      <w:start w:val="1"/>
      <w:numFmt w:val="lowerLetter"/>
      <w:lvlText w:val="(%2)"/>
      <w:lvlJc w:val="left"/>
      <w:pPr>
        <w:ind w:left="1440" w:hanging="360"/>
      </w:pPr>
      <w:rPr>
        <w:rFonts w:hint="default"/>
      </w:r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15:restartNumberingAfterBreak="0">
    <w:nsid w:val="62F63E1D"/>
    <w:multiLevelType w:val="hybridMultilevel"/>
    <w:tmpl w:val="194E19D8"/>
    <w:lvl w:ilvl="0" w:tplc="3009001B">
      <w:start w:val="1"/>
      <w:numFmt w:val="lowerRoman"/>
      <w:lvlText w:val="%1."/>
      <w:lvlJc w:val="right"/>
      <w:pPr>
        <w:ind w:left="1080" w:hanging="360"/>
      </w:p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8" w15:restartNumberingAfterBreak="0">
    <w:nsid w:val="6568067D"/>
    <w:multiLevelType w:val="hybridMultilevel"/>
    <w:tmpl w:val="58EE17B2"/>
    <w:lvl w:ilvl="0" w:tplc="3009001B">
      <w:start w:val="1"/>
      <w:numFmt w:val="lowerRoman"/>
      <w:lvlText w:val="%1."/>
      <w:lvlJc w:val="right"/>
      <w:pPr>
        <w:ind w:left="1080" w:hanging="360"/>
      </w:p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9" w15:restartNumberingAfterBreak="0">
    <w:nsid w:val="7EA55118"/>
    <w:multiLevelType w:val="hybridMultilevel"/>
    <w:tmpl w:val="75E0972E"/>
    <w:lvl w:ilvl="0" w:tplc="469AF82C">
      <w:start w:val="1"/>
      <w:numFmt w:val="decimal"/>
      <w:lvlText w:val="(%1)"/>
      <w:lvlJc w:val="left"/>
      <w:pPr>
        <w:ind w:left="1440" w:hanging="720"/>
      </w:pPr>
      <w:rPr>
        <w:rFonts w:ascii="Times New Roman" w:eastAsiaTheme="minorHAnsi" w:hAnsi="Times New Roman" w:cs="Times New Roman"/>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0" w15:restartNumberingAfterBreak="0">
    <w:nsid w:val="7ECF20AE"/>
    <w:multiLevelType w:val="hybridMultilevel"/>
    <w:tmpl w:val="8AF0C0EA"/>
    <w:lvl w:ilvl="0" w:tplc="492EF6D2">
      <w:start w:val="1"/>
      <w:numFmt w:val="lowerRoman"/>
      <w:lvlText w:val="%1."/>
      <w:lvlJc w:val="left"/>
      <w:pPr>
        <w:ind w:left="1425" w:hanging="720"/>
      </w:pPr>
      <w:rPr>
        <w:rFonts w:hint="default"/>
      </w:rPr>
    </w:lvl>
    <w:lvl w:ilvl="1" w:tplc="30090019" w:tentative="1">
      <w:start w:val="1"/>
      <w:numFmt w:val="lowerLetter"/>
      <w:lvlText w:val="%2."/>
      <w:lvlJc w:val="left"/>
      <w:pPr>
        <w:ind w:left="1785" w:hanging="360"/>
      </w:pPr>
    </w:lvl>
    <w:lvl w:ilvl="2" w:tplc="3009001B" w:tentative="1">
      <w:start w:val="1"/>
      <w:numFmt w:val="lowerRoman"/>
      <w:lvlText w:val="%3."/>
      <w:lvlJc w:val="right"/>
      <w:pPr>
        <w:ind w:left="2505" w:hanging="180"/>
      </w:pPr>
    </w:lvl>
    <w:lvl w:ilvl="3" w:tplc="3009000F" w:tentative="1">
      <w:start w:val="1"/>
      <w:numFmt w:val="decimal"/>
      <w:lvlText w:val="%4."/>
      <w:lvlJc w:val="left"/>
      <w:pPr>
        <w:ind w:left="3225" w:hanging="360"/>
      </w:pPr>
    </w:lvl>
    <w:lvl w:ilvl="4" w:tplc="30090019" w:tentative="1">
      <w:start w:val="1"/>
      <w:numFmt w:val="lowerLetter"/>
      <w:lvlText w:val="%5."/>
      <w:lvlJc w:val="left"/>
      <w:pPr>
        <w:ind w:left="3945" w:hanging="360"/>
      </w:pPr>
    </w:lvl>
    <w:lvl w:ilvl="5" w:tplc="3009001B" w:tentative="1">
      <w:start w:val="1"/>
      <w:numFmt w:val="lowerRoman"/>
      <w:lvlText w:val="%6."/>
      <w:lvlJc w:val="right"/>
      <w:pPr>
        <w:ind w:left="4665" w:hanging="180"/>
      </w:pPr>
    </w:lvl>
    <w:lvl w:ilvl="6" w:tplc="3009000F" w:tentative="1">
      <w:start w:val="1"/>
      <w:numFmt w:val="decimal"/>
      <w:lvlText w:val="%7."/>
      <w:lvlJc w:val="left"/>
      <w:pPr>
        <w:ind w:left="5385" w:hanging="360"/>
      </w:pPr>
    </w:lvl>
    <w:lvl w:ilvl="7" w:tplc="30090019" w:tentative="1">
      <w:start w:val="1"/>
      <w:numFmt w:val="lowerLetter"/>
      <w:lvlText w:val="%8."/>
      <w:lvlJc w:val="left"/>
      <w:pPr>
        <w:ind w:left="6105" w:hanging="360"/>
      </w:pPr>
    </w:lvl>
    <w:lvl w:ilvl="8" w:tplc="3009001B" w:tentative="1">
      <w:start w:val="1"/>
      <w:numFmt w:val="lowerRoman"/>
      <w:lvlText w:val="%9."/>
      <w:lvlJc w:val="right"/>
      <w:pPr>
        <w:ind w:left="6825" w:hanging="180"/>
      </w:pPr>
    </w:lvl>
  </w:abstractNum>
  <w:num w:numId="1">
    <w:abstractNumId w:val="0"/>
  </w:num>
  <w:num w:numId="2">
    <w:abstractNumId w:val="3"/>
  </w:num>
  <w:num w:numId="3">
    <w:abstractNumId w:val="6"/>
  </w:num>
  <w:num w:numId="4">
    <w:abstractNumId w:val="2"/>
  </w:num>
  <w:num w:numId="5">
    <w:abstractNumId w:val="4"/>
  </w:num>
  <w:num w:numId="6">
    <w:abstractNumId w:val="5"/>
  </w:num>
  <w:num w:numId="7">
    <w:abstractNumId w:val="1"/>
  </w:num>
  <w:num w:numId="8">
    <w:abstractNumId w:val="9"/>
  </w:num>
  <w:num w:numId="9">
    <w:abstractNumId w:val="7"/>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1D96"/>
    <w:rsid w:val="00003113"/>
    <w:rsid w:val="000040D0"/>
    <w:rsid w:val="00005C4D"/>
    <w:rsid w:val="00005E43"/>
    <w:rsid w:val="00014FE4"/>
    <w:rsid w:val="000221B6"/>
    <w:rsid w:val="000262D7"/>
    <w:rsid w:val="00037F27"/>
    <w:rsid w:val="00066A39"/>
    <w:rsid w:val="00092E50"/>
    <w:rsid w:val="000B15EC"/>
    <w:rsid w:val="000C028B"/>
    <w:rsid w:val="000D64BF"/>
    <w:rsid w:val="000E0257"/>
    <w:rsid w:val="000E2283"/>
    <w:rsid w:val="000F1E0E"/>
    <w:rsid w:val="00100BC2"/>
    <w:rsid w:val="0010685F"/>
    <w:rsid w:val="0011147F"/>
    <w:rsid w:val="00115286"/>
    <w:rsid w:val="0014501B"/>
    <w:rsid w:val="00150A66"/>
    <w:rsid w:val="0015581E"/>
    <w:rsid w:val="00155C44"/>
    <w:rsid w:val="0017467B"/>
    <w:rsid w:val="0018094F"/>
    <w:rsid w:val="00183209"/>
    <w:rsid w:val="00187465"/>
    <w:rsid w:val="001A597B"/>
    <w:rsid w:val="001B67D4"/>
    <w:rsid w:val="001B6E43"/>
    <w:rsid w:val="001E2F4C"/>
    <w:rsid w:val="001E717E"/>
    <w:rsid w:val="002052EA"/>
    <w:rsid w:val="0020703C"/>
    <w:rsid w:val="00215084"/>
    <w:rsid w:val="00222980"/>
    <w:rsid w:val="00223346"/>
    <w:rsid w:val="002266BA"/>
    <w:rsid w:val="00241E80"/>
    <w:rsid w:val="002451B3"/>
    <w:rsid w:val="00271B2A"/>
    <w:rsid w:val="00272C17"/>
    <w:rsid w:val="002736FD"/>
    <w:rsid w:val="0029202F"/>
    <w:rsid w:val="002B32D9"/>
    <w:rsid w:val="002B6424"/>
    <w:rsid w:val="002C4784"/>
    <w:rsid w:val="002D0E2E"/>
    <w:rsid w:val="002D3B86"/>
    <w:rsid w:val="002E081F"/>
    <w:rsid w:val="002E50DA"/>
    <w:rsid w:val="002E5E82"/>
    <w:rsid w:val="002E7B5E"/>
    <w:rsid w:val="002F4BB0"/>
    <w:rsid w:val="002F7E20"/>
    <w:rsid w:val="0030000B"/>
    <w:rsid w:val="00301DE6"/>
    <w:rsid w:val="003201B1"/>
    <w:rsid w:val="003204E6"/>
    <w:rsid w:val="003414F8"/>
    <w:rsid w:val="003469A4"/>
    <w:rsid w:val="00352E07"/>
    <w:rsid w:val="00354506"/>
    <w:rsid w:val="003554F6"/>
    <w:rsid w:val="00361ABB"/>
    <w:rsid w:val="003657BC"/>
    <w:rsid w:val="00365AFD"/>
    <w:rsid w:val="00373561"/>
    <w:rsid w:val="00381E61"/>
    <w:rsid w:val="00384979"/>
    <w:rsid w:val="003B1487"/>
    <w:rsid w:val="003B3016"/>
    <w:rsid w:val="003D647B"/>
    <w:rsid w:val="003D6EB1"/>
    <w:rsid w:val="003F29BD"/>
    <w:rsid w:val="003F503D"/>
    <w:rsid w:val="0040167C"/>
    <w:rsid w:val="00410B45"/>
    <w:rsid w:val="0041426D"/>
    <w:rsid w:val="00426FD9"/>
    <w:rsid w:val="004354C1"/>
    <w:rsid w:val="00444C01"/>
    <w:rsid w:val="004450C3"/>
    <w:rsid w:val="004508A1"/>
    <w:rsid w:val="00452668"/>
    <w:rsid w:val="00454826"/>
    <w:rsid w:val="00460708"/>
    <w:rsid w:val="00465B3D"/>
    <w:rsid w:val="004733BC"/>
    <w:rsid w:val="004D556D"/>
    <w:rsid w:val="004D6C9D"/>
    <w:rsid w:val="004E150A"/>
    <w:rsid w:val="00515784"/>
    <w:rsid w:val="00521D96"/>
    <w:rsid w:val="005362B9"/>
    <w:rsid w:val="0053717E"/>
    <w:rsid w:val="00542CD3"/>
    <w:rsid w:val="00555E30"/>
    <w:rsid w:val="00571695"/>
    <w:rsid w:val="0057248A"/>
    <w:rsid w:val="005864A1"/>
    <w:rsid w:val="005C29D8"/>
    <w:rsid w:val="005D72B4"/>
    <w:rsid w:val="005E3409"/>
    <w:rsid w:val="0062387F"/>
    <w:rsid w:val="00627710"/>
    <w:rsid w:val="00627EC2"/>
    <w:rsid w:val="00651B48"/>
    <w:rsid w:val="00686643"/>
    <w:rsid w:val="006A6086"/>
    <w:rsid w:val="006A630C"/>
    <w:rsid w:val="006E011D"/>
    <w:rsid w:val="006E62F3"/>
    <w:rsid w:val="006F2779"/>
    <w:rsid w:val="006F2C06"/>
    <w:rsid w:val="0070604B"/>
    <w:rsid w:val="00716DE4"/>
    <w:rsid w:val="007218F2"/>
    <w:rsid w:val="007347AF"/>
    <w:rsid w:val="00742484"/>
    <w:rsid w:val="00746D16"/>
    <w:rsid w:val="00746E26"/>
    <w:rsid w:val="007558C7"/>
    <w:rsid w:val="007567D7"/>
    <w:rsid w:val="00785A58"/>
    <w:rsid w:val="007B086F"/>
    <w:rsid w:val="007C0C17"/>
    <w:rsid w:val="007C2AE6"/>
    <w:rsid w:val="007F1829"/>
    <w:rsid w:val="007F5B5C"/>
    <w:rsid w:val="00804E7C"/>
    <w:rsid w:val="0081566C"/>
    <w:rsid w:val="008207CC"/>
    <w:rsid w:val="008219B1"/>
    <w:rsid w:val="00825FE1"/>
    <w:rsid w:val="008318E8"/>
    <w:rsid w:val="008324CC"/>
    <w:rsid w:val="00832C72"/>
    <w:rsid w:val="00846CC5"/>
    <w:rsid w:val="0085059E"/>
    <w:rsid w:val="0085120C"/>
    <w:rsid w:val="008541D0"/>
    <w:rsid w:val="00867F8D"/>
    <w:rsid w:val="0088287E"/>
    <w:rsid w:val="008851A2"/>
    <w:rsid w:val="00890C58"/>
    <w:rsid w:val="00897FE8"/>
    <w:rsid w:val="008B7984"/>
    <w:rsid w:val="008C04AC"/>
    <w:rsid w:val="008D18E5"/>
    <w:rsid w:val="008D53DB"/>
    <w:rsid w:val="008F314D"/>
    <w:rsid w:val="0090010C"/>
    <w:rsid w:val="0091677D"/>
    <w:rsid w:val="00920628"/>
    <w:rsid w:val="00922532"/>
    <w:rsid w:val="00946308"/>
    <w:rsid w:val="00971AB4"/>
    <w:rsid w:val="00991993"/>
    <w:rsid w:val="009A25BA"/>
    <w:rsid w:val="009B1C21"/>
    <w:rsid w:val="009B26EA"/>
    <w:rsid w:val="009C1C44"/>
    <w:rsid w:val="009C5C7D"/>
    <w:rsid w:val="009D16FC"/>
    <w:rsid w:val="009D52F1"/>
    <w:rsid w:val="009D728F"/>
    <w:rsid w:val="009E51F7"/>
    <w:rsid w:val="00A30AC2"/>
    <w:rsid w:val="00A403A6"/>
    <w:rsid w:val="00A4172B"/>
    <w:rsid w:val="00A46F85"/>
    <w:rsid w:val="00A535EA"/>
    <w:rsid w:val="00A54A16"/>
    <w:rsid w:val="00A662A0"/>
    <w:rsid w:val="00A925BF"/>
    <w:rsid w:val="00A94A1D"/>
    <w:rsid w:val="00AC39B3"/>
    <w:rsid w:val="00AC5210"/>
    <w:rsid w:val="00AC627D"/>
    <w:rsid w:val="00AD0A77"/>
    <w:rsid w:val="00AD71A7"/>
    <w:rsid w:val="00AE0DFA"/>
    <w:rsid w:val="00B014CD"/>
    <w:rsid w:val="00B06689"/>
    <w:rsid w:val="00B06898"/>
    <w:rsid w:val="00B1793C"/>
    <w:rsid w:val="00B641BE"/>
    <w:rsid w:val="00B73F87"/>
    <w:rsid w:val="00B74661"/>
    <w:rsid w:val="00B77F9A"/>
    <w:rsid w:val="00BA5AC7"/>
    <w:rsid w:val="00BB4EC4"/>
    <w:rsid w:val="00BE1991"/>
    <w:rsid w:val="00BF1E1B"/>
    <w:rsid w:val="00BF3E3A"/>
    <w:rsid w:val="00BF5CE4"/>
    <w:rsid w:val="00C05BF2"/>
    <w:rsid w:val="00C50E34"/>
    <w:rsid w:val="00C57385"/>
    <w:rsid w:val="00C63DBA"/>
    <w:rsid w:val="00C7507E"/>
    <w:rsid w:val="00CC6303"/>
    <w:rsid w:val="00CD3DAF"/>
    <w:rsid w:val="00CD5D98"/>
    <w:rsid w:val="00D12073"/>
    <w:rsid w:val="00D1211D"/>
    <w:rsid w:val="00D24663"/>
    <w:rsid w:val="00D24CDD"/>
    <w:rsid w:val="00D328B8"/>
    <w:rsid w:val="00D32B8B"/>
    <w:rsid w:val="00D85193"/>
    <w:rsid w:val="00D9393E"/>
    <w:rsid w:val="00DA3A1D"/>
    <w:rsid w:val="00DA751C"/>
    <w:rsid w:val="00DB3980"/>
    <w:rsid w:val="00DB6260"/>
    <w:rsid w:val="00DD37C3"/>
    <w:rsid w:val="00DF0D74"/>
    <w:rsid w:val="00DF3BE0"/>
    <w:rsid w:val="00E01ED8"/>
    <w:rsid w:val="00E10FB0"/>
    <w:rsid w:val="00E13C3B"/>
    <w:rsid w:val="00E165CE"/>
    <w:rsid w:val="00E20928"/>
    <w:rsid w:val="00E33C47"/>
    <w:rsid w:val="00E41721"/>
    <w:rsid w:val="00E50E12"/>
    <w:rsid w:val="00E560F1"/>
    <w:rsid w:val="00E62143"/>
    <w:rsid w:val="00E631FB"/>
    <w:rsid w:val="00E66753"/>
    <w:rsid w:val="00E858BC"/>
    <w:rsid w:val="00E862CD"/>
    <w:rsid w:val="00EA15AE"/>
    <w:rsid w:val="00EA42F4"/>
    <w:rsid w:val="00EC19D0"/>
    <w:rsid w:val="00EC3080"/>
    <w:rsid w:val="00EC6BC5"/>
    <w:rsid w:val="00ED2FAB"/>
    <w:rsid w:val="00ED66A0"/>
    <w:rsid w:val="00EE0442"/>
    <w:rsid w:val="00EF2F3E"/>
    <w:rsid w:val="00EF5A39"/>
    <w:rsid w:val="00F06B76"/>
    <w:rsid w:val="00F22E40"/>
    <w:rsid w:val="00F51313"/>
    <w:rsid w:val="00F54245"/>
    <w:rsid w:val="00F61CFE"/>
    <w:rsid w:val="00F80834"/>
    <w:rsid w:val="00F80CA4"/>
    <w:rsid w:val="00F9259C"/>
    <w:rsid w:val="00F94668"/>
    <w:rsid w:val="00FB0AE5"/>
    <w:rsid w:val="00FC074C"/>
    <w:rsid w:val="00FC263C"/>
    <w:rsid w:val="00FC52D1"/>
    <w:rsid w:val="00FC6F1F"/>
    <w:rsid w:val="00FD19B7"/>
    <w:rsid w:val="00FE2B96"/>
    <w:rsid w:val="00FE4E61"/>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8661F0-9AC2-40F2-82C7-8BD324BE8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1D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1D96"/>
    <w:pPr>
      <w:ind w:left="720"/>
      <w:contextualSpacing/>
    </w:pPr>
  </w:style>
  <w:style w:type="paragraph" w:styleId="FootnoteText">
    <w:name w:val="footnote text"/>
    <w:basedOn w:val="Normal"/>
    <w:link w:val="FootnoteTextChar"/>
    <w:uiPriority w:val="99"/>
    <w:unhideWhenUsed/>
    <w:rsid w:val="000D64BF"/>
    <w:pPr>
      <w:spacing w:after="0" w:line="240" w:lineRule="auto"/>
    </w:pPr>
    <w:rPr>
      <w:sz w:val="20"/>
      <w:szCs w:val="20"/>
    </w:rPr>
  </w:style>
  <w:style w:type="character" w:customStyle="1" w:styleId="FootnoteTextChar">
    <w:name w:val="Footnote Text Char"/>
    <w:basedOn w:val="DefaultParagraphFont"/>
    <w:link w:val="FootnoteText"/>
    <w:uiPriority w:val="99"/>
    <w:rsid w:val="000D64BF"/>
    <w:rPr>
      <w:sz w:val="20"/>
      <w:szCs w:val="20"/>
    </w:rPr>
  </w:style>
  <w:style w:type="character" w:styleId="FootnoteReference">
    <w:name w:val="footnote reference"/>
    <w:basedOn w:val="DefaultParagraphFont"/>
    <w:uiPriority w:val="99"/>
    <w:semiHidden/>
    <w:unhideWhenUsed/>
    <w:rsid w:val="000D64BF"/>
    <w:rPr>
      <w:vertAlign w:val="superscript"/>
    </w:rPr>
  </w:style>
  <w:style w:type="paragraph" w:styleId="Header">
    <w:name w:val="header"/>
    <w:basedOn w:val="Normal"/>
    <w:link w:val="HeaderChar"/>
    <w:uiPriority w:val="99"/>
    <w:unhideWhenUsed/>
    <w:rsid w:val="00241E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1E80"/>
  </w:style>
  <w:style w:type="paragraph" w:styleId="Footer">
    <w:name w:val="footer"/>
    <w:basedOn w:val="Normal"/>
    <w:link w:val="FooterChar"/>
    <w:uiPriority w:val="99"/>
    <w:unhideWhenUsed/>
    <w:rsid w:val="00241E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1E80"/>
  </w:style>
  <w:style w:type="paragraph" w:styleId="BalloonText">
    <w:name w:val="Balloon Text"/>
    <w:basedOn w:val="Normal"/>
    <w:link w:val="BalloonTextChar"/>
    <w:uiPriority w:val="99"/>
    <w:semiHidden/>
    <w:unhideWhenUsed/>
    <w:rsid w:val="00241E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1E80"/>
    <w:rPr>
      <w:rFonts w:ascii="Segoe UI" w:hAnsi="Segoe UI" w:cs="Segoe UI"/>
      <w:sz w:val="18"/>
      <w:szCs w:val="18"/>
    </w:rPr>
  </w:style>
  <w:style w:type="character" w:styleId="CommentReference">
    <w:name w:val="annotation reference"/>
    <w:basedOn w:val="DefaultParagraphFont"/>
    <w:uiPriority w:val="99"/>
    <w:semiHidden/>
    <w:unhideWhenUsed/>
    <w:rsid w:val="00EE0442"/>
    <w:rPr>
      <w:sz w:val="16"/>
      <w:szCs w:val="16"/>
    </w:rPr>
  </w:style>
  <w:style w:type="paragraph" w:styleId="CommentText">
    <w:name w:val="annotation text"/>
    <w:basedOn w:val="Normal"/>
    <w:link w:val="CommentTextChar"/>
    <w:uiPriority w:val="99"/>
    <w:semiHidden/>
    <w:unhideWhenUsed/>
    <w:rsid w:val="00EE0442"/>
    <w:pPr>
      <w:spacing w:line="240" w:lineRule="auto"/>
    </w:pPr>
    <w:rPr>
      <w:sz w:val="20"/>
      <w:szCs w:val="20"/>
    </w:rPr>
  </w:style>
  <w:style w:type="character" w:customStyle="1" w:styleId="CommentTextChar">
    <w:name w:val="Comment Text Char"/>
    <w:basedOn w:val="DefaultParagraphFont"/>
    <w:link w:val="CommentText"/>
    <w:uiPriority w:val="99"/>
    <w:semiHidden/>
    <w:rsid w:val="00EE0442"/>
    <w:rPr>
      <w:sz w:val="20"/>
      <w:szCs w:val="20"/>
    </w:rPr>
  </w:style>
  <w:style w:type="paragraph" w:styleId="CommentSubject">
    <w:name w:val="annotation subject"/>
    <w:basedOn w:val="CommentText"/>
    <w:next w:val="CommentText"/>
    <w:link w:val="CommentSubjectChar"/>
    <w:uiPriority w:val="99"/>
    <w:semiHidden/>
    <w:unhideWhenUsed/>
    <w:rsid w:val="00EE0442"/>
    <w:rPr>
      <w:b/>
      <w:bCs/>
    </w:rPr>
  </w:style>
  <w:style w:type="character" w:customStyle="1" w:styleId="CommentSubjectChar">
    <w:name w:val="Comment Subject Char"/>
    <w:basedOn w:val="CommentTextChar"/>
    <w:link w:val="CommentSubject"/>
    <w:uiPriority w:val="99"/>
    <w:semiHidden/>
    <w:rsid w:val="00EE044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A73F4A-D2AF-48B3-A5F8-085BFD7C97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1895</Words>
  <Characters>10804</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2</cp:revision>
  <cp:lastPrinted>2020-12-24T10:45:00Z</cp:lastPrinted>
  <dcterms:created xsi:type="dcterms:W3CDTF">2021-03-09T09:53:00Z</dcterms:created>
  <dcterms:modified xsi:type="dcterms:W3CDTF">2021-03-09T09:53:00Z</dcterms:modified>
</cp:coreProperties>
</file>