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E1049" w14:textId="09797BBF" w:rsidR="00D66035" w:rsidRPr="00CE6E87" w:rsidRDefault="00D66035" w:rsidP="009165C8">
      <w:pPr>
        <w:spacing w:after="0" w:line="360" w:lineRule="auto"/>
        <w:jc w:val="both"/>
        <w:rPr>
          <w:rFonts w:ascii="Times New Roman" w:hAnsi="Times New Roman" w:cs="Times New Roman"/>
          <w:sz w:val="24"/>
          <w:szCs w:val="24"/>
        </w:rPr>
      </w:pPr>
      <w:bookmarkStart w:id="0" w:name="_GoBack"/>
      <w:bookmarkEnd w:id="0"/>
      <w:r w:rsidRPr="00CE6E87">
        <w:rPr>
          <w:rFonts w:ascii="Times New Roman" w:hAnsi="Times New Roman" w:cs="Times New Roman"/>
          <w:sz w:val="24"/>
          <w:szCs w:val="24"/>
        </w:rPr>
        <w:t xml:space="preserve">                                                                                                 </w:t>
      </w:r>
      <w:r w:rsidR="009165C8">
        <w:rPr>
          <w:rFonts w:ascii="Times New Roman" w:hAnsi="Times New Roman" w:cs="Times New Roman"/>
          <w:sz w:val="24"/>
          <w:szCs w:val="24"/>
        </w:rPr>
        <w:t xml:space="preserve">                               </w:t>
      </w:r>
    </w:p>
    <w:p w14:paraId="137F99B6" w14:textId="77777777" w:rsidR="00D66035" w:rsidRPr="00CE6E87" w:rsidRDefault="00D66035" w:rsidP="009165C8">
      <w:pPr>
        <w:spacing w:after="0" w:line="240" w:lineRule="auto"/>
        <w:jc w:val="both"/>
        <w:rPr>
          <w:rFonts w:ascii="Times New Roman" w:hAnsi="Times New Roman" w:cs="Times New Roman"/>
          <w:sz w:val="24"/>
          <w:szCs w:val="24"/>
        </w:rPr>
      </w:pPr>
      <w:r w:rsidRPr="00CE6E87">
        <w:rPr>
          <w:rFonts w:ascii="Times New Roman" w:hAnsi="Times New Roman" w:cs="Times New Roman"/>
          <w:sz w:val="24"/>
          <w:szCs w:val="24"/>
        </w:rPr>
        <w:t>ZIMBABWE REVENUE AUTHORITY</w:t>
      </w:r>
    </w:p>
    <w:p w14:paraId="2138A1C7" w14:textId="77777777" w:rsidR="00D66035" w:rsidRPr="00CE6E87" w:rsidRDefault="00D66035" w:rsidP="009165C8">
      <w:pPr>
        <w:spacing w:after="0" w:line="240" w:lineRule="auto"/>
        <w:jc w:val="both"/>
        <w:rPr>
          <w:rFonts w:ascii="Times New Roman" w:hAnsi="Times New Roman" w:cs="Times New Roman"/>
          <w:sz w:val="24"/>
          <w:szCs w:val="24"/>
        </w:rPr>
      </w:pPr>
      <w:r w:rsidRPr="00CE6E87">
        <w:rPr>
          <w:rFonts w:ascii="Times New Roman" w:hAnsi="Times New Roman" w:cs="Times New Roman"/>
          <w:sz w:val="24"/>
          <w:szCs w:val="24"/>
        </w:rPr>
        <w:t>versus</w:t>
      </w:r>
    </w:p>
    <w:p w14:paraId="14A30DC9" w14:textId="77777777" w:rsidR="00D66035" w:rsidRDefault="00D66035" w:rsidP="009165C8">
      <w:pPr>
        <w:spacing w:after="0" w:line="240" w:lineRule="auto"/>
        <w:jc w:val="both"/>
        <w:rPr>
          <w:rFonts w:ascii="Times New Roman" w:hAnsi="Times New Roman" w:cs="Times New Roman"/>
          <w:sz w:val="24"/>
          <w:szCs w:val="24"/>
        </w:rPr>
      </w:pPr>
      <w:r w:rsidRPr="00CE6E87">
        <w:rPr>
          <w:rFonts w:ascii="Times New Roman" w:hAnsi="Times New Roman" w:cs="Times New Roman"/>
          <w:sz w:val="24"/>
          <w:szCs w:val="24"/>
        </w:rPr>
        <w:t>TRUSTUS (PVT) LTD</w:t>
      </w:r>
    </w:p>
    <w:p w14:paraId="0AC6F2D2" w14:textId="7A4747C5" w:rsidR="009165C8" w:rsidRPr="00CE6E87" w:rsidRDefault="00311785" w:rsidP="00311785">
      <w:pPr>
        <w:tabs>
          <w:tab w:val="left" w:pos="75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E549E3A" w14:textId="77777777" w:rsidR="00D66035" w:rsidRPr="00CE6E87" w:rsidRDefault="00D66035" w:rsidP="009165C8">
      <w:pPr>
        <w:spacing w:after="0" w:line="240" w:lineRule="auto"/>
        <w:jc w:val="both"/>
        <w:rPr>
          <w:rFonts w:ascii="Times New Roman" w:hAnsi="Times New Roman" w:cs="Times New Roman"/>
          <w:sz w:val="24"/>
          <w:szCs w:val="24"/>
        </w:rPr>
      </w:pPr>
    </w:p>
    <w:p w14:paraId="1F46F87B" w14:textId="77777777" w:rsidR="00D66035" w:rsidRPr="00CE6E87" w:rsidRDefault="00D66035" w:rsidP="009165C8">
      <w:pPr>
        <w:spacing w:after="0" w:line="240" w:lineRule="auto"/>
        <w:jc w:val="both"/>
        <w:rPr>
          <w:rFonts w:ascii="Times New Roman" w:hAnsi="Times New Roman" w:cs="Times New Roman"/>
          <w:sz w:val="24"/>
          <w:szCs w:val="24"/>
        </w:rPr>
      </w:pPr>
      <w:r w:rsidRPr="00CE6E87">
        <w:rPr>
          <w:rFonts w:ascii="Times New Roman" w:hAnsi="Times New Roman" w:cs="Times New Roman"/>
          <w:sz w:val="24"/>
          <w:szCs w:val="24"/>
        </w:rPr>
        <w:t>HIGH COURT OF ZIMBABWE</w:t>
      </w:r>
    </w:p>
    <w:p w14:paraId="00B73F42" w14:textId="77777777" w:rsidR="00D66035" w:rsidRPr="00CE6E87" w:rsidRDefault="00D66035" w:rsidP="009165C8">
      <w:pPr>
        <w:spacing w:after="0" w:line="240" w:lineRule="auto"/>
        <w:jc w:val="both"/>
        <w:rPr>
          <w:rFonts w:ascii="Times New Roman" w:hAnsi="Times New Roman" w:cs="Times New Roman"/>
          <w:sz w:val="24"/>
          <w:szCs w:val="24"/>
        </w:rPr>
      </w:pPr>
      <w:r w:rsidRPr="00CE6E87">
        <w:rPr>
          <w:rFonts w:ascii="Times New Roman" w:hAnsi="Times New Roman" w:cs="Times New Roman"/>
          <w:sz w:val="24"/>
          <w:szCs w:val="24"/>
        </w:rPr>
        <w:t>TSANGA &amp; MAXWELL JJ</w:t>
      </w:r>
    </w:p>
    <w:p w14:paraId="11027FC7" w14:textId="3921CEEA" w:rsidR="00D66035" w:rsidRDefault="00D66035" w:rsidP="009165C8">
      <w:pPr>
        <w:spacing w:after="0" w:line="240" w:lineRule="auto"/>
        <w:jc w:val="both"/>
        <w:rPr>
          <w:rFonts w:ascii="Times New Roman" w:hAnsi="Times New Roman" w:cs="Times New Roman"/>
          <w:sz w:val="24"/>
          <w:szCs w:val="24"/>
        </w:rPr>
      </w:pPr>
      <w:r w:rsidRPr="00CE6E87">
        <w:rPr>
          <w:rFonts w:ascii="Times New Roman" w:hAnsi="Times New Roman" w:cs="Times New Roman"/>
          <w:sz w:val="24"/>
          <w:szCs w:val="24"/>
        </w:rPr>
        <w:t>HARARE, 24 M</w:t>
      </w:r>
      <w:r w:rsidR="009165C8">
        <w:rPr>
          <w:rFonts w:ascii="Times New Roman" w:hAnsi="Times New Roman" w:cs="Times New Roman"/>
          <w:sz w:val="24"/>
          <w:szCs w:val="24"/>
        </w:rPr>
        <w:t>ay &amp; 16 November</w:t>
      </w:r>
      <w:r w:rsidRPr="00CE6E87">
        <w:rPr>
          <w:rFonts w:ascii="Times New Roman" w:hAnsi="Times New Roman" w:cs="Times New Roman"/>
          <w:sz w:val="24"/>
          <w:szCs w:val="24"/>
        </w:rPr>
        <w:t xml:space="preserve"> 2022</w:t>
      </w:r>
    </w:p>
    <w:p w14:paraId="0D5E2833" w14:textId="77777777" w:rsidR="009165C8" w:rsidRPr="00CE6E87" w:rsidRDefault="009165C8" w:rsidP="009165C8">
      <w:pPr>
        <w:spacing w:after="0" w:line="240" w:lineRule="auto"/>
        <w:jc w:val="both"/>
        <w:rPr>
          <w:rFonts w:ascii="Times New Roman" w:hAnsi="Times New Roman" w:cs="Times New Roman"/>
          <w:sz w:val="24"/>
          <w:szCs w:val="24"/>
        </w:rPr>
      </w:pPr>
    </w:p>
    <w:p w14:paraId="27EC9CA2" w14:textId="77777777" w:rsidR="00D66035" w:rsidRPr="00CE6E87" w:rsidRDefault="00D66035" w:rsidP="009165C8">
      <w:pPr>
        <w:spacing w:after="0" w:line="240" w:lineRule="auto"/>
        <w:jc w:val="both"/>
        <w:rPr>
          <w:rFonts w:ascii="Times New Roman" w:hAnsi="Times New Roman" w:cs="Times New Roman"/>
          <w:sz w:val="24"/>
          <w:szCs w:val="24"/>
        </w:rPr>
      </w:pPr>
    </w:p>
    <w:p w14:paraId="3B41BFB1" w14:textId="77777777" w:rsidR="00D66035" w:rsidRDefault="00D66035" w:rsidP="009165C8">
      <w:pPr>
        <w:spacing w:after="0" w:line="240" w:lineRule="auto"/>
        <w:jc w:val="both"/>
        <w:rPr>
          <w:rFonts w:ascii="Times New Roman" w:hAnsi="Times New Roman" w:cs="Times New Roman"/>
          <w:b/>
          <w:sz w:val="24"/>
          <w:szCs w:val="24"/>
        </w:rPr>
      </w:pPr>
      <w:r w:rsidRPr="00CE6E87">
        <w:rPr>
          <w:rFonts w:ascii="Times New Roman" w:hAnsi="Times New Roman" w:cs="Times New Roman"/>
          <w:b/>
          <w:sz w:val="24"/>
          <w:szCs w:val="24"/>
        </w:rPr>
        <w:t>Civil Appeal</w:t>
      </w:r>
    </w:p>
    <w:p w14:paraId="7038F20F" w14:textId="77777777" w:rsidR="009165C8" w:rsidRPr="00CE6E87" w:rsidRDefault="009165C8" w:rsidP="009165C8">
      <w:pPr>
        <w:spacing w:after="0" w:line="240" w:lineRule="auto"/>
        <w:jc w:val="both"/>
        <w:rPr>
          <w:rFonts w:ascii="Times New Roman" w:hAnsi="Times New Roman" w:cs="Times New Roman"/>
          <w:b/>
          <w:sz w:val="24"/>
          <w:szCs w:val="24"/>
        </w:rPr>
      </w:pPr>
    </w:p>
    <w:p w14:paraId="6463BA69" w14:textId="77777777" w:rsidR="00D66035" w:rsidRPr="00CE6E87" w:rsidRDefault="00D66035" w:rsidP="009165C8">
      <w:pPr>
        <w:spacing w:after="0" w:line="240" w:lineRule="auto"/>
        <w:jc w:val="both"/>
        <w:rPr>
          <w:rFonts w:ascii="Times New Roman" w:hAnsi="Times New Roman" w:cs="Times New Roman"/>
          <w:b/>
          <w:sz w:val="24"/>
          <w:szCs w:val="24"/>
        </w:rPr>
      </w:pPr>
    </w:p>
    <w:p w14:paraId="60F32CDA" w14:textId="1C6205F4" w:rsidR="00D66035" w:rsidRPr="00CE6E87" w:rsidRDefault="00D66035" w:rsidP="009165C8">
      <w:pPr>
        <w:spacing w:after="0" w:line="240" w:lineRule="auto"/>
        <w:jc w:val="both"/>
        <w:rPr>
          <w:rFonts w:ascii="Times New Roman" w:hAnsi="Times New Roman" w:cs="Times New Roman"/>
          <w:sz w:val="24"/>
          <w:szCs w:val="24"/>
        </w:rPr>
      </w:pPr>
      <w:r w:rsidRPr="00CE6E87">
        <w:rPr>
          <w:rFonts w:ascii="Times New Roman" w:hAnsi="Times New Roman" w:cs="Times New Roman"/>
          <w:i/>
          <w:sz w:val="24"/>
          <w:szCs w:val="24"/>
        </w:rPr>
        <w:t>Mukucha,</w:t>
      </w:r>
      <w:r w:rsidRPr="00CE6E87">
        <w:rPr>
          <w:rFonts w:ascii="Times New Roman" w:hAnsi="Times New Roman" w:cs="Times New Roman"/>
          <w:sz w:val="24"/>
          <w:szCs w:val="24"/>
        </w:rPr>
        <w:t xml:space="preserve"> for the </w:t>
      </w:r>
      <w:r w:rsidR="009165C8">
        <w:rPr>
          <w:rFonts w:ascii="Times New Roman" w:hAnsi="Times New Roman" w:cs="Times New Roman"/>
          <w:sz w:val="24"/>
          <w:szCs w:val="24"/>
        </w:rPr>
        <w:t>a</w:t>
      </w:r>
      <w:r w:rsidRPr="00CE6E87">
        <w:rPr>
          <w:rFonts w:ascii="Times New Roman" w:hAnsi="Times New Roman" w:cs="Times New Roman"/>
          <w:sz w:val="24"/>
          <w:szCs w:val="24"/>
        </w:rPr>
        <w:t>ppellant</w:t>
      </w:r>
    </w:p>
    <w:p w14:paraId="3A28E0A1" w14:textId="2F14A1CB" w:rsidR="00D66035" w:rsidRDefault="00D66035" w:rsidP="009165C8">
      <w:pPr>
        <w:spacing w:after="0" w:line="240" w:lineRule="auto"/>
        <w:jc w:val="both"/>
        <w:rPr>
          <w:rFonts w:ascii="Times New Roman" w:hAnsi="Times New Roman" w:cs="Times New Roman"/>
          <w:sz w:val="24"/>
          <w:szCs w:val="24"/>
        </w:rPr>
      </w:pPr>
      <w:r w:rsidRPr="00CE6E87">
        <w:rPr>
          <w:rFonts w:ascii="Times New Roman" w:hAnsi="Times New Roman" w:cs="Times New Roman"/>
          <w:i/>
          <w:sz w:val="24"/>
          <w:szCs w:val="24"/>
        </w:rPr>
        <w:t>Chiromo</w:t>
      </w:r>
      <w:r w:rsidRPr="00CE6E87">
        <w:rPr>
          <w:rFonts w:ascii="Times New Roman" w:hAnsi="Times New Roman" w:cs="Times New Roman"/>
          <w:sz w:val="24"/>
          <w:szCs w:val="24"/>
        </w:rPr>
        <w:t xml:space="preserve">, for the </w:t>
      </w:r>
      <w:r w:rsidR="009165C8">
        <w:rPr>
          <w:rFonts w:ascii="Times New Roman" w:hAnsi="Times New Roman" w:cs="Times New Roman"/>
          <w:sz w:val="24"/>
          <w:szCs w:val="24"/>
        </w:rPr>
        <w:t>r</w:t>
      </w:r>
      <w:r w:rsidRPr="00CE6E87">
        <w:rPr>
          <w:rFonts w:ascii="Times New Roman" w:hAnsi="Times New Roman" w:cs="Times New Roman"/>
          <w:sz w:val="24"/>
          <w:szCs w:val="24"/>
        </w:rPr>
        <w:t>espondent</w:t>
      </w:r>
    </w:p>
    <w:p w14:paraId="53AB18DE" w14:textId="77777777" w:rsidR="009165C8" w:rsidRPr="00CE6E87" w:rsidRDefault="009165C8" w:rsidP="009165C8">
      <w:pPr>
        <w:spacing w:after="0" w:line="240" w:lineRule="auto"/>
        <w:jc w:val="both"/>
        <w:rPr>
          <w:rFonts w:ascii="Times New Roman" w:hAnsi="Times New Roman" w:cs="Times New Roman"/>
          <w:b/>
          <w:sz w:val="24"/>
          <w:szCs w:val="24"/>
        </w:rPr>
      </w:pPr>
    </w:p>
    <w:p w14:paraId="4D3E40DA" w14:textId="77777777" w:rsidR="00D66035" w:rsidRPr="00CE6E87" w:rsidRDefault="00D66035" w:rsidP="009165C8">
      <w:pPr>
        <w:spacing w:after="0" w:line="240" w:lineRule="auto"/>
        <w:jc w:val="both"/>
        <w:rPr>
          <w:rFonts w:ascii="Times New Roman" w:hAnsi="Times New Roman" w:cs="Times New Roman"/>
          <w:b/>
          <w:sz w:val="24"/>
          <w:szCs w:val="24"/>
        </w:rPr>
      </w:pPr>
    </w:p>
    <w:p w14:paraId="17A0DA01" w14:textId="691074EF" w:rsidR="00D66035" w:rsidRPr="009165C8" w:rsidRDefault="009165C8" w:rsidP="00401C6A">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MAXWELL J:</w:t>
      </w:r>
      <w:r w:rsidR="00D66035" w:rsidRPr="00CE6E87">
        <w:rPr>
          <w:rFonts w:ascii="Times New Roman" w:hAnsi="Times New Roman" w:cs="Times New Roman"/>
          <w:sz w:val="24"/>
          <w:szCs w:val="24"/>
        </w:rPr>
        <w:t>This is an appeal against the judgment of the Magistrates Court sitting at Beitbridge in case number CIV BTB 90/21 handed down on 10 January, 2022.</w:t>
      </w:r>
    </w:p>
    <w:p w14:paraId="10D81A4E" w14:textId="77777777" w:rsidR="00D66035" w:rsidRPr="00CE6E87" w:rsidRDefault="00D66035" w:rsidP="00401C6A">
      <w:pPr>
        <w:spacing w:after="0" w:line="360" w:lineRule="auto"/>
        <w:jc w:val="both"/>
        <w:rPr>
          <w:rFonts w:ascii="Times New Roman" w:hAnsi="Times New Roman" w:cs="Times New Roman"/>
          <w:b/>
          <w:sz w:val="24"/>
          <w:szCs w:val="24"/>
        </w:rPr>
      </w:pPr>
      <w:r w:rsidRPr="00CE6E87">
        <w:rPr>
          <w:rFonts w:ascii="Times New Roman" w:hAnsi="Times New Roman" w:cs="Times New Roman"/>
          <w:b/>
          <w:sz w:val="24"/>
          <w:szCs w:val="24"/>
        </w:rPr>
        <w:t>Background</w:t>
      </w:r>
    </w:p>
    <w:p w14:paraId="4D75CFD1" w14:textId="2C0B9608" w:rsidR="00B50A30" w:rsidRPr="00CE6E87" w:rsidRDefault="009165C8" w:rsidP="00401C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0A30" w:rsidRPr="00CE6E87">
        <w:rPr>
          <w:rFonts w:ascii="Times New Roman" w:hAnsi="Times New Roman" w:cs="Times New Roman"/>
          <w:sz w:val="24"/>
          <w:szCs w:val="24"/>
        </w:rPr>
        <w:t>Sometime in April 2021 Respondent’s truck with registration number AEU 1090</w:t>
      </w:r>
      <w:r w:rsidR="005021E6">
        <w:rPr>
          <w:rFonts w:ascii="Times New Roman" w:hAnsi="Times New Roman" w:cs="Times New Roman"/>
          <w:sz w:val="24"/>
          <w:szCs w:val="24"/>
        </w:rPr>
        <w:t>(the truck)</w:t>
      </w:r>
      <w:r w:rsidR="00B50A30" w:rsidRPr="00CE6E87">
        <w:rPr>
          <w:rFonts w:ascii="Times New Roman" w:hAnsi="Times New Roman" w:cs="Times New Roman"/>
          <w:sz w:val="24"/>
          <w:szCs w:val="24"/>
        </w:rPr>
        <w:t xml:space="preserve"> was seized by the Appellant whilst in Dulibadzimu suburb, Beitbridge. </w:t>
      </w:r>
      <w:r>
        <w:rPr>
          <w:rFonts w:ascii="Times New Roman" w:hAnsi="Times New Roman" w:cs="Times New Roman"/>
          <w:sz w:val="24"/>
          <w:szCs w:val="24"/>
        </w:rPr>
        <w:t xml:space="preserve"> </w:t>
      </w:r>
      <w:r w:rsidR="00B50A30" w:rsidRPr="00CE6E87">
        <w:rPr>
          <w:rFonts w:ascii="Times New Roman" w:hAnsi="Times New Roman" w:cs="Times New Roman"/>
          <w:sz w:val="24"/>
          <w:szCs w:val="24"/>
        </w:rPr>
        <w:t>Respondent was advised that on the day of the seizure the truck had been abandoned by a driver after being hired to carry goods from a breakdown truck in Beitbridge. The dr</w:t>
      </w:r>
      <w:r>
        <w:rPr>
          <w:rFonts w:ascii="Times New Roman" w:hAnsi="Times New Roman" w:cs="Times New Roman"/>
          <w:sz w:val="24"/>
          <w:szCs w:val="24"/>
        </w:rPr>
        <w:t>iver had no authority from the r</w:t>
      </w:r>
      <w:r w:rsidR="00B50A30" w:rsidRPr="00CE6E87">
        <w:rPr>
          <w:rFonts w:ascii="Times New Roman" w:hAnsi="Times New Roman" w:cs="Times New Roman"/>
          <w:sz w:val="24"/>
          <w:szCs w:val="24"/>
        </w:rPr>
        <w:t xml:space="preserve">espondent who believed the truck was parked in Harare. Respondent was advised by the Appellant to pay a fine of ZW$800 000.00 together with storage fees after various representations were made to have the truck released unconditionally. </w:t>
      </w:r>
      <w:r w:rsidR="00A07547" w:rsidRPr="00CE6E87">
        <w:rPr>
          <w:rFonts w:ascii="Times New Roman" w:hAnsi="Times New Roman" w:cs="Times New Roman"/>
          <w:sz w:val="24"/>
          <w:szCs w:val="24"/>
        </w:rPr>
        <w:t xml:space="preserve"> Respondent approached the lower court seeking an order for the unconditional release of the truck.</w:t>
      </w:r>
      <w:r>
        <w:rPr>
          <w:rFonts w:ascii="Times New Roman" w:hAnsi="Times New Roman" w:cs="Times New Roman"/>
          <w:sz w:val="24"/>
          <w:szCs w:val="24"/>
        </w:rPr>
        <w:t xml:space="preserve"> </w:t>
      </w:r>
      <w:r w:rsidR="00A07547" w:rsidRPr="00CE6E87">
        <w:rPr>
          <w:rFonts w:ascii="Times New Roman" w:hAnsi="Times New Roman" w:cs="Times New Roman"/>
          <w:sz w:val="24"/>
          <w:szCs w:val="24"/>
        </w:rPr>
        <w:t xml:space="preserve"> It </w:t>
      </w:r>
      <w:r w:rsidR="00B50A30" w:rsidRPr="00CE6E87">
        <w:rPr>
          <w:rFonts w:ascii="Times New Roman" w:hAnsi="Times New Roman" w:cs="Times New Roman"/>
          <w:sz w:val="24"/>
          <w:szCs w:val="24"/>
        </w:rPr>
        <w:t xml:space="preserve">proved that it was the owner of the truck by tendering </w:t>
      </w:r>
      <w:r w:rsidR="00A07547" w:rsidRPr="00CE6E87">
        <w:rPr>
          <w:rFonts w:ascii="Times New Roman" w:hAnsi="Times New Roman" w:cs="Times New Roman"/>
          <w:sz w:val="24"/>
          <w:szCs w:val="24"/>
        </w:rPr>
        <w:t>its registration</w:t>
      </w:r>
      <w:r w:rsidR="00B50A30" w:rsidRPr="00CE6E87">
        <w:rPr>
          <w:rFonts w:ascii="Times New Roman" w:hAnsi="Times New Roman" w:cs="Times New Roman"/>
          <w:sz w:val="24"/>
          <w:szCs w:val="24"/>
        </w:rPr>
        <w:t xml:space="preserve"> book</w:t>
      </w:r>
      <w:r w:rsidR="00A07547" w:rsidRPr="00CE6E87">
        <w:rPr>
          <w:rFonts w:ascii="Times New Roman" w:hAnsi="Times New Roman" w:cs="Times New Roman"/>
          <w:sz w:val="24"/>
          <w:szCs w:val="24"/>
        </w:rPr>
        <w:t xml:space="preserve"> and averred that it did not take part in the commission of the offence leading to the seizure of the truck.</w:t>
      </w:r>
    </w:p>
    <w:p w14:paraId="3BB26895" w14:textId="08E7A5FF" w:rsidR="00A07547" w:rsidRPr="00CE6E87" w:rsidRDefault="009165C8" w:rsidP="00401C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07547" w:rsidRPr="00CE6E87">
        <w:rPr>
          <w:rFonts w:ascii="Times New Roman" w:hAnsi="Times New Roman" w:cs="Times New Roman"/>
          <w:sz w:val="24"/>
          <w:szCs w:val="24"/>
        </w:rPr>
        <w:t xml:space="preserve">Appellant opposed the application raising a point </w:t>
      </w:r>
      <w:r w:rsidR="00A07547" w:rsidRPr="00535C99">
        <w:rPr>
          <w:rFonts w:ascii="Times New Roman" w:hAnsi="Times New Roman" w:cs="Times New Roman"/>
          <w:i/>
          <w:sz w:val="24"/>
          <w:szCs w:val="24"/>
        </w:rPr>
        <w:t>in limine</w:t>
      </w:r>
      <w:r w:rsidR="00A07547" w:rsidRPr="00CE6E87">
        <w:rPr>
          <w:rFonts w:ascii="Times New Roman" w:hAnsi="Times New Roman" w:cs="Times New Roman"/>
          <w:sz w:val="24"/>
          <w:szCs w:val="24"/>
        </w:rPr>
        <w:t xml:space="preserve"> that the application had prescribed</w:t>
      </w:r>
      <w:r w:rsidR="00FF24DC" w:rsidRPr="00CE6E87">
        <w:rPr>
          <w:rFonts w:ascii="Times New Roman" w:hAnsi="Times New Roman" w:cs="Times New Roman"/>
          <w:sz w:val="24"/>
          <w:szCs w:val="24"/>
        </w:rPr>
        <w:t xml:space="preserve"> and that Respondent had not complied with section 196(1) of the Customs and Excise Act [</w:t>
      </w:r>
      <w:r w:rsidR="00FF24DC" w:rsidRPr="009165C8">
        <w:rPr>
          <w:rFonts w:ascii="Times New Roman" w:hAnsi="Times New Roman" w:cs="Times New Roman"/>
          <w:i/>
          <w:sz w:val="24"/>
          <w:szCs w:val="24"/>
        </w:rPr>
        <w:t>Chapter 23:02</w:t>
      </w:r>
      <w:r w:rsidR="00FF24DC" w:rsidRPr="00CE6E87">
        <w:rPr>
          <w:rFonts w:ascii="Times New Roman" w:hAnsi="Times New Roman" w:cs="Times New Roman"/>
          <w:sz w:val="24"/>
          <w:szCs w:val="24"/>
        </w:rPr>
        <w:t>] (the Act). The said section requires that notice of pending civil proceedings be given in terms of the State Liabilities Act [</w:t>
      </w:r>
      <w:r w:rsidR="00FF24DC" w:rsidRPr="009165C8">
        <w:rPr>
          <w:rFonts w:ascii="Times New Roman" w:hAnsi="Times New Roman" w:cs="Times New Roman"/>
          <w:i/>
          <w:sz w:val="24"/>
          <w:szCs w:val="24"/>
        </w:rPr>
        <w:t>Chapter 8:15</w:t>
      </w:r>
      <w:r w:rsidR="00FF24DC" w:rsidRPr="00CE6E87">
        <w:rPr>
          <w:rFonts w:ascii="Times New Roman" w:hAnsi="Times New Roman" w:cs="Times New Roman"/>
          <w:sz w:val="24"/>
          <w:szCs w:val="24"/>
        </w:rPr>
        <w:t>].</w:t>
      </w:r>
      <w:r>
        <w:rPr>
          <w:rFonts w:ascii="Times New Roman" w:hAnsi="Times New Roman" w:cs="Times New Roman"/>
          <w:sz w:val="24"/>
          <w:szCs w:val="24"/>
        </w:rPr>
        <w:t xml:space="preserve"> </w:t>
      </w:r>
      <w:r w:rsidR="00FF24DC" w:rsidRPr="00CE6E87">
        <w:rPr>
          <w:rFonts w:ascii="Times New Roman" w:hAnsi="Times New Roman" w:cs="Times New Roman"/>
          <w:sz w:val="24"/>
          <w:szCs w:val="24"/>
        </w:rPr>
        <w:t xml:space="preserve"> On the merits, it</w:t>
      </w:r>
      <w:r w:rsidR="00A07547" w:rsidRPr="00CE6E87">
        <w:rPr>
          <w:rFonts w:ascii="Times New Roman" w:hAnsi="Times New Roman" w:cs="Times New Roman"/>
          <w:sz w:val="24"/>
          <w:szCs w:val="24"/>
        </w:rPr>
        <w:t xml:space="preserve"> stated that the truck was intercepted loading foreign goods with no clearance documents. It further stated that the truck </w:t>
      </w:r>
      <w:r w:rsidR="00A07547" w:rsidRPr="00CE6E87">
        <w:rPr>
          <w:rFonts w:ascii="Times New Roman" w:hAnsi="Times New Roman" w:cs="Times New Roman"/>
          <w:sz w:val="24"/>
          <w:szCs w:val="24"/>
        </w:rPr>
        <w:lastRenderedPageBreak/>
        <w:t>could not be driven due to a mechanical fault and was towed to Manica shed</w:t>
      </w:r>
      <w:r w:rsidR="00535C99">
        <w:rPr>
          <w:rFonts w:ascii="Times New Roman" w:hAnsi="Times New Roman" w:cs="Times New Roman"/>
          <w:sz w:val="24"/>
          <w:szCs w:val="24"/>
        </w:rPr>
        <w:t xml:space="preserve">, </w:t>
      </w:r>
      <w:r w:rsidR="00FF24DC" w:rsidRPr="00CE6E87">
        <w:rPr>
          <w:rFonts w:ascii="Times New Roman" w:hAnsi="Times New Roman" w:cs="Times New Roman"/>
          <w:sz w:val="24"/>
          <w:szCs w:val="24"/>
        </w:rPr>
        <w:t xml:space="preserve">and </w:t>
      </w:r>
      <w:r w:rsidR="00A07547" w:rsidRPr="00CE6E87">
        <w:rPr>
          <w:rFonts w:ascii="Times New Roman" w:hAnsi="Times New Roman" w:cs="Times New Roman"/>
          <w:sz w:val="24"/>
          <w:szCs w:val="24"/>
        </w:rPr>
        <w:t xml:space="preserve">that one Mwakudza Joseph (Joseph) had come 5 days later claiming to be the owner of the </w:t>
      </w:r>
      <w:r w:rsidR="00535C99">
        <w:rPr>
          <w:rFonts w:ascii="Times New Roman" w:hAnsi="Times New Roman" w:cs="Times New Roman"/>
          <w:sz w:val="24"/>
          <w:szCs w:val="24"/>
        </w:rPr>
        <w:t>truck</w:t>
      </w:r>
      <w:r w:rsidR="00A07547" w:rsidRPr="00CE6E87">
        <w:rPr>
          <w:rFonts w:ascii="Times New Roman" w:hAnsi="Times New Roman" w:cs="Times New Roman"/>
          <w:sz w:val="24"/>
          <w:szCs w:val="24"/>
        </w:rPr>
        <w:t>.</w:t>
      </w:r>
      <w:r w:rsidR="00535C99">
        <w:rPr>
          <w:rFonts w:ascii="Times New Roman" w:hAnsi="Times New Roman" w:cs="Times New Roman"/>
          <w:sz w:val="24"/>
          <w:szCs w:val="24"/>
        </w:rPr>
        <w:t xml:space="preserve"> </w:t>
      </w:r>
      <w:r>
        <w:rPr>
          <w:rFonts w:ascii="Times New Roman" w:hAnsi="Times New Roman" w:cs="Times New Roman"/>
          <w:sz w:val="24"/>
          <w:szCs w:val="24"/>
        </w:rPr>
        <w:t xml:space="preserve"> </w:t>
      </w:r>
      <w:r w:rsidR="00535C99">
        <w:rPr>
          <w:rFonts w:ascii="Times New Roman" w:hAnsi="Times New Roman" w:cs="Times New Roman"/>
          <w:sz w:val="24"/>
          <w:szCs w:val="24"/>
        </w:rPr>
        <w:t>Appellant</w:t>
      </w:r>
      <w:r>
        <w:rPr>
          <w:rFonts w:ascii="Times New Roman" w:hAnsi="Times New Roman" w:cs="Times New Roman"/>
          <w:sz w:val="24"/>
          <w:szCs w:val="24"/>
        </w:rPr>
        <w:t xml:space="preserve"> put in issue whether the r</w:t>
      </w:r>
      <w:r w:rsidR="00FF24DC" w:rsidRPr="00CE6E87">
        <w:rPr>
          <w:rFonts w:ascii="Times New Roman" w:hAnsi="Times New Roman" w:cs="Times New Roman"/>
          <w:sz w:val="24"/>
          <w:szCs w:val="24"/>
        </w:rPr>
        <w:t>espo</w:t>
      </w:r>
      <w:r w:rsidR="00535C99">
        <w:rPr>
          <w:rFonts w:ascii="Times New Roman" w:hAnsi="Times New Roman" w:cs="Times New Roman"/>
          <w:sz w:val="24"/>
          <w:szCs w:val="24"/>
        </w:rPr>
        <w:t>ndent is the owner of the truck and</w:t>
      </w:r>
      <w:r w:rsidR="00FF24DC" w:rsidRPr="00CE6E87">
        <w:rPr>
          <w:rFonts w:ascii="Times New Roman" w:hAnsi="Times New Roman" w:cs="Times New Roman"/>
          <w:sz w:val="24"/>
          <w:szCs w:val="24"/>
        </w:rPr>
        <w:t xml:space="preserve"> submitted that the application was frivolous and vexatious and should be dismissed with costs on a higher scale.</w:t>
      </w:r>
    </w:p>
    <w:p w14:paraId="4662E5EF" w14:textId="77777777" w:rsidR="00D66035" w:rsidRPr="00CE6E87" w:rsidRDefault="00D66035" w:rsidP="00401C6A">
      <w:pPr>
        <w:spacing w:after="0" w:line="360" w:lineRule="auto"/>
        <w:jc w:val="both"/>
        <w:rPr>
          <w:rFonts w:ascii="Times New Roman" w:hAnsi="Times New Roman" w:cs="Times New Roman"/>
          <w:b/>
          <w:sz w:val="24"/>
          <w:szCs w:val="24"/>
        </w:rPr>
      </w:pPr>
      <w:r w:rsidRPr="00CE6E87">
        <w:rPr>
          <w:rFonts w:ascii="Times New Roman" w:hAnsi="Times New Roman" w:cs="Times New Roman"/>
          <w:b/>
          <w:sz w:val="24"/>
          <w:szCs w:val="24"/>
        </w:rPr>
        <w:t>Judgment of the Court a Quo</w:t>
      </w:r>
    </w:p>
    <w:p w14:paraId="5B1BD871" w14:textId="31B535EA" w:rsidR="00446AB1" w:rsidRPr="00CE6E87" w:rsidRDefault="000C3C61" w:rsidP="00401C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6AB1" w:rsidRPr="00CE6E87">
        <w:rPr>
          <w:rFonts w:ascii="Times New Roman" w:hAnsi="Times New Roman" w:cs="Times New Roman"/>
          <w:sz w:val="24"/>
          <w:szCs w:val="24"/>
        </w:rPr>
        <w:t xml:space="preserve">The lower court </w:t>
      </w:r>
      <w:r w:rsidR="00FF24DC" w:rsidRPr="00CE6E87">
        <w:rPr>
          <w:rFonts w:ascii="Times New Roman" w:hAnsi="Times New Roman" w:cs="Times New Roman"/>
          <w:sz w:val="24"/>
          <w:szCs w:val="24"/>
        </w:rPr>
        <w:t>considered</w:t>
      </w:r>
      <w:r w:rsidR="00446AB1" w:rsidRPr="00CE6E87">
        <w:rPr>
          <w:rFonts w:ascii="Times New Roman" w:hAnsi="Times New Roman" w:cs="Times New Roman"/>
          <w:sz w:val="24"/>
          <w:szCs w:val="24"/>
        </w:rPr>
        <w:t xml:space="preserve"> the points raised </w:t>
      </w:r>
      <w:r w:rsidR="00446AB1" w:rsidRPr="00CE6E87">
        <w:rPr>
          <w:rFonts w:ascii="Times New Roman" w:hAnsi="Times New Roman" w:cs="Times New Roman"/>
          <w:i/>
          <w:sz w:val="24"/>
          <w:szCs w:val="24"/>
        </w:rPr>
        <w:t>in limine</w:t>
      </w:r>
      <w:r w:rsidR="00446AB1" w:rsidRPr="00CE6E87">
        <w:rPr>
          <w:rFonts w:ascii="Times New Roman" w:hAnsi="Times New Roman" w:cs="Times New Roman"/>
          <w:sz w:val="24"/>
          <w:szCs w:val="24"/>
        </w:rPr>
        <w:t xml:space="preserve">. </w:t>
      </w:r>
      <w:r w:rsidR="009165C8">
        <w:rPr>
          <w:rFonts w:ascii="Times New Roman" w:hAnsi="Times New Roman" w:cs="Times New Roman"/>
          <w:sz w:val="24"/>
          <w:szCs w:val="24"/>
        </w:rPr>
        <w:t xml:space="preserve"> </w:t>
      </w:r>
      <w:r w:rsidR="00446AB1" w:rsidRPr="00CE6E87">
        <w:rPr>
          <w:rFonts w:ascii="Times New Roman" w:hAnsi="Times New Roman" w:cs="Times New Roman"/>
          <w:sz w:val="24"/>
          <w:szCs w:val="24"/>
        </w:rPr>
        <w:t xml:space="preserve">It was of the view that the wording of s </w:t>
      </w:r>
      <w:r w:rsidR="009165C8">
        <w:rPr>
          <w:rFonts w:ascii="Times New Roman" w:hAnsi="Times New Roman" w:cs="Times New Roman"/>
          <w:sz w:val="24"/>
          <w:szCs w:val="24"/>
        </w:rPr>
        <w:t> </w:t>
      </w:r>
      <w:r w:rsidR="00446AB1" w:rsidRPr="00CE6E87">
        <w:rPr>
          <w:rFonts w:ascii="Times New Roman" w:hAnsi="Times New Roman" w:cs="Times New Roman"/>
          <w:sz w:val="24"/>
          <w:szCs w:val="24"/>
        </w:rPr>
        <w:t xml:space="preserve">193(12) </w:t>
      </w:r>
      <w:r w:rsidR="002F2F75" w:rsidRPr="00CE6E87">
        <w:rPr>
          <w:rFonts w:ascii="Times New Roman" w:hAnsi="Times New Roman" w:cs="Times New Roman"/>
          <w:sz w:val="24"/>
          <w:szCs w:val="24"/>
        </w:rPr>
        <w:t xml:space="preserve">of the Customs and Excise Act is very clear that the time frame does not refer to the proceedings before the court. </w:t>
      </w:r>
      <w:r w:rsidR="009165C8">
        <w:rPr>
          <w:rFonts w:ascii="Times New Roman" w:hAnsi="Times New Roman" w:cs="Times New Roman"/>
          <w:sz w:val="24"/>
          <w:szCs w:val="24"/>
        </w:rPr>
        <w:t xml:space="preserve"> </w:t>
      </w:r>
      <w:r w:rsidR="002F2F75" w:rsidRPr="00CE6E87">
        <w:rPr>
          <w:rFonts w:ascii="Times New Roman" w:hAnsi="Times New Roman" w:cs="Times New Roman"/>
          <w:sz w:val="24"/>
          <w:szCs w:val="24"/>
        </w:rPr>
        <w:t xml:space="preserve">It stated that subsections (a) and (b) relate to the actions ought to be done by the Commissioner General and not by the court. </w:t>
      </w:r>
      <w:r w:rsidR="009165C8">
        <w:rPr>
          <w:rFonts w:ascii="Times New Roman" w:hAnsi="Times New Roman" w:cs="Times New Roman"/>
          <w:sz w:val="24"/>
          <w:szCs w:val="24"/>
        </w:rPr>
        <w:t xml:space="preserve"> </w:t>
      </w:r>
      <w:r w:rsidR="002F2F75" w:rsidRPr="00CE6E87">
        <w:rPr>
          <w:rFonts w:ascii="Times New Roman" w:hAnsi="Times New Roman" w:cs="Times New Roman"/>
          <w:sz w:val="24"/>
          <w:szCs w:val="24"/>
        </w:rPr>
        <w:t xml:space="preserve">It further stated that s 196(2) guides the time frame for court proceedings. </w:t>
      </w:r>
      <w:r w:rsidR="009165C8">
        <w:rPr>
          <w:rFonts w:ascii="Times New Roman" w:hAnsi="Times New Roman" w:cs="Times New Roman"/>
          <w:sz w:val="24"/>
          <w:szCs w:val="24"/>
        </w:rPr>
        <w:t xml:space="preserve"> </w:t>
      </w:r>
      <w:r w:rsidR="002F2F75" w:rsidRPr="00CE6E87">
        <w:rPr>
          <w:rFonts w:ascii="Times New Roman" w:hAnsi="Times New Roman" w:cs="Times New Roman"/>
          <w:sz w:val="24"/>
          <w:szCs w:val="24"/>
        </w:rPr>
        <w:t xml:space="preserve">The lower court was of the view that the issue of non-compliance with s 196(1) of the Act was </w:t>
      </w:r>
      <w:r w:rsidR="009165C8">
        <w:rPr>
          <w:rFonts w:ascii="Times New Roman" w:hAnsi="Times New Roman" w:cs="Times New Roman"/>
          <w:sz w:val="24"/>
          <w:szCs w:val="24"/>
        </w:rPr>
        <w:t>not relevant and r</w:t>
      </w:r>
      <w:r w:rsidR="002F2F75" w:rsidRPr="00CE6E87">
        <w:rPr>
          <w:rFonts w:ascii="Times New Roman" w:hAnsi="Times New Roman" w:cs="Times New Roman"/>
          <w:sz w:val="24"/>
          <w:szCs w:val="24"/>
        </w:rPr>
        <w:t xml:space="preserve">espondent was intending to frustrate the applicant by raising non-issues. The lower court dismissed both points </w:t>
      </w:r>
      <w:r w:rsidR="002F2F75" w:rsidRPr="00CE6E87">
        <w:rPr>
          <w:rFonts w:ascii="Times New Roman" w:hAnsi="Times New Roman" w:cs="Times New Roman"/>
          <w:i/>
          <w:sz w:val="24"/>
          <w:szCs w:val="24"/>
        </w:rPr>
        <w:t>in limine.</w:t>
      </w:r>
      <w:r w:rsidR="00C60F4E" w:rsidRPr="00CE6E87">
        <w:rPr>
          <w:rFonts w:ascii="Times New Roman" w:hAnsi="Times New Roman" w:cs="Times New Roman"/>
          <w:sz w:val="24"/>
          <w:szCs w:val="24"/>
        </w:rPr>
        <w:t xml:space="preserve"> </w:t>
      </w:r>
      <w:r w:rsidR="009165C8">
        <w:rPr>
          <w:rFonts w:ascii="Times New Roman" w:hAnsi="Times New Roman" w:cs="Times New Roman"/>
          <w:sz w:val="24"/>
          <w:szCs w:val="24"/>
        </w:rPr>
        <w:t xml:space="preserve"> </w:t>
      </w:r>
      <w:r w:rsidR="00C60F4E" w:rsidRPr="00CE6E87">
        <w:rPr>
          <w:rFonts w:ascii="Times New Roman" w:hAnsi="Times New Roman" w:cs="Times New Roman"/>
          <w:sz w:val="24"/>
          <w:szCs w:val="24"/>
        </w:rPr>
        <w:t xml:space="preserve">On the merits of the matter, the lower court held that the applicant had shown, on a balance of probabilities, that he was not aware that the vehicle was being used to commit an offence. </w:t>
      </w:r>
      <w:r w:rsidR="009165C8">
        <w:rPr>
          <w:rFonts w:ascii="Times New Roman" w:hAnsi="Times New Roman" w:cs="Times New Roman"/>
          <w:sz w:val="24"/>
          <w:szCs w:val="24"/>
        </w:rPr>
        <w:t xml:space="preserve"> </w:t>
      </w:r>
      <w:r w:rsidR="00C60F4E" w:rsidRPr="00CE6E87">
        <w:rPr>
          <w:rFonts w:ascii="Times New Roman" w:hAnsi="Times New Roman" w:cs="Times New Roman"/>
          <w:sz w:val="24"/>
          <w:szCs w:val="24"/>
        </w:rPr>
        <w:t>It accordingly ordered the release of the vehicle unconditionally.</w:t>
      </w:r>
    </w:p>
    <w:p w14:paraId="564B3FFD" w14:textId="77777777" w:rsidR="00D66035" w:rsidRPr="00CE6E87" w:rsidRDefault="00D66035" w:rsidP="00401C6A">
      <w:pPr>
        <w:spacing w:after="0" w:line="360" w:lineRule="auto"/>
        <w:jc w:val="both"/>
        <w:rPr>
          <w:rFonts w:ascii="Times New Roman" w:hAnsi="Times New Roman" w:cs="Times New Roman"/>
          <w:b/>
          <w:sz w:val="24"/>
          <w:szCs w:val="24"/>
        </w:rPr>
      </w:pPr>
      <w:r w:rsidRPr="00CE6E87">
        <w:rPr>
          <w:rFonts w:ascii="Times New Roman" w:hAnsi="Times New Roman" w:cs="Times New Roman"/>
          <w:b/>
          <w:sz w:val="24"/>
          <w:szCs w:val="24"/>
        </w:rPr>
        <w:t>Grounds of Appeal</w:t>
      </w:r>
    </w:p>
    <w:p w14:paraId="1FE2BE0E" w14:textId="00D0E6D7" w:rsidR="00115926" w:rsidRPr="00CE6E87" w:rsidRDefault="009165C8" w:rsidP="00401C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5926" w:rsidRPr="00CE6E87">
        <w:rPr>
          <w:rFonts w:ascii="Times New Roman" w:hAnsi="Times New Roman" w:cs="Times New Roman"/>
          <w:sz w:val="24"/>
          <w:szCs w:val="24"/>
        </w:rPr>
        <w:t xml:space="preserve">Appellant </w:t>
      </w:r>
      <w:r w:rsidR="00C60F4E" w:rsidRPr="00CE6E87">
        <w:rPr>
          <w:rFonts w:ascii="Times New Roman" w:hAnsi="Times New Roman" w:cs="Times New Roman"/>
          <w:sz w:val="24"/>
          <w:szCs w:val="24"/>
        </w:rPr>
        <w:t xml:space="preserve">was aggrieved and </w:t>
      </w:r>
      <w:r w:rsidR="00115926" w:rsidRPr="00CE6E87">
        <w:rPr>
          <w:rFonts w:ascii="Times New Roman" w:hAnsi="Times New Roman" w:cs="Times New Roman"/>
          <w:sz w:val="24"/>
          <w:szCs w:val="24"/>
        </w:rPr>
        <w:t>noted an appeal on the following grounds; -</w:t>
      </w:r>
    </w:p>
    <w:p w14:paraId="58A1DD33" w14:textId="69346CB1" w:rsidR="00115926" w:rsidRPr="00CE6E87" w:rsidRDefault="00115926" w:rsidP="00401C6A">
      <w:pPr>
        <w:pStyle w:val="ListParagraph"/>
        <w:numPr>
          <w:ilvl w:val="0"/>
          <w:numId w:val="1"/>
        </w:numPr>
        <w:spacing w:line="240" w:lineRule="auto"/>
        <w:jc w:val="both"/>
        <w:rPr>
          <w:rFonts w:ascii="Times New Roman" w:hAnsi="Times New Roman" w:cs="Times New Roman"/>
          <w:sz w:val="24"/>
          <w:szCs w:val="24"/>
        </w:rPr>
      </w:pPr>
      <w:r w:rsidRPr="00CE6E87">
        <w:rPr>
          <w:rFonts w:ascii="Times New Roman" w:hAnsi="Times New Roman" w:cs="Times New Roman"/>
          <w:sz w:val="24"/>
          <w:szCs w:val="24"/>
        </w:rPr>
        <w:t xml:space="preserve">The learned Magistrate </w:t>
      </w:r>
      <w:r w:rsidR="00D95729" w:rsidRPr="00CE6E87">
        <w:rPr>
          <w:rFonts w:ascii="Times New Roman" w:hAnsi="Times New Roman" w:cs="Times New Roman"/>
          <w:sz w:val="24"/>
          <w:szCs w:val="24"/>
        </w:rPr>
        <w:t>in</w:t>
      </w:r>
      <w:r w:rsidRPr="00CE6E87">
        <w:rPr>
          <w:rFonts w:ascii="Times New Roman" w:hAnsi="Times New Roman" w:cs="Times New Roman"/>
          <w:sz w:val="24"/>
          <w:szCs w:val="24"/>
        </w:rPr>
        <w:t xml:space="preserve"> the court </w:t>
      </w:r>
      <w:r w:rsidRPr="00CE6E87">
        <w:rPr>
          <w:rFonts w:ascii="Times New Roman" w:hAnsi="Times New Roman" w:cs="Times New Roman"/>
          <w:i/>
          <w:sz w:val="24"/>
          <w:szCs w:val="24"/>
        </w:rPr>
        <w:t xml:space="preserve">a quo </w:t>
      </w:r>
      <w:r w:rsidRPr="00CE6E87">
        <w:rPr>
          <w:rFonts w:ascii="Times New Roman" w:hAnsi="Times New Roman" w:cs="Times New Roman"/>
          <w:sz w:val="24"/>
          <w:szCs w:val="24"/>
        </w:rPr>
        <w:t>erred in law by ruling that the Respondent’s claim had not prescribed when in fact the claim had prescribed in terms of s 193(12) of the Customs and Excise Act [</w:t>
      </w:r>
      <w:r w:rsidRPr="009165C8">
        <w:rPr>
          <w:rFonts w:ascii="Times New Roman" w:hAnsi="Times New Roman" w:cs="Times New Roman"/>
          <w:i/>
          <w:sz w:val="24"/>
          <w:szCs w:val="24"/>
        </w:rPr>
        <w:t>Chapter 23.02</w:t>
      </w:r>
      <w:r w:rsidRPr="00CE6E87">
        <w:rPr>
          <w:rFonts w:ascii="Times New Roman" w:hAnsi="Times New Roman" w:cs="Times New Roman"/>
          <w:sz w:val="24"/>
          <w:szCs w:val="24"/>
        </w:rPr>
        <w:t>].</w:t>
      </w:r>
    </w:p>
    <w:p w14:paraId="54AFDD9E" w14:textId="35A6EA22" w:rsidR="00D95729" w:rsidRPr="00CE6E87" w:rsidRDefault="00D95729" w:rsidP="00401C6A">
      <w:pPr>
        <w:pStyle w:val="ListParagraph"/>
        <w:numPr>
          <w:ilvl w:val="0"/>
          <w:numId w:val="1"/>
        </w:numPr>
        <w:spacing w:line="240" w:lineRule="auto"/>
        <w:jc w:val="both"/>
        <w:rPr>
          <w:rFonts w:ascii="Times New Roman" w:hAnsi="Times New Roman" w:cs="Times New Roman"/>
          <w:sz w:val="24"/>
          <w:szCs w:val="24"/>
        </w:rPr>
      </w:pPr>
      <w:r w:rsidRPr="00CE6E87">
        <w:rPr>
          <w:rFonts w:ascii="Times New Roman" w:hAnsi="Times New Roman" w:cs="Times New Roman"/>
          <w:sz w:val="24"/>
          <w:szCs w:val="24"/>
        </w:rPr>
        <w:t xml:space="preserve">The learned Magistrate in the court </w:t>
      </w:r>
      <w:r w:rsidRPr="00CE6E87">
        <w:rPr>
          <w:rFonts w:ascii="Times New Roman" w:hAnsi="Times New Roman" w:cs="Times New Roman"/>
          <w:i/>
          <w:sz w:val="24"/>
          <w:szCs w:val="24"/>
        </w:rPr>
        <w:t xml:space="preserve">a quo </w:t>
      </w:r>
      <w:r w:rsidRPr="00CE6E87">
        <w:rPr>
          <w:rFonts w:ascii="Times New Roman" w:hAnsi="Times New Roman" w:cs="Times New Roman"/>
          <w:sz w:val="24"/>
          <w:szCs w:val="24"/>
        </w:rPr>
        <w:t xml:space="preserve">erred in fact </w:t>
      </w:r>
      <w:r w:rsidR="009165C8">
        <w:rPr>
          <w:rFonts w:ascii="Times New Roman" w:hAnsi="Times New Roman" w:cs="Times New Roman"/>
          <w:sz w:val="24"/>
          <w:szCs w:val="24"/>
        </w:rPr>
        <w:t>and law by ruling that the r</w:t>
      </w:r>
      <w:r w:rsidRPr="00CE6E87">
        <w:rPr>
          <w:rFonts w:ascii="Times New Roman" w:hAnsi="Times New Roman" w:cs="Times New Roman"/>
          <w:sz w:val="24"/>
          <w:szCs w:val="24"/>
        </w:rPr>
        <w:t>espondent had issued a valid Notice of Intention to Sue the Appellant in terms of section 196 of the Customs and Excise Act [</w:t>
      </w:r>
      <w:r w:rsidRPr="009165C8">
        <w:rPr>
          <w:rFonts w:ascii="Times New Roman" w:hAnsi="Times New Roman" w:cs="Times New Roman"/>
          <w:i/>
          <w:sz w:val="24"/>
          <w:szCs w:val="24"/>
        </w:rPr>
        <w:t>Chapter 23.02</w:t>
      </w:r>
      <w:r w:rsidRPr="00CE6E87">
        <w:rPr>
          <w:rFonts w:ascii="Times New Roman" w:hAnsi="Times New Roman" w:cs="Times New Roman"/>
          <w:sz w:val="24"/>
          <w:szCs w:val="24"/>
        </w:rPr>
        <w:t>] as read together with the State Liabilities Act when in actual fact the said notice did not meet the requirements prescribe</w:t>
      </w:r>
      <w:r w:rsidR="00535C99">
        <w:rPr>
          <w:rFonts w:ascii="Times New Roman" w:hAnsi="Times New Roman" w:cs="Times New Roman"/>
          <w:sz w:val="24"/>
          <w:szCs w:val="24"/>
        </w:rPr>
        <w:t>d</w:t>
      </w:r>
      <w:r w:rsidRPr="00CE6E87">
        <w:rPr>
          <w:rFonts w:ascii="Times New Roman" w:hAnsi="Times New Roman" w:cs="Times New Roman"/>
          <w:sz w:val="24"/>
          <w:szCs w:val="24"/>
        </w:rPr>
        <w:t xml:space="preserve"> under section 6 of the State Liabilities Act.</w:t>
      </w:r>
    </w:p>
    <w:p w14:paraId="79D5EC68" w14:textId="77777777" w:rsidR="00D95729" w:rsidRPr="00CE6E87" w:rsidRDefault="00D95729" w:rsidP="00401C6A">
      <w:pPr>
        <w:pStyle w:val="ListParagraph"/>
        <w:numPr>
          <w:ilvl w:val="0"/>
          <w:numId w:val="1"/>
        </w:numPr>
        <w:spacing w:line="240" w:lineRule="auto"/>
        <w:jc w:val="both"/>
        <w:rPr>
          <w:rFonts w:ascii="Times New Roman" w:hAnsi="Times New Roman" w:cs="Times New Roman"/>
          <w:sz w:val="24"/>
          <w:szCs w:val="24"/>
        </w:rPr>
      </w:pPr>
      <w:r w:rsidRPr="00CE6E87">
        <w:rPr>
          <w:rFonts w:ascii="Times New Roman" w:hAnsi="Times New Roman" w:cs="Times New Roman"/>
          <w:sz w:val="24"/>
          <w:szCs w:val="24"/>
        </w:rPr>
        <w:t>The learned Magistrate grossly</w:t>
      </w:r>
      <w:r w:rsidRPr="00CE6E87">
        <w:rPr>
          <w:rFonts w:ascii="Times New Roman" w:hAnsi="Times New Roman" w:cs="Times New Roman"/>
          <w:i/>
          <w:sz w:val="24"/>
          <w:szCs w:val="24"/>
        </w:rPr>
        <w:t xml:space="preserve"> </w:t>
      </w:r>
      <w:r w:rsidRPr="00CE6E87">
        <w:rPr>
          <w:rFonts w:ascii="Times New Roman" w:hAnsi="Times New Roman" w:cs="Times New Roman"/>
          <w:sz w:val="24"/>
          <w:szCs w:val="24"/>
        </w:rPr>
        <w:t xml:space="preserve">erred and misdirected herself on the law </w:t>
      </w:r>
      <w:r w:rsidR="00AE0D0B" w:rsidRPr="00CE6E87">
        <w:rPr>
          <w:rFonts w:ascii="Times New Roman" w:hAnsi="Times New Roman" w:cs="Times New Roman"/>
          <w:sz w:val="24"/>
          <w:szCs w:val="24"/>
        </w:rPr>
        <w:t>in ordering the release of the r</w:t>
      </w:r>
      <w:r w:rsidRPr="00CE6E87">
        <w:rPr>
          <w:rFonts w:ascii="Times New Roman" w:hAnsi="Times New Roman" w:cs="Times New Roman"/>
          <w:sz w:val="24"/>
          <w:szCs w:val="24"/>
        </w:rPr>
        <w:t>espondent’s</w:t>
      </w:r>
      <w:r w:rsidR="00AE0D0B" w:rsidRPr="00CE6E87">
        <w:rPr>
          <w:rFonts w:ascii="Times New Roman" w:hAnsi="Times New Roman" w:cs="Times New Roman"/>
          <w:sz w:val="24"/>
          <w:szCs w:val="24"/>
        </w:rPr>
        <w:t xml:space="preserve"> </w:t>
      </w:r>
      <w:r w:rsidRPr="00CE6E87">
        <w:rPr>
          <w:rFonts w:ascii="Times New Roman" w:hAnsi="Times New Roman" w:cs="Times New Roman"/>
          <w:sz w:val="24"/>
          <w:szCs w:val="24"/>
        </w:rPr>
        <w:t>seized vehicle even though the Respondent failed to satisfy the fact that it was not aware that the vehicle will be used to commit an offense as required under sections 187 and 188(2a) of the Customs and Excise Act</w:t>
      </w:r>
      <w:r w:rsidR="00AE0D0B" w:rsidRPr="00CE6E87">
        <w:rPr>
          <w:rFonts w:ascii="Times New Roman" w:hAnsi="Times New Roman" w:cs="Times New Roman"/>
          <w:sz w:val="24"/>
          <w:szCs w:val="24"/>
        </w:rPr>
        <w:t xml:space="preserve"> [</w:t>
      </w:r>
      <w:r w:rsidR="00AE0D0B" w:rsidRPr="009165C8">
        <w:rPr>
          <w:rFonts w:ascii="Times New Roman" w:hAnsi="Times New Roman" w:cs="Times New Roman"/>
          <w:i/>
          <w:sz w:val="24"/>
          <w:szCs w:val="24"/>
        </w:rPr>
        <w:t>Chapter 23:02</w:t>
      </w:r>
      <w:r w:rsidR="00AE0D0B" w:rsidRPr="00CE6E87">
        <w:rPr>
          <w:rFonts w:ascii="Times New Roman" w:hAnsi="Times New Roman" w:cs="Times New Roman"/>
          <w:sz w:val="24"/>
          <w:szCs w:val="24"/>
        </w:rPr>
        <w:t>].</w:t>
      </w:r>
    </w:p>
    <w:p w14:paraId="1EDB5535" w14:textId="77777777" w:rsidR="00D95729" w:rsidRPr="00CE6E87" w:rsidRDefault="00AE0D0B" w:rsidP="00401C6A">
      <w:pPr>
        <w:pStyle w:val="ListParagraph"/>
        <w:numPr>
          <w:ilvl w:val="0"/>
          <w:numId w:val="1"/>
        </w:numPr>
        <w:spacing w:line="240" w:lineRule="auto"/>
        <w:jc w:val="both"/>
        <w:rPr>
          <w:rFonts w:ascii="Times New Roman" w:hAnsi="Times New Roman" w:cs="Times New Roman"/>
          <w:sz w:val="24"/>
          <w:szCs w:val="24"/>
        </w:rPr>
      </w:pPr>
      <w:r w:rsidRPr="00CE6E87">
        <w:rPr>
          <w:rFonts w:ascii="Times New Roman" w:hAnsi="Times New Roman" w:cs="Times New Roman"/>
          <w:sz w:val="24"/>
          <w:szCs w:val="24"/>
        </w:rPr>
        <w:t xml:space="preserve">The learned Magistrate in </w:t>
      </w:r>
      <w:r w:rsidR="00D95729" w:rsidRPr="00CE6E87">
        <w:rPr>
          <w:rFonts w:ascii="Times New Roman" w:hAnsi="Times New Roman" w:cs="Times New Roman"/>
          <w:sz w:val="24"/>
          <w:szCs w:val="24"/>
        </w:rPr>
        <w:t xml:space="preserve">the court </w:t>
      </w:r>
      <w:r w:rsidR="00D95729" w:rsidRPr="00CE6E87">
        <w:rPr>
          <w:rFonts w:ascii="Times New Roman" w:hAnsi="Times New Roman" w:cs="Times New Roman"/>
          <w:i/>
          <w:sz w:val="24"/>
          <w:szCs w:val="24"/>
        </w:rPr>
        <w:t xml:space="preserve">a quo </w:t>
      </w:r>
      <w:r w:rsidRPr="00CE6E87">
        <w:rPr>
          <w:rFonts w:ascii="Times New Roman" w:hAnsi="Times New Roman" w:cs="Times New Roman"/>
          <w:i/>
          <w:sz w:val="24"/>
          <w:szCs w:val="24"/>
        </w:rPr>
        <w:t xml:space="preserve"> </w:t>
      </w:r>
      <w:r w:rsidRPr="00CE6E87">
        <w:rPr>
          <w:rFonts w:ascii="Times New Roman" w:hAnsi="Times New Roman" w:cs="Times New Roman"/>
          <w:sz w:val="24"/>
          <w:szCs w:val="24"/>
        </w:rPr>
        <w:t>grossly</w:t>
      </w:r>
      <w:r w:rsidRPr="00CE6E87">
        <w:rPr>
          <w:rFonts w:ascii="Times New Roman" w:hAnsi="Times New Roman" w:cs="Times New Roman"/>
          <w:i/>
          <w:sz w:val="24"/>
          <w:szCs w:val="24"/>
        </w:rPr>
        <w:t xml:space="preserve"> </w:t>
      </w:r>
      <w:r w:rsidR="00D95729" w:rsidRPr="00CE6E87">
        <w:rPr>
          <w:rFonts w:ascii="Times New Roman" w:hAnsi="Times New Roman" w:cs="Times New Roman"/>
          <w:sz w:val="24"/>
          <w:szCs w:val="24"/>
        </w:rPr>
        <w:t xml:space="preserve">erred </w:t>
      </w:r>
      <w:r w:rsidRPr="00CE6E87">
        <w:rPr>
          <w:rFonts w:ascii="Times New Roman" w:hAnsi="Times New Roman" w:cs="Times New Roman"/>
          <w:sz w:val="24"/>
          <w:szCs w:val="24"/>
        </w:rPr>
        <w:t xml:space="preserve">on a point of </w:t>
      </w:r>
      <w:r w:rsidR="00D95729" w:rsidRPr="00CE6E87">
        <w:rPr>
          <w:rFonts w:ascii="Times New Roman" w:hAnsi="Times New Roman" w:cs="Times New Roman"/>
          <w:sz w:val="24"/>
          <w:szCs w:val="24"/>
        </w:rPr>
        <w:t>law</w:t>
      </w:r>
      <w:r w:rsidRPr="00CE6E87">
        <w:rPr>
          <w:rFonts w:ascii="Times New Roman" w:hAnsi="Times New Roman" w:cs="Times New Roman"/>
          <w:sz w:val="24"/>
          <w:szCs w:val="24"/>
        </w:rPr>
        <w:t xml:space="preserve"> by ruling that section 193(12) of the Customs and Excise Act [</w:t>
      </w:r>
      <w:r w:rsidRPr="009165C8">
        <w:rPr>
          <w:rFonts w:ascii="Times New Roman" w:hAnsi="Times New Roman" w:cs="Times New Roman"/>
          <w:i/>
          <w:sz w:val="24"/>
          <w:szCs w:val="24"/>
        </w:rPr>
        <w:t>Chapter 23:02</w:t>
      </w:r>
      <w:r w:rsidRPr="00CE6E87">
        <w:rPr>
          <w:rFonts w:ascii="Times New Roman" w:hAnsi="Times New Roman" w:cs="Times New Roman"/>
          <w:sz w:val="24"/>
          <w:szCs w:val="24"/>
        </w:rPr>
        <w:t>] regulate (sic) internal remedies within the Appellant’s administrative structures when in actual fact the same provisions (sic) relates to court proceedings.</w:t>
      </w:r>
    </w:p>
    <w:p w14:paraId="5F609CCE" w14:textId="3F5494B0" w:rsidR="00D95729" w:rsidRPr="00CE6E87" w:rsidRDefault="00D95729" w:rsidP="00401C6A">
      <w:pPr>
        <w:pStyle w:val="ListParagraph"/>
        <w:numPr>
          <w:ilvl w:val="0"/>
          <w:numId w:val="1"/>
        </w:numPr>
        <w:spacing w:line="240" w:lineRule="auto"/>
        <w:jc w:val="both"/>
        <w:rPr>
          <w:rFonts w:ascii="Times New Roman" w:hAnsi="Times New Roman" w:cs="Times New Roman"/>
          <w:sz w:val="24"/>
          <w:szCs w:val="24"/>
        </w:rPr>
      </w:pPr>
      <w:r w:rsidRPr="00CE6E87">
        <w:rPr>
          <w:rFonts w:ascii="Times New Roman" w:hAnsi="Times New Roman" w:cs="Times New Roman"/>
          <w:sz w:val="24"/>
          <w:szCs w:val="24"/>
        </w:rPr>
        <w:t xml:space="preserve">The learned Magistrate </w:t>
      </w:r>
      <w:r w:rsidR="00AE0D0B" w:rsidRPr="00CE6E87">
        <w:rPr>
          <w:rFonts w:ascii="Times New Roman" w:hAnsi="Times New Roman" w:cs="Times New Roman"/>
          <w:sz w:val="24"/>
          <w:szCs w:val="24"/>
        </w:rPr>
        <w:t>grossly</w:t>
      </w:r>
      <w:r w:rsidRPr="00CE6E87">
        <w:rPr>
          <w:rFonts w:ascii="Times New Roman" w:hAnsi="Times New Roman" w:cs="Times New Roman"/>
          <w:i/>
          <w:sz w:val="24"/>
          <w:szCs w:val="24"/>
        </w:rPr>
        <w:t xml:space="preserve"> </w:t>
      </w:r>
      <w:r w:rsidRPr="00CE6E87">
        <w:rPr>
          <w:rFonts w:ascii="Times New Roman" w:hAnsi="Times New Roman" w:cs="Times New Roman"/>
          <w:sz w:val="24"/>
          <w:szCs w:val="24"/>
        </w:rPr>
        <w:t xml:space="preserve">erred </w:t>
      </w:r>
      <w:r w:rsidR="00AE0D0B" w:rsidRPr="00CE6E87">
        <w:rPr>
          <w:rFonts w:ascii="Times New Roman" w:hAnsi="Times New Roman" w:cs="Times New Roman"/>
          <w:sz w:val="24"/>
          <w:szCs w:val="24"/>
        </w:rPr>
        <w:t xml:space="preserve">and misdirected herself on facts and </w:t>
      </w:r>
      <w:r w:rsidRPr="00CE6E87">
        <w:rPr>
          <w:rFonts w:ascii="Times New Roman" w:hAnsi="Times New Roman" w:cs="Times New Roman"/>
          <w:sz w:val="24"/>
          <w:szCs w:val="24"/>
        </w:rPr>
        <w:t>law</w:t>
      </w:r>
      <w:r w:rsidR="009165C8">
        <w:rPr>
          <w:rFonts w:ascii="Times New Roman" w:hAnsi="Times New Roman" w:cs="Times New Roman"/>
          <w:sz w:val="24"/>
          <w:szCs w:val="24"/>
        </w:rPr>
        <w:t xml:space="preserve"> by concluding that the r</w:t>
      </w:r>
      <w:r w:rsidR="00AE0D0B" w:rsidRPr="00CE6E87">
        <w:rPr>
          <w:rFonts w:ascii="Times New Roman" w:hAnsi="Times New Roman" w:cs="Times New Roman"/>
          <w:sz w:val="24"/>
          <w:szCs w:val="24"/>
        </w:rPr>
        <w:t>espondent was the owne</w:t>
      </w:r>
      <w:r w:rsidR="009165C8">
        <w:rPr>
          <w:rFonts w:ascii="Times New Roman" w:hAnsi="Times New Roman" w:cs="Times New Roman"/>
          <w:sz w:val="24"/>
          <w:szCs w:val="24"/>
        </w:rPr>
        <w:t>r of the vehicle seized by the a</w:t>
      </w:r>
      <w:r w:rsidR="00AE0D0B" w:rsidRPr="00CE6E87">
        <w:rPr>
          <w:rFonts w:ascii="Times New Roman" w:hAnsi="Times New Roman" w:cs="Times New Roman"/>
          <w:sz w:val="24"/>
          <w:szCs w:val="24"/>
        </w:rPr>
        <w:t xml:space="preserve">ppellant, when </w:t>
      </w:r>
      <w:r w:rsidR="00AE0D0B" w:rsidRPr="00CE6E87">
        <w:rPr>
          <w:rFonts w:ascii="Times New Roman" w:hAnsi="Times New Roman" w:cs="Times New Roman"/>
          <w:sz w:val="24"/>
          <w:szCs w:val="24"/>
        </w:rPr>
        <w:lastRenderedPageBreak/>
        <w:t>in actual fact another person one Mwakudza Joseph also claimed ownership of the same vehicle.</w:t>
      </w:r>
    </w:p>
    <w:p w14:paraId="186C80C7" w14:textId="2AD8EF8B" w:rsidR="00AE0D0B" w:rsidRPr="00CE6E87" w:rsidRDefault="009165C8" w:rsidP="00401C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E0D0B" w:rsidRPr="00CE6E87">
        <w:rPr>
          <w:rFonts w:ascii="Times New Roman" w:hAnsi="Times New Roman" w:cs="Times New Roman"/>
          <w:sz w:val="24"/>
          <w:szCs w:val="24"/>
        </w:rPr>
        <w:t xml:space="preserve">Appellant prayed for the setting aside of the judgment of the court </w:t>
      </w:r>
      <w:r w:rsidR="00AE0D0B" w:rsidRPr="00CE6E87">
        <w:rPr>
          <w:rFonts w:ascii="Times New Roman" w:hAnsi="Times New Roman" w:cs="Times New Roman"/>
          <w:i/>
          <w:sz w:val="24"/>
          <w:szCs w:val="24"/>
        </w:rPr>
        <w:t>a quo</w:t>
      </w:r>
      <w:r w:rsidR="00AE0D0B" w:rsidRPr="00CE6E87">
        <w:rPr>
          <w:rFonts w:ascii="Times New Roman" w:hAnsi="Times New Roman" w:cs="Times New Roman"/>
          <w:sz w:val="24"/>
          <w:szCs w:val="24"/>
        </w:rPr>
        <w:t xml:space="preserve"> and its substitution with an order dismissing with costs the application for the unconditional release of respondent’s vehicle.</w:t>
      </w:r>
    </w:p>
    <w:p w14:paraId="15950206" w14:textId="77777777" w:rsidR="00D66035" w:rsidRPr="00CE6E87" w:rsidRDefault="00D66035" w:rsidP="00401C6A">
      <w:pPr>
        <w:spacing w:after="0" w:line="360" w:lineRule="auto"/>
        <w:jc w:val="both"/>
        <w:rPr>
          <w:rFonts w:ascii="Times New Roman" w:hAnsi="Times New Roman" w:cs="Times New Roman"/>
          <w:b/>
          <w:sz w:val="24"/>
          <w:szCs w:val="24"/>
        </w:rPr>
      </w:pPr>
      <w:r w:rsidRPr="00CE6E87">
        <w:rPr>
          <w:rFonts w:ascii="Times New Roman" w:hAnsi="Times New Roman" w:cs="Times New Roman"/>
          <w:b/>
          <w:sz w:val="24"/>
          <w:szCs w:val="24"/>
        </w:rPr>
        <w:t xml:space="preserve">Submissions by the </w:t>
      </w:r>
      <w:r w:rsidR="005B3EA5" w:rsidRPr="00CE6E87">
        <w:rPr>
          <w:rFonts w:ascii="Times New Roman" w:hAnsi="Times New Roman" w:cs="Times New Roman"/>
          <w:b/>
          <w:sz w:val="24"/>
          <w:szCs w:val="24"/>
        </w:rPr>
        <w:t>Appellant</w:t>
      </w:r>
    </w:p>
    <w:p w14:paraId="107B6EB5" w14:textId="4FADBAB6" w:rsidR="001D2EE2" w:rsidRPr="00CE6E87" w:rsidRDefault="009165C8" w:rsidP="00401C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0080" w:rsidRPr="00CE6E87">
        <w:rPr>
          <w:rFonts w:ascii="Times New Roman" w:hAnsi="Times New Roman" w:cs="Times New Roman"/>
          <w:sz w:val="24"/>
          <w:szCs w:val="24"/>
        </w:rPr>
        <w:t xml:space="preserve">Appellant’s heads of argument set out the prescriptive periods within which a claim for the release of seized goods must be instituted. Reference was made to s 193(12) of the Act which states that proceedings for the recovery of goods seized by the Commissioner or request of payment of compensation by the Commissioner must be instituted within three months of the notice of seizure being given or the publication thereof. </w:t>
      </w:r>
      <w:r>
        <w:rPr>
          <w:rFonts w:ascii="Times New Roman" w:hAnsi="Times New Roman" w:cs="Times New Roman"/>
          <w:sz w:val="24"/>
          <w:szCs w:val="24"/>
        </w:rPr>
        <w:t xml:space="preserve"> </w:t>
      </w:r>
      <w:r w:rsidR="004E0080" w:rsidRPr="00CE6E87">
        <w:rPr>
          <w:rFonts w:ascii="Times New Roman" w:hAnsi="Times New Roman" w:cs="Times New Roman"/>
          <w:sz w:val="24"/>
          <w:szCs w:val="24"/>
        </w:rPr>
        <w:t>Appellant referred to cases in which the defence of prescription was upheld.</w:t>
      </w:r>
      <w:r w:rsidR="00EE4E02" w:rsidRPr="00CE6E87">
        <w:rPr>
          <w:rFonts w:ascii="Times New Roman" w:hAnsi="Times New Roman" w:cs="Times New Roman"/>
          <w:sz w:val="24"/>
          <w:szCs w:val="24"/>
        </w:rPr>
        <w:t xml:space="preserve"> It stated that the truck was seized in April 2021 and </w:t>
      </w:r>
      <w:r w:rsidR="00686293" w:rsidRPr="00CE6E87">
        <w:rPr>
          <w:rFonts w:ascii="Times New Roman" w:hAnsi="Times New Roman" w:cs="Times New Roman"/>
          <w:sz w:val="24"/>
          <w:szCs w:val="24"/>
        </w:rPr>
        <w:t>the application was filed in December 2021 way after the lapse of three months.</w:t>
      </w:r>
      <w:r>
        <w:rPr>
          <w:rFonts w:ascii="Times New Roman" w:hAnsi="Times New Roman" w:cs="Times New Roman"/>
          <w:sz w:val="24"/>
          <w:szCs w:val="24"/>
        </w:rPr>
        <w:t xml:space="preserve">  </w:t>
      </w:r>
      <w:r w:rsidR="00686293" w:rsidRPr="00CE6E87">
        <w:rPr>
          <w:rFonts w:ascii="Times New Roman" w:hAnsi="Times New Roman" w:cs="Times New Roman"/>
          <w:sz w:val="24"/>
          <w:szCs w:val="24"/>
        </w:rPr>
        <w:t>It fur</w:t>
      </w:r>
      <w:r>
        <w:rPr>
          <w:rFonts w:ascii="Times New Roman" w:hAnsi="Times New Roman" w:cs="Times New Roman"/>
          <w:sz w:val="24"/>
          <w:szCs w:val="24"/>
        </w:rPr>
        <w:t>ther stated that the fact that r</w:t>
      </w:r>
      <w:r w:rsidR="00686293" w:rsidRPr="00CE6E87">
        <w:rPr>
          <w:rFonts w:ascii="Times New Roman" w:hAnsi="Times New Roman" w:cs="Times New Roman"/>
          <w:sz w:val="24"/>
          <w:szCs w:val="24"/>
        </w:rPr>
        <w:t xml:space="preserve">espondent was pursuing appeals procedures available administratively was not a bar to approaching the court. </w:t>
      </w:r>
      <w:r>
        <w:rPr>
          <w:rFonts w:ascii="Times New Roman" w:hAnsi="Times New Roman" w:cs="Times New Roman"/>
          <w:sz w:val="24"/>
          <w:szCs w:val="24"/>
        </w:rPr>
        <w:t xml:space="preserve"> </w:t>
      </w:r>
      <w:r w:rsidR="001D2EE2" w:rsidRPr="00CE6E87">
        <w:rPr>
          <w:rFonts w:ascii="Times New Roman" w:hAnsi="Times New Roman" w:cs="Times New Roman"/>
          <w:sz w:val="24"/>
          <w:szCs w:val="24"/>
        </w:rPr>
        <w:t xml:space="preserve">In support of that submission, </w:t>
      </w:r>
      <w:r>
        <w:rPr>
          <w:rFonts w:ascii="Times New Roman" w:hAnsi="Times New Roman" w:cs="Times New Roman"/>
          <w:sz w:val="24"/>
          <w:szCs w:val="24"/>
        </w:rPr>
        <w:t>a</w:t>
      </w:r>
      <w:r w:rsidR="00686293" w:rsidRPr="00CE6E87">
        <w:rPr>
          <w:rFonts w:ascii="Times New Roman" w:hAnsi="Times New Roman" w:cs="Times New Roman"/>
          <w:sz w:val="24"/>
          <w:szCs w:val="24"/>
        </w:rPr>
        <w:t xml:space="preserve">ppellant referred to </w:t>
      </w:r>
      <w:r w:rsidR="00686293" w:rsidRPr="009165C8">
        <w:rPr>
          <w:rFonts w:ascii="Times New Roman" w:hAnsi="Times New Roman" w:cs="Times New Roman"/>
          <w:i/>
          <w:sz w:val="24"/>
          <w:szCs w:val="24"/>
        </w:rPr>
        <w:t>Twotap Logistics</w:t>
      </w:r>
      <w:r w:rsidR="00686293" w:rsidRPr="00CE6E87">
        <w:rPr>
          <w:rFonts w:ascii="Times New Roman" w:hAnsi="Times New Roman" w:cs="Times New Roman"/>
          <w:b/>
          <w:sz w:val="24"/>
          <w:szCs w:val="24"/>
        </w:rPr>
        <w:t xml:space="preserve"> </w:t>
      </w:r>
      <w:r w:rsidR="00686293" w:rsidRPr="009165C8">
        <w:rPr>
          <w:rFonts w:ascii="Times New Roman" w:hAnsi="Times New Roman" w:cs="Times New Roman"/>
          <w:i/>
          <w:sz w:val="24"/>
          <w:szCs w:val="24"/>
        </w:rPr>
        <w:t>(Private) Limites</w:t>
      </w:r>
      <w:r w:rsidR="00686293" w:rsidRPr="00CE6E87">
        <w:rPr>
          <w:rFonts w:ascii="Times New Roman" w:hAnsi="Times New Roman" w:cs="Times New Roman"/>
          <w:b/>
          <w:sz w:val="24"/>
          <w:szCs w:val="24"/>
        </w:rPr>
        <w:t xml:space="preserve"> </w:t>
      </w:r>
      <w:r w:rsidR="00686293" w:rsidRPr="009165C8">
        <w:rPr>
          <w:rFonts w:ascii="Times New Roman" w:hAnsi="Times New Roman" w:cs="Times New Roman"/>
          <w:sz w:val="24"/>
          <w:szCs w:val="24"/>
        </w:rPr>
        <w:t>v</w:t>
      </w:r>
      <w:r w:rsidR="00686293" w:rsidRPr="009165C8">
        <w:rPr>
          <w:rFonts w:ascii="Times New Roman" w:hAnsi="Times New Roman" w:cs="Times New Roman"/>
          <w:b/>
          <w:sz w:val="24"/>
          <w:szCs w:val="24"/>
        </w:rPr>
        <w:t xml:space="preserve"> </w:t>
      </w:r>
      <w:r w:rsidR="00686293" w:rsidRPr="009165C8">
        <w:rPr>
          <w:rFonts w:ascii="Times New Roman" w:hAnsi="Times New Roman" w:cs="Times New Roman"/>
          <w:i/>
          <w:sz w:val="24"/>
          <w:szCs w:val="24"/>
        </w:rPr>
        <w:t>Zimbabwe Revenue Authority</w:t>
      </w:r>
      <w:r w:rsidR="00686293" w:rsidRPr="00CE6E87">
        <w:rPr>
          <w:rFonts w:ascii="Times New Roman" w:hAnsi="Times New Roman" w:cs="Times New Roman"/>
          <w:b/>
          <w:sz w:val="24"/>
          <w:szCs w:val="24"/>
        </w:rPr>
        <w:t xml:space="preserve"> </w:t>
      </w:r>
      <w:r w:rsidR="00686293" w:rsidRPr="00CE6E87">
        <w:rPr>
          <w:rFonts w:ascii="Times New Roman" w:hAnsi="Times New Roman" w:cs="Times New Roman"/>
          <w:sz w:val="24"/>
          <w:szCs w:val="24"/>
        </w:rPr>
        <w:t xml:space="preserve">HH 207/17 and </w:t>
      </w:r>
      <w:r w:rsidR="00686293" w:rsidRPr="009165C8">
        <w:rPr>
          <w:rFonts w:ascii="Times New Roman" w:hAnsi="Times New Roman" w:cs="Times New Roman"/>
          <w:i/>
          <w:sz w:val="24"/>
          <w:szCs w:val="24"/>
        </w:rPr>
        <w:t>White Shadow Investments</w:t>
      </w:r>
      <w:r w:rsidR="00686293" w:rsidRPr="00CE6E87">
        <w:rPr>
          <w:rFonts w:ascii="Times New Roman" w:hAnsi="Times New Roman" w:cs="Times New Roman"/>
          <w:b/>
          <w:sz w:val="24"/>
          <w:szCs w:val="24"/>
        </w:rPr>
        <w:t xml:space="preserve"> </w:t>
      </w:r>
      <w:r w:rsidR="00686293" w:rsidRPr="009165C8">
        <w:rPr>
          <w:rFonts w:ascii="Times New Roman" w:hAnsi="Times New Roman" w:cs="Times New Roman"/>
          <w:i/>
          <w:sz w:val="24"/>
          <w:szCs w:val="24"/>
        </w:rPr>
        <w:t>(Private) Limited v Zimbabwe Revenue Authority</w:t>
      </w:r>
      <w:r w:rsidR="001D2EE2" w:rsidRPr="00CE6E87">
        <w:rPr>
          <w:rFonts w:ascii="Times New Roman" w:hAnsi="Times New Roman" w:cs="Times New Roman"/>
          <w:sz w:val="24"/>
          <w:szCs w:val="24"/>
        </w:rPr>
        <w:t xml:space="preserve"> HH 683/21. </w:t>
      </w:r>
      <w:r>
        <w:rPr>
          <w:rFonts w:ascii="Times New Roman" w:hAnsi="Times New Roman" w:cs="Times New Roman"/>
          <w:sz w:val="24"/>
          <w:szCs w:val="24"/>
        </w:rPr>
        <w:t xml:space="preserve"> </w:t>
      </w:r>
      <w:r w:rsidR="001D2EE2" w:rsidRPr="00CE6E87">
        <w:rPr>
          <w:rFonts w:ascii="Times New Roman" w:hAnsi="Times New Roman" w:cs="Times New Roman"/>
          <w:sz w:val="24"/>
          <w:szCs w:val="24"/>
        </w:rPr>
        <w:t>It pointed out that the Supreme Court had dismissed an appeal by White Shadow Investments (Pvt) Ltd in SC 486/21.</w:t>
      </w:r>
    </w:p>
    <w:p w14:paraId="6A52D704" w14:textId="279C2C91" w:rsidR="006C3FD3" w:rsidRPr="00CE6E87" w:rsidRDefault="009165C8" w:rsidP="00401C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1195" w:rsidRPr="00CE6E87">
        <w:rPr>
          <w:rFonts w:ascii="Times New Roman" w:hAnsi="Times New Roman" w:cs="Times New Roman"/>
          <w:sz w:val="24"/>
          <w:szCs w:val="24"/>
        </w:rPr>
        <w:t xml:space="preserve">Appellant submitted that the notice </w:t>
      </w:r>
      <w:r w:rsidR="00B2004B" w:rsidRPr="00CE6E87">
        <w:rPr>
          <w:rFonts w:ascii="Times New Roman" w:hAnsi="Times New Roman" w:cs="Times New Roman"/>
          <w:sz w:val="24"/>
          <w:szCs w:val="24"/>
        </w:rPr>
        <w:t xml:space="preserve">of </w:t>
      </w:r>
      <w:r>
        <w:rPr>
          <w:rFonts w:ascii="Times New Roman" w:hAnsi="Times New Roman" w:cs="Times New Roman"/>
          <w:sz w:val="24"/>
          <w:szCs w:val="24"/>
        </w:rPr>
        <w:t>intention to sue issued by the r</w:t>
      </w:r>
      <w:r w:rsidR="00B2004B" w:rsidRPr="00CE6E87">
        <w:rPr>
          <w:rFonts w:ascii="Times New Roman" w:hAnsi="Times New Roman" w:cs="Times New Roman"/>
          <w:sz w:val="24"/>
          <w:szCs w:val="24"/>
        </w:rPr>
        <w:t>espondent failed to meet the express requirements of the State Liabilities Act [</w:t>
      </w:r>
      <w:r w:rsidR="00B2004B" w:rsidRPr="009165C8">
        <w:rPr>
          <w:rFonts w:ascii="Times New Roman" w:hAnsi="Times New Roman" w:cs="Times New Roman"/>
          <w:i/>
          <w:sz w:val="24"/>
          <w:szCs w:val="24"/>
        </w:rPr>
        <w:t>Chapter 8:15</w:t>
      </w:r>
      <w:r w:rsidR="00B2004B" w:rsidRPr="00CE6E87">
        <w:rPr>
          <w:rFonts w:ascii="Times New Roman" w:hAnsi="Times New Roman" w:cs="Times New Roman"/>
          <w:sz w:val="24"/>
          <w:szCs w:val="24"/>
        </w:rPr>
        <w:t>] as it did not set</w:t>
      </w:r>
      <w:r w:rsidR="00526F0A" w:rsidRPr="00CE6E87">
        <w:rPr>
          <w:rFonts w:ascii="Times New Roman" w:hAnsi="Times New Roman" w:cs="Times New Roman"/>
          <w:sz w:val="24"/>
          <w:szCs w:val="24"/>
        </w:rPr>
        <w:t xml:space="preserve"> out the grounds of the claim. </w:t>
      </w:r>
      <w:r>
        <w:rPr>
          <w:rFonts w:ascii="Times New Roman" w:hAnsi="Times New Roman" w:cs="Times New Roman"/>
          <w:sz w:val="24"/>
          <w:szCs w:val="24"/>
        </w:rPr>
        <w:t xml:space="preserve"> </w:t>
      </w:r>
      <w:r w:rsidR="00B2004B" w:rsidRPr="00CE6E87">
        <w:rPr>
          <w:rFonts w:ascii="Times New Roman" w:hAnsi="Times New Roman" w:cs="Times New Roman"/>
          <w:sz w:val="24"/>
          <w:szCs w:val="24"/>
        </w:rPr>
        <w:t xml:space="preserve">Appellant also submitted that the notice was not served on it as no proof of service was tendered. </w:t>
      </w:r>
      <w:r w:rsidR="00526F0A" w:rsidRPr="00CE6E87">
        <w:rPr>
          <w:rFonts w:ascii="Times New Roman" w:hAnsi="Times New Roman" w:cs="Times New Roman"/>
          <w:sz w:val="24"/>
          <w:szCs w:val="24"/>
        </w:rPr>
        <w:t xml:space="preserve">It referred to </w:t>
      </w:r>
      <w:r w:rsidR="00526F0A" w:rsidRPr="009165C8">
        <w:rPr>
          <w:rFonts w:ascii="Times New Roman" w:hAnsi="Times New Roman" w:cs="Times New Roman"/>
          <w:i/>
          <w:sz w:val="24"/>
          <w:szCs w:val="24"/>
        </w:rPr>
        <w:t>Machacha</w:t>
      </w:r>
      <w:r w:rsidR="00526F0A" w:rsidRPr="00CE6E87">
        <w:rPr>
          <w:rFonts w:ascii="Times New Roman" w:hAnsi="Times New Roman" w:cs="Times New Roman"/>
          <w:b/>
          <w:sz w:val="24"/>
          <w:szCs w:val="24"/>
        </w:rPr>
        <w:t xml:space="preserve"> </w:t>
      </w:r>
      <w:r w:rsidR="00526F0A" w:rsidRPr="009165C8">
        <w:rPr>
          <w:rFonts w:ascii="Times New Roman" w:hAnsi="Times New Roman" w:cs="Times New Roman"/>
          <w:sz w:val="24"/>
          <w:szCs w:val="24"/>
        </w:rPr>
        <w:t>v</w:t>
      </w:r>
      <w:r w:rsidR="00526F0A" w:rsidRPr="009165C8">
        <w:rPr>
          <w:rFonts w:ascii="Times New Roman" w:hAnsi="Times New Roman" w:cs="Times New Roman"/>
          <w:b/>
          <w:i/>
          <w:sz w:val="24"/>
          <w:szCs w:val="24"/>
        </w:rPr>
        <w:t xml:space="preserve"> </w:t>
      </w:r>
      <w:r w:rsidR="00526F0A" w:rsidRPr="009165C8">
        <w:rPr>
          <w:rFonts w:ascii="Times New Roman" w:hAnsi="Times New Roman" w:cs="Times New Roman"/>
          <w:i/>
          <w:sz w:val="24"/>
          <w:szCs w:val="24"/>
        </w:rPr>
        <w:t>Zimra</w:t>
      </w:r>
      <w:r w:rsidR="00526F0A" w:rsidRPr="00CE6E87">
        <w:rPr>
          <w:rFonts w:ascii="Times New Roman" w:hAnsi="Times New Roman" w:cs="Times New Roman"/>
          <w:b/>
          <w:sz w:val="24"/>
          <w:szCs w:val="24"/>
        </w:rPr>
        <w:t xml:space="preserve"> </w:t>
      </w:r>
      <w:r w:rsidR="00526F0A" w:rsidRPr="00CE6E87">
        <w:rPr>
          <w:rFonts w:ascii="Times New Roman" w:hAnsi="Times New Roman" w:cs="Times New Roman"/>
          <w:sz w:val="24"/>
          <w:szCs w:val="24"/>
        </w:rPr>
        <w:t>HB 186/11 in which it was stated that the primary objective of the provis</w:t>
      </w:r>
      <w:r>
        <w:rPr>
          <w:rFonts w:ascii="Times New Roman" w:hAnsi="Times New Roman" w:cs="Times New Roman"/>
          <w:sz w:val="24"/>
          <w:szCs w:val="24"/>
        </w:rPr>
        <w:t>ion was to give opportunity to a</w:t>
      </w:r>
      <w:r w:rsidR="00526F0A" w:rsidRPr="00CE6E87">
        <w:rPr>
          <w:rFonts w:ascii="Times New Roman" w:hAnsi="Times New Roman" w:cs="Times New Roman"/>
          <w:sz w:val="24"/>
          <w:szCs w:val="24"/>
        </w:rPr>
        <w:t xml:space="preserve">ppellant to investigate the material facts upon which its actions are challenged and to afford it opportunity to take corrective action if needed. It also referred to </w:t>
      </w:r>
      <w:r w:rsidR="00526F0A" w:rsidRPr="009165C8">
        <w:rPr>
          <w:rFonts w:ascii="Times New Roman" w:hAnsi="Times New Roman" w:cs="Times New Roman"/>
          <w:i/>
          <w:sz w:val="24"/>
          <w:szCs w:val="24"/>
        </w:rPr>
        <w:t>Ebrahim</w:t>
      </w:r>
      <w:r w:rsidR="00526F0A" w:rsidRPr="00CE6E87">
        <w:rPr>
          <w:rFonts w:ascii="Times New Roman" w:hAnsi="Times New Roman" w:cs="Times New Roman"/>
          <w:b/>
          <w:sz w:val="24"/>
          <w:szCs w:val="24"/>
        </w:rPr>
        <w:t xml:space="preserve"> </w:t>
      </w:r>
      <w:r w:rsidR="00526F0A" w:rsidRPr="009165C8">
        <w:rPr>
          <w:rFonts w:ascii="Times New Roman" w:hAnsi="Times New Roman" w:cs="Times New Roman"/>
          <w:sz w:val="24"/>
          <w:szCs w:val="24"/>
        </w:rPr>
        <w:t>v</w:t>
      </w:r>
      <w:r w:rsidR="00526F0A" w:rsidRPr="00CE6E87">
        <w:rPr>
          <w:rFonts w:ascii="Times New Roman" w:hAnsi="Times New Roman" w:cs="Times New Roman"/>
          <w:b/>
          <w:sz w:val="24"/>
          <w:szCs w:val="24"/>
        </w:rPr>
        <w:t xml:space="preserve"> </w:t>
      </w:r>
      <w:r w:rsidR="00526F0A" w:rsidRPr="009165C8">
        <w:rPr>
          <w:rFonts w:ascii="Times New Roman" w:hAnsi="Times New Roman" w:cs="Times New Roman"/>
          <w:i/>
          <w:sz w:val="24"/>
          <w:szCs w:val="24"/>
        </w:rPr>
        <w:t>Controller of Customs and Excise</w:t>
      </w:r>
      <w:r w:rsidR="00526F0A" w:rsidRPr="00CE6E87">
        <w:rPr>
          <w:rFonts w:ascii="Times New Roman" w:hAnsi="Times New Roman" w:cs="Times New Roman"/>
          <w:b/>
          <w:sz w:val="24"/>
          <w:szCs w:val="24"/>
        </w:rPr>
        <w:t xml:space="preserve"> </w:t>
      </w:r>
      <w:r w:rsidR="00526F0A" w:rsidRPr="00CE6E87">
        <w:rPr>
          <w:rFonts w:ascii="Times New Roman" w:hAnsi="Times New Roman" w:cs="Times New Roman"/>
          <w:sz w:val="24"/>
          <w:szCs w:val="24"/>
        </w:rPr>
        <w:t>1985 (@) ZLR 1 in which it was highlighted that in considering whether a letter is adequate as notice, the letter is viewed in the light of the objective of the requirement for notice.</w:t>
      </w:r>
    </w:p>
    <w:p w14:paraId="070F9650" w14:textId="5D392C84" w:rsidR="009C1195" w:rsidRPr="00CE6E87" w:rsidRDefault="009165C8" w:rsidP="00401C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3FD3" w:rsidRPr="00CE6E87">
        <w:rPr>
          <w:rFonts w:ascii="Times New Roman" w:hAnsi="Times New Roman" w:cs="Times New Roman"/>
          <w:sz w:val="24"/>
          <w:szCs w:val="24"/>
        </w:rPr>
        <w:t xml:space="preserve">Appellant further submitted that </w:t>
      </w:r>
      <w:r>
        <w:rPr>
          <w:rFonts w:ascii="Times New Roman" w:hAnsi="Times New Roman" w:cs="Times New Roman"/>
          <w:sz w:val="24"/>
          <w:szCs w:val="24"/>
        </w:rPr>
        <w:t>r</w:t>
      </w:r>
      <w:r w:rsidR="006C3FD3" w:rsidRPr="00CE6E87">
        <w:rPr>
          <w:rFonts w:ascii="Times New Roman" w:hAnsi="Times New Roman" w:cs="Times New Roman"/>
          <w:sz w:val="24"/>
          <w:szCs w:val="24"/>
        </w:rPr>
        <w:t>espondent failed to discharge the burden of proving that it was not aware that its vehicle was going to be used to commit a crime and therefore the lower court was wrong in ordering its release.</w:t>
      </w:r>
      <w:r w:rsidR="00C00096" w:rsidRPr="00CE6E87">
        <w:rPr>
          <w:rFonts w:ascii="Times New Roman" w:hAnsi="Times New Roman" w:cs="Times New Roman"/>
          <w:sz w:val="24"/>
          <w:szCs w:val="24"/>
        </w:rPr>
        <w:t xml:space="preserve"> Appellant further submitted that </w:t>
      </w:r>
      <w:r w:rsidR="006C3FD3" w:rsidRPr="00CE6E87">
        <w:rPr>
          <w:rFonts w:ascii="Times New Roman" w:hAnsi="Times New Roman" w:cs="Times New Roman"/>
          <w:sz w:val="24"/>
          <w:szCs w:val="24"/>
        </w:rPr>
        <w:t xml:space="preserve"> </w:t>
      </w:r>
      <w:r w:rsidR="00C00096" w:rsidRPr="00CE6E87">
        <w:rPr>
          <w:rFonts w:ascii="Times New Roman" w:hAnsi="Times New Roman" w:cs="Times New Roman"/>
          <w:sz w:val="24"/>
          <w:szCs w:val="24"/>
        </w:rPr>
        <w:t xml:space="preserve">the lower court was </w:t>
      </w:r>
      <w:r w:rsidR="00C00096" w:rsidRPr="00CE6E87">
        <w:rPr>
          <w:rFonts w:ascii="Times New Roman" w:hAnsi="Times New Roman" w:cs="Times New Roman"/>
          <w:sz w:val="24"/>
          <w:szCs w:val="24"/>
        </w:rPr>
        <w:lastRenderedPageBreak/>
        <w:t>wrong in finding that s</w:t>
      </w:r>
      <w:r>
        <w:rPr>
          <w:rFonts w:ascii="Times New Roman" w:hAnsi="Times New Roman" w:cs="Times New Roman"/>
          <w:sz w:val="24"/>
          <w:szCs w:val="24"/>
        </w:rPr>
        <w:t xml:space="preserve"> </w:t>
      </w:r>
      <w:r w:rsidR="00C00096" w:rsidRPr="00CE6E87">
        <w:rPr>
          <w:rFonts w:ascii="Times New Roman" w:hAnsi="Times New Roman" w:cs="Times New Roman"/>
          <w:sz w:val="24"/>
          <w:szCs w:val="24"/>
        </w:rPr>
        <w:t xml:space="preserve">193(12) regulates internal remedies as the provision is clear that it deals with legal proceedings that must be instituted for the recovery of seized items pursuant to a notice of seizure. </w:t>
      </w:r>
      <w:r>
        <w:rPr>
          <w:rFonts w:ascii="Times New Roman" w:hAnsi="Times New Roman" w:cs="Times New Roman"/>
          <w:sz w:val="24"/>
          <w:szCs w:val="24"/>
        </w:rPr>
        <w:t xml:space="preserve"> </w:t>
      </w:r>
      <w:r w:rsidR="00C00096" w:rsidRPr="00CE6E87">
        <w:rPr>
          <w:rFonts w:ascii="Times New Roman" w:hAnsi="Times New Roman" w:cs="Times New Roman"/>
          <w:sz w:val="24"/>
          <w:szCs w:val="24"/>
        </w:rPr>
        <w:t>It also submitted that s 196 relates to any other claims not originating from a notice of seizure.</w:t>
      </w:r>
      <w:r w:rsidR="00535C99">
        <w:rPr>
          <w:rFonts w:ascii="Times New Roman" w:hAnsi="Times New Roman" w:cs="Times New Roman"/>
          <w:sz w:val="24"/>
          <w:szCs w:val="24"/>
        </w:rPr>
        <w:t xml:space="preserve"> </w:t>
      </w:r>
      <w:r>
        <w:rPr>
          <w:rFonts w:ascii="Times New Roman" w:hAnsi="Times New Roman" w:cs="Times New Roman"/>
          <w:sz w:val="24"/>
          <w:szCs w:val="24"/>
        </w:rPr>
        <w:t xml:space="preserve"> </w:t>
      </w:r>
      <w:r w:rsidR="00535C99">
        <w:rPr>
          <w:rFonts w:ascii="Times New Roman" w:hAnsi="Times New Roman" w:cs="Times New Roman"/>
          <w:sz w:val="24"/>
          <w:szCs w:val="24"/>
        </w:rPr>
        <w:t>Appellant prayed for the success of the appeal and the setting aside of the judgment of the lower court with costs.</w:t>
      </w:r>
    </w:p>
    <w:p w14:paraId="7C063714" w14:textId="77777777" w:rsidR="005B3EA5" w:rsidRPr="00CE6E87" w:rsidRDefault="005B3EA5" w:rsidP="00401C6A">
      <w:pPr>
        <w:spacing w:after="0" w:line="360" w:lineRule="auto"/>
        <w:jc w:val="both"/>
        <w:rPr>
          <w:rFonts w:ascii="Times New Roman" w:hAnsi="Times New Roman" w:cs="Times New Roman"/>
          <w:b/>
          <w:sz w:val="24"/>
          <w:szCs w:val="24"/>
        </w:rPr>
      </w:pPr>
      <w:r w:rsidRPr="00CE6E87">
        <w:rPr>
          <w:rFonts w:ascii="Times New Roman" w:hAnsi="Times New Roman" w:cs="Times New Roman"/>
          <w:b/>
          <w:sz w:val="24"/>
          <w:szCs w:val="24"/>
        </w:rPr>
        <w:t>Submissions by the Respondent</w:t>
      </w:r>
    </w:p>
    <w:p w14:paraId="157BE710" w14:textId="157F66F3" w:rsidR="001D2EE2" w:rsidRPr="00CE6E87" w:rsidRDefault="009165C8" w:rsidP="00401C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r</w:t>
      </w:r>
      <w:r w:rsidR="001D2EE2" w:rsidRPr="00CE6E87">
        <w:rPr>
          <w:rFonts w:ascii="Times New Roman" w:hAnsi="Times New Roman" w:cs="Times New Roman"/>
          <w:sz w:val="24"/>
          <w:szCs w:val="24"/>
        </w:rPr>
        <w:t xml:space="preserve">espondent made reference to </w:t>
      </w:r>
      <w:r w:rsidR="0066505B" w:rsidRPr="00CE6E87">
        <w:rPr>
          <w:rFonts w:ascii="Times New Roman" w:hAnsi="Times New Roman" w:cs="Times New Roman"/>
          <w:sz w:val="24"/>
          <w:szCs w:val="24"/>
        </w:rPr>
        <w:t>s 196</w:t>
      </w:r>
      <w:r w:rsidR="001D2EE2" w:rsidRPr="00CE6E87">
        <w:rPr>
          <w:rFonts w:ascii="Times New Roman" w:hAnsi="Times New Roman" w:cs="Times New Roman"/>
          <w:sz w:val="24"/>
          <w:szCs w:val="24"/>
        </w:rPr>
        <w:t xml:space="preserve">(12) of the Act which puts the period of prescription for civil proceedings or anything done by the Commissioner at eight months. </w:t>
      </w:r>
      <w:r>
        <w:rPr>
          <w:rFonts w:ascii="Times New Roman" w:hAnsi="Times New Roman" w:cs="Times New Roman"/>
          <w:sz w:val="24"/>
          <w:szCs w:val="24"/>
        </w:rPr>
        <w:t xml:space="preserve"> It argued that s</w:t>
      </w:r>
      <w:r w:rsidR="001D2EE2" w:rsidRPr="00CE6E87">
        <w:rPr>
          <w:rFonts w:ascii="Times New Roman" w:hAnsi="Times New Roman" w:cs="Times New Roman"/>
          <w:sz w:val="24"/>
          <w:szCs w:val="24"/>
        </w:rPr>
        <w:t xml:space="preserve"> 193(12) deals with administrative proceedings whereby one makes representations to the Appellant before instituting civil proceedings in a court of law.</w:t>
      </w:r>
      <w:r w:rsidR="0066505B" w:rsidRPr="00CE6E87">
        <w:rPr>
          <w:rFonts w:ascii="Times New Roman" w:hAnsi="Times New Roman" w:cs="Times New Roman"/>
          <w:sz w:val="24"/>
          <w:szCs w:val="24"/>
        </w:rPr>
        <w:t xml:space="preserve"> </w:t>
      </w:r>
      <w:r>
        <w:rPr>
          <w:rFonts w:ascii="Times New Roman" w:hAnsi="Times New Roman" w:cs="Times New Roman"/>
          <w:sz w:val="24"/>
          <w:szCs w:val="24"/>
        </w:rPr>
        <w:t xml:space="preserve"> </w:t>
      </w:r>
      <w:r w:rsidR="0066505B" w:rsidRPr="00CE6E87">
        <w:rPr>
          <w:rFonts w:ascii="Times New Roman" w:hAnsi="Times New Roman" w:cs="Times New Roman"/>
          <w:sz w:val="24"/>
          <w:szCs w:val="24"/>
        </w:rPr>
        <w:t xml:space="preserve">It pointed out that the cause of action arose </w:t>
      </w:r>
      <w:r w:rsidRPr="00CE6E87">
        <w:rPr>
          <w:rFonts w:ascii="Times New Roman" w:hAnsi="Times New Roman" w:cs="Times New Roman"/>
          <w:sz w:val="24"/>
          <w:szCs w:val="24"/>
        </w:rPr>
        <w:t>when</w:t>
      </w:r>
      <w:r>
        <w:rPr>
          <w:rFonts w:ascii="Times New Roman" w:hAnsi="Times New Roman" w:cs="Times New Roman"/>
          <w:sz w:val="24"/>
          <w:szCs w:val="24"/>
        </w:rPr>
        <w:t xml:space="preserve"> </w:t>
      </w:r>
      <w:r w:rsidRPr="00CE6E87">
        <w:rPr>
          <w:rFonts w:ascii="Times New Roman" w:hAnsi="Times New Roman" w:cs="Times New Roman"/>
          <w:sz w:val="24"/>
          <w:szCs w:val="24"/>
        </w:rPr>
        <w:t>Appellant’s</w:t>
      </w:r>
      <w:r w:rsidR="0066505B" w:rsidRPr="00CE6E87">
        <w:rPr>
          <w:rFonts w:ascii="Times New Roman" w:hAnsi="Times New Roman" w:cs="Times New Roman"/>
          <w:sz w:val="24"/>
          <w:szCs w:val="24"/>
        </w:rPr>
        <w:t xml:space="preserve"> Commissioner General made his final decision on 26 October 2021. Respondent argued that s</w:t>
      </w:r>
      <w:r>
        <w:rPr>
          <w:rFonts w:ascii="Times New Roman" w:hAnsi="Times New Roman" w:cs="Times New Roman"/>
          <w:sz w:val="24"/>
          <w:szCs w:val="24"/>
        </w:rPr>
        <w:t xml:space="preserve"> </w:t>
      </w:r>
      <w:r w:rsidR="0066505B" w:rsidRPr="00CE6E87">
        <w:rPr>
          <w:rFonts w:ascii="Times New Roman" w:hAnsi="Times New Roman" w:cs="Times New Roman"/>
          <w:sz w:val="24"/>
          <w:szCs w:val="24"/>
        </w:rPr>
        <w:t xml:space="preserve">193(12) ought to be interpreted within the provision of s 196 and the principle </w:t>
      </w:r>
      <w:r w:rsidR="0066505B" w:rsidRPr="00CE6E87">
        <w:rPr>
          <w:rFonts w:ascii="Times New Roman" w:hAnsi="Times New Roman" w:cs="Times New Roman"/>
          <w:i/>
          <w:sz w:val="24"/>
          <w:szCs w:val="24"/>
        </w:rPr>
        <w:t>generalia specialibus non derogant</w:t>
      </w:r>
      <w:r w:rsidR="0066505B" w:rsidRPr="00CE6E87">
        <w:rPr>
          <w:rFonts w:ascii="Times New Roman" w:hAnsi="Times New Roman" w:cs="Times New Roman"/>
          <w:sz w:val="24"/>
          <w:szCs w:val="24"/>
        </w:rPr>
        <w:t xml:space="preserve"> applies, that is to say, for the purpose of interpre</w:t>
      </w:r>
      <w:r w:rsidR="00A125CE" w:rsidRPr="00CE6E87">
        <w:rPr>
          <w:rFonts w:ascii="Times New Roman" w:hAnsi="Times New Roman" w:cs="Times New Roman"/>
          <w:sz w:val="24"/>
          <w:szCs w:val="24"/>
        </w:rPr>
        <w:t xml:space="preserve">tation of two sections in apparent conflict, the provisions of a general section must yield to those of a specific meaning. </w:t>
      </w:r>
      <w:r>
        <w:rPr>
          <w:rFonts w:ascii="Times New Roman" w:hAnsi="Times New Roman" w:cs="Times New Roman"/>
          <w:sz w:val="24"/>
          <w:szCs w:val="24"/>
        </w:rPr>
        <w:t xml:space="preserve"> </w:t>
      </w:r>
      <w:r w:rsidR="00DC3C54">
        <w:rPr>
          <w:rFonts w:ascii="Times New Roman" w:hAnsi="Times New Roman" w:cs="Times New Roman"/>
          <w:sz w:val="24"/>
          <w:szCs w:val="24"/>
        </w:rPr>
        <w:t xml:space="preserve">It argued that </w:t>
      </w:r>
      <w:r w:rsidR="00A125CE" w:rsidRPr="00CE6E87">
        <w:rPr>
          <w:rFonts w:ascii="Times New Roman" w:hAnsi="Times New Roman" w:cs="Times New Roman"/>
          <w:sz w:val="24"/>
          <w:szCs w:val="24"/>
        </w:rPr>
        <w:t>since s</w:t>
      </w:r>
      <w:r>
        <w:rPr>
          <w:rFonts w:ascii="Times New Roman" w:hAnsi="Times New Roman" w:cs="Times New Roman"/>
          <w:sz w:val="24"/>
          <w:szCs w:val="24"/>
        </w:rPr>
        <w:t xml:space="preserve"> </w:t>
      </w:r>
      <w:r w:rsidR="00A125CE" w:rsidRPr="00CE6E87">
        <w:rPr>
          <w:rFonts w:ascii="Times New Roman" w:hAnsi="Times New Roman" w:cs="Times New Roman"/>
          <w:sz w:val="24"/>
          <w:szCs w:val="24"/>
        </w:rPr>
        <w:t xml:space="preserve">196 specifically refers to civil proceedings it prevails. Respondent referred to </w:t>
      </w:r>
      <w:r w:rsidR="00A125CE" w:rsidRPr="009165C8">
        <w:rPr>
          <w:rFonts w:ascii="Times New Roman" w:hAnsi="Times New Roman" w:cs="Times New Roman"/>
          <w:i/>
          <w:sz w:val="24"/>
          <w:szCs w:val="24"/>
        </w:rPr>
        <w:t xml:space="preserve">Bon Espoir (Pvt) Ltd </w:t>
      </w:r>
      <w:r w:rsidR="00A125CE" w:rsidRPr="009165C8">
        <w:rPr>
          <w:rFonts w:ascii="Times New Roman" w:hAnsi="Times New Roman" w:cs="Times New Roman"/>
          <w:sz w:val="24"/>
          <w:szCs w:val="24"/>
        </w:rPr>
        <w:t>v</w:t>
      </w:r>
      <w:r w:rsidR="00A125CE" w:rsidRPr="009165C8">
        <w:rPr>
          <w:rFonts w:ascii="Times New Roman" w:hAnsi="Times New Roman" w:cs="Times New Roman"/>
          <w:i/>
          <w:sz w:val="24"/>
          <w:szCs w:val="24"/>
        </w:rPr>
        <w:t xml:space="preserve"> Hearing Chabata &amp; Ors</w:t>
      </w:r>
      <w:r w:rsidR="00A125CE" w:rsidRPr="00CE6E87">
        <w:rPr>
          <w:rFonts w:ascii="Times New Roman" w:hAnsi="Times New Roman" w:cs="Times New Roman"/>
          <w:b/>
          <w:sz w:val="24"/>
          <w:szCs w:val="24"/>
        </w:rPr>
        <w:t xml:space="preserve"> </w:t>
      </w:r>
      <w:r w:rsidR="00A125CE" w:rsidRPr="00CE6E87">
        <w:rPr>
          <w:rFonts w:ascii="Times New Roman" w:hAnsi="Times New Roman" w:cs="Times New Roman"/>
          <w:sz w:val="24"/>
          <w:szCs w:val="24"/>
        </w:rPr>
        <w:t xml:space="preserve">SC45/03 in support of that submission. </w:t>
      </w:r>
      <w:r>
        <w:rPr>
          <w:rFonts w:ascii="Times New Roman" w:hAnsi="Times New Roman" w:cs="Times New Roman"/>
          <w:sz w:val="24"/>
          <w:szCs w:val="24"/>
        </w:rPr>
        <w:t xml:space="preserve"> Respondent pointed out that s</w:t>
      </w:r>
      <w:r w:rsidR="00A125CE" w:rsidRPr="00CE6E87">
        <w:rPr>
          <w:rFonts w:ascii="Times New Roman" w:hAnsi="Times New Roman" w:cs="Times New Roman"/>
          <w:sz w:val="24"/>
          <w:szCs w:val="24"/>
        </w:rPr>
        <w:t xml:space="preserve"> 193(12) is not peremptory as evidenced by the use of the word “may” whereas in s 196(2)</w:t>
      </w:r>
      <w:r w:rsidR="00B303CB">
        <w:rPr>
          <w:rFonts w:ascii="Times New Roman" w:hAnsi="Times New Roman" w:cs="Times New Roman"/>
          <w:sz w:val="24"/>
          <w:szCs w:val="24"/>
        </w:rPr>
        <w:t xml:space="preserve"> the word “shall” is used. Also</w:t>
      </w:r>
      <w:r w:rsidR="009C1195" w:rsidRPr="00CE6E87">
        <w:rPr>
          <w:rFonts w:ascii="Times New Roman" w:hAnsi="Times New Roman" w:cs="Times New Roman"/>
          <w:sz w:val="24"/>
          <w:szCs w:val="24"/>
        </w:rPr>
        <w:t xml:space="preserve"> that as stated in </w:t>
      </w:r>
      <w:r w:rsidR="009C1195" w:rsidRPr="009165C8">
        <w:rPr>
          <w:rFonts w:ascii="Times New Roman" w:hAnsi="Times New Roman" w:cs="Times New Roman"/>
          <w:i/>
          <w:sz w:val="24"/>
          <w:szCs w:val="24"/>
        </w:rPr>
        <w:t xml:space="preserve">Air Duct Fabricators (Pvt) Ltd </w:t>
      </w:r>
      <w:r w:rsidR="009C1195" w:rsidRPr="009165C8">
        <w:rPr>
          <w:rFonts w:ascii="Times New Roman" w:hAnsi="Times New Roman" w:cs="Times New Roman"/>
          <w:sz w:val="24"/>
          <w:szCs w:val="24"/>
        </w:rPr>
        <w:t xml:space="preserve">v </w:t>
      </w:r>
      <w:r w:rsidR="009C1195" w:rsidRPr="009165C8">
        <w:rPr>
          <w:rFonts w:ascii="Times New Roman" w:hAnsi="Times New Roman" w:cs="Times New Roman"/>
          <w:i/>
          <w:sz w:val="24"/>
          <w:szCs w:val="24"/>
        </w:rPr>
        <w:t>A.M.Machado and Sons (Pvt) Ltd</w:t>
      </w:r>
      <w:r w:rsidR="009C1195" w:rsidRPr="00CE6E87">
        <w:rPr>
          <w:rFonts w:ascii="Times New Roman" w:hAnsi="Times New Roman" w:cs="Times New Roman"/>
          <w:b/>
          <w:sz w:val="24"/>
          <w:szCs w:val="24"/>
        </w:rPr>
        <w:t xml:space="preserve"> </w:t>
      </w:r>
      <w:r w:rsidR="00DC3C54">
        <w:rPr>
          <w:rFonts w:ascii="Times New Roman" w:hAnsi="Times New Roman" w:cs="Times New Roman"/>
          <w:sz w:val="24"/>
          <w:szCs w:val="24"/>
        </w:rPr>
        <w:t>HH</w:t>
      </w:r>
      <w:r w:rsidR="009C1195" w:rsidRPr="00CE6E87">
        <w:rPr>
          <w:rFonts w:ascii="Times New Roman" w:hAnsi="Times New Roman" w:cs="Times New Roman"/>
          <w:sz w:val="24"/>
          <w:szCs w:val="24"/>
        </w:rPr>
        <w:t xml:space="preserve"> 54/16, “may” implies permissiveness, as in a discretion or a choice while “shall” is an imperative, a duty or obligation to take the prescribed course of action. </w:t>
      </w:r>
    </w:p>
    <w:p w14:paraId="4D5C20C3" w14:textId="7A87A1B8" w:rsidR="00C33E06" w:rsidRPr="00CE6E87" w:rsidRDefault="009165C8" w:rsidP="00401C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33E06" w:rsidRPr="00CE6E87">
        <w:rPr>
          <w:rFonts w:ascii="Times New Roman" w:hAnsi="Times New Roman" w:cs="Times New Roman"/>
          <w:sz w:val="24"/>
          <w:szCs w:val="24"/>
        </w:rPr>
        <w:t>Respondent argued that the notice to institute civil proceedings issued through a letter dated 4 September 2021 is valid as the State Liabilities Act [</w:t>
      </w:r>
      <w:r w:rsidR="00C33E06" w:rsidRPr="009165C8">
        <w:rPr>
          <w:rFonts w:ascii="Times New Roman" w:hAnsi="Times New Roman" w:cs="Times New Roman"/>
          <w:i/>
          <w:sz w:val="24"/>
          <w:szCs w:val="24"/>
        </w:rPr>
        <w:t>Chapter 8:15</w:t>
      </w:r>
      <w:r w:rsidR="00C33E06" w:rsidRPr="00CE6E87">
        <w:rPr>
          <w:rFonts w:ascii="Times New Roman" w:hAnsi="Times New Roman" w:cs="Times New Roman"/>
          <w:sz w:val="24"/>
          <w:szCs w:val="24"/>
        </w:rPr>
        <w:t>] is silent as to the format of the grounds of the notice.</w:t>
      </w:r>
      <w:r>
        <w:rPr>
          <w:rFonts w:ascii="Times New Roman" w:hAnsi="Times New Roman" w:cs="Times New Roman"/>
          <w:sz w:val="24"/>
          <w:szCs w:val="24"/>
        </w:rPr>
        <w:t xml:space="preserve"> </w:t>
      </w:r>
      <w:r w:rsidR="00C33E06" w:rsidRPr="00CE6E87">
        <w:rPr>
          <w:rFonts w:ascii="Times New Roman" w:hAnsi="Times New Roman" w:cs="Times New Roman"/>
          <w:sz w:val="24"/>
          <w:szCs w:val="24"/>
        </w:rPr>
        <w:t xml:space="preserve"> It referred to s 6(3) of the State Liabilities Act [</w:t>
      </w:r>
      <w:r w:rsidR="00C33E06" w:rsidRPr="009165C8">
        <w:rPr>
          <w:rFonts w:ascii="Times New Roman" w:hAnsi="Times New Roman" w:cs="Times New Roman"/>
          <w:i/>
          <w:sz w:val="24"/>
          <w:szCs w:val="24"/>
        </w:rPr>
        <w:t>Chapter 8:15</w:t>
      </w:r>
      <w:r w:rsidR="00C33E06" w:rsidRPr="00CE6E87">
        <w:rPr>
          <w:rFonts w:ascii="Times New Roman" w:hAnsi="Times New Roman" w:cs="Times New Roman"/>
          <w:sz w:val="24"/>
          <w:szCs w:val="24"/>
        </w:rPr>
        <w:t>] which authorizes the court to condone non-compliance where there is substantial compliance or where the non-compliance will not unduly prejudice the defendant.</w:t>
      </w:r>
      <w:r w:rsidR="00EB7B33" w:rsidRPr="00CE6E87">
        <w:rPr>
          <w:rFonts w:ascii="Times New Roman" w:hAnsi="Times New Roman" w:cs="Times New Roman"/>
          <w:sz w:val="24"/>
          <w:szCs w:val="24"/>
        </w:rPr>
        <w:t xml:space="preserve"> </w:t>
      </w:r>
      <w:r>
        <w:rPr>
          <w:rFonts w:ascii="Times New Roman" w:hAnsi="Times New Roman" w:cs="Times New Roman"/>
          <w:sz w:val="24"/>
          <w:szCs w:val="24"/>
        </w:rPr>
        <w:t xml:space="preserve"> </w:t>
      </w:r>
      <w:r w:rsidR="00EB7B33" w:rsidRPr="00CE6E87">
        <w:rPr>
          <w:rFonts w:ascii="Times New Roman" w:hAnsi="Times New Roman" w:cs="Times New Roman"/>
          <w:sz w:val="24"/>
          <w:szCs w:val="24"/>
        </w:rPr>
        <w:t>Respondent further argued that it is the owner of the truc</w:t>
      </w:r>
      <w:r>
        <w:rPr>
          <w:rFonts w:ascii="Times New Roman" w:hAnsi="Times New Roman" w:cs="Times New Roman"/>
          <w:sz w:val="24"/>
          <w:szCs w:val="24"/>
        </w:rPr>
        <w:t>k in question and a</w:t>
      </w:r>
      <w:r w:rsidR="00EB7B33" w:rsidRPr="00CE6E87">
        <w:rPr>
          <w:rFonts w:ascii="Times New Roman" w:hAnsi="Times New Roman" w:cs="Times New Roman"/>
          <w:sz w:val="24"/>
          <w:szCs w:val="24"/>
        </w:rPr>
        <w:t>ppellant has not challenged that position.</w:t>
      </w:r>
      <w:r>
        <w:rPr>
          <w:rFonts w:ascii="Times New Roman" w:hAnsi="Times New Roman" w:cs="Times New Roman"/>
          <w:sz w:val="24"/>
          <w:szCs w:val="24"/>
        </w:rPr>
        <w:t xml:space="preserve"> </w:t>
      </w:r>
      <w:r w:rsidR="00EB7B33" w:rsidRPr="00CE6E87">
        <w:rPr>
          <w:rFonts w:ascii="Times New Roman" w:hAnsi="Times New Roman" w:cs="Times New Roman"/>
          <w:sz w:val="24"/>
          <w:szCs w:val="24"/>
        </w:rPr>
        <w:t xml:space="preserve"> Further</w:t>
      </w:r>
      <w:r w:rsidR="00B303CB">
        <w:rPr>
          <w:rFonts w:ascii="Times New Roman" w:hAnsi="Times New Roman" w:cs="Times New Roman"/>
          <w:sz w:val="24"/>
          <w:szCs w:val="24"/>
        </w:rPr>
        <w:t>,</w:t>
      </w:r>
      <w:r w:rsidR="00EB7B33" w:rsidRPr="00CE6E87">
        <w:rPr>
          <w:rFonts w:ascii="Times New Roman" w:hAnsi="Times New Roman" w:cs="Times New Roman"/>
          <w:sz w:val="24"/>
          <w:szCs w:val="24"/>
        </w:rPr>
        <w:t xml:space="preserve"> that it cannot be held liable in terms of the Act as it has neither committed an offence nor authorized its vehicle to be illegally used.</w:t>
      </w:r>
      <w:r w:rsidR="005B3EA5" w:rsidRPr="00CE6E87">
        <w:rPr>
          <w:rFonts w:ascii="Times New Roman" w:hAnsi="Times New Roman" w:cs="Times New Roman"/>
          <w:sz w:val="24"/>
          <w:szCs w:val="24"/>
        </w:rPr>
        <w:t xml:space="preserve"> </w:t>
      </w:r>
      <w:r>
        <w:rPr>
          <w:rFonts w:ascii="Times New Roman" w:hAnsi="Times New Roman" w:cs="Times New Roman"/>
          <w:sz w:val="24"/>
          <w:szCs w:val="24"/>
        </w:rPr>
        <w:t xml:space="preserve"> </w:t>
      </w:r>
      <w:r w:rsidR="005B3EA5" w:rsidRPr="00CE6E87">
        <w:rPr>
          <w:rFonts w:ascii="Times New Roman" w:hAnsi="Times New Roman" w:cs="Times New Roman"/>
          <w:sz w:val="24"/>
          <w:szCs w:val="24"/>
        </w:rPr>
        <w:t xml:space="preserve">It referred to the case of </w:t>
      </w:r>
      <w:r w:rsidR="005B3EA5" w:rsidRPr="009165C8">
        <w:rPr>
          <w:rFonts w:ascii="Times New Roman" w:hAnsi="Times New Roman" w:cs="Times New Roman"/>
          <w:i/>
          <w:sz w:val="24"/>
          <w:szCs w:val="24"/>
        </w:rPr>
        <w:t xml:space="preserve">Chamu Ndaza </w:t>
      </w:r>
      <w:r w:rsidR="005B3EA5" w:rsidRPr="009165C8">
        <w:rPr>
          <w:rFonts w:ascii="Times New Roman" w:hAnsi="Times New Roman" w:cs="Times New Roman"/>
          <w:sz w:val="24"/>
          <w:szCs w:val="24"/>
        </w:rPr>
        <w:t>v</w:t>
      </w:r>
      <w:r w:rsidR="005B3EA5" w:rsidRPr="009165C8">
        <w:rPr>
          <w:rFonts w:ascii="Times New Roman" w:hAnsi="Times New Roman" w:cs="Times New Roman"/>
          <w:i/>
          <w:sz w:val="24"/>
          <w:szCs w:val="24"/>
        </w:rPr>
        <w:t xml:space="preserve"> Zimbabwe Revenue Authority</w:t>
      </w:r>
      <w:r w:rsidR="005B3EA5" w:rsidRPr="00CE6E87">
        <w:rPr>
          <w:rFonts w:ascii="Times New Roman" w:hAnsi="Times New Roman" w:cs="Times New Roman"/>
          <w:b/>
          <w:sz w:val="24"/>
          <w:szCs w:val="24"/>
        </w:rPr>
        <w:t xml:space="preserve"> </w:t>
      </w:r>
      <w:r w:rsidR="005B3EA5" w:rsidRPr="00CE6E87">
        <w:rPr>
          <w:rFonts w:ascii="Times New Roman" w:hAnsi="Times New Roman" w:cs="Times New Roman"/>
          <w:sz w:val="24"/>
          <w:szCs w:val="24"/>
        </w:rPr>
        <w:t>HH 79/2004 in which it was stated that s</w:t>
      </w:r>
      <w:r>
        <w:rPr>
          <w:rFonts w:ascii="Times New Roman" w:hAnsi="Times New Roman" w:cs="Times New Roman"/>
          <w:sz w:val="24"/>
          <w:szCs w:val="24"/>
        </w:rPr>
        <w:t xml:space="preserve">s </w:t>
      </w:r>
      <w:r w:rsidR="005B3EA5" w:rsidRPr="00CE6E87">
        <w:rPr>
          <w:rFonts w:ascii="Times New Roman" w:hAnsi="Times New Roman" w:cs="Times New Roman"/>
          <w:sz w:val="24"/>
          <w:szCs w:val="24"/>
        </w:rPr>
        <w:t xml:space="preserve">187 and 188 of the Act do not create a strict liability </w:t>
      </w:r>
      <w:r w:rsidR="005B3EA5" w:rsidRPr="00CE6E87">
        <w:rPr>
          <w:rFonts w:ascii="Times New Roman" w:hAnsi="Times New Roman" w:cs="Times New Roman"/>
          <w:sz w:val="24"/>
          <w:szCs w:val="24"/>
        </w:rPr>
        <w:lastRenderedPageBreak/>
        <w:t xml:space="preserve">offence and that it must be established that there was intention or </w:t>
      </w:r>
      <w:r w:rsidR="005B3EA5" w:rsidRPr="00DC3C54">
        <w:rPr>
          <w:rFonts w:ascii="Times New Roman" w:hAnsi="Times New Roman" w:cs="Times New Roman"/>
          <w:i/>
          <w:sz w:val="24"/>
          <w:szCs w:val="24"/>
        </w:rPr>
        <w:t>culpa</w:t>
      </w:r>
      <w:r w:rsidR="005B3EA5" w:rsidRPr="00CE6E87">
        <w:rPr>
          <w:rFonts w:ascii="Times New Roman" w:hAnsi="Times New Roman" w:cs="Times New Roman"/>
          <w:sz w:val="24"/>
          <w:szCs w:val="24"/>
        </w:rPr>
        <w:t xml:space="preserve"> on the part of the owner for liability to attach. Respondent prayed for the unconditional release of its truck.</w:t>
      </w:r>
    </w:p>
    <w:p w14:paraId="6261AB69" w14:textId="77777777" w:rsidR="00D66035" w:rsidRPr="00CE6E87" w:rsidRDefault="00D66035" w:rsidP="00401C6A">
      <w:pPr>
        <w:spacing w:line="360" w:lineRule="auto"/>
        <w:jc w:val="both"/>
        <w:rPr>
          <w:rFonts w:ascii="Times New Roman" w:hAnsi="Times New Roman" w:cs="Times New Roman"/>
          <w:b/>
          <w:sz w:val="24"/>
          <w:szCs w:val="24"/>
        </w:rPr>
      </w:pPr>
      <w:r w:rsidRPr="00CE6E87">
        <w:rPr>
          <w:rFonts w:ascii="Times New Roman" w:hAnsi="Times New Roman" w:cs="Times New Roman"/>
          <w:b/>
          <w:sz w:val="24"/>
          <w:szCs w:val="24"/>
        </w:rPr>
        <w:t>Analysis</w:t>
      </w:r>
    </w:p>
    <w:p w14:paraId="57F9BB6D" w14:textId="77777777" w:rsidR="00867BD2" w:rsidRPr="00CE6E87" w:rsidRDefault="00867BD2" w:rsidP="00401C6A">
      <w:pPr>
        <w:spacing w:after="0" w:line="360" w:lineRule="auto"/>
        <w:jc w:val="both"/>
        <w:rPr>
          <w:rFonts w:ascii="Times New Roman" w:hAnsi="Times New Roman" w:cs="Times New Roman"/>
          <w:b/>
          <w:sz w:val="24"/>
          <w:szCs w:val="24"/>
        </w:rPr>
      </w:pPr>
      <w:r w:rsidRPr="00CE6E87">
        <w:rPr>
          <w:rFonts w:ascii="Times New Roman" w:hAnsi="Times New Roman" w:cs="Times New Roman"/>
          <w:b/>
          <w:sz w:val="24"/>
          <w:szCs w:val="24"/>
        </w:rPr>
        <w:t>Ground One</w:t>
      </w:r>
    </w:p>
    <w:p w14:paraId="22982E19" w14:textId="61C84C76" w:rsidR="00867BD2" w:rsidRPr="00CE6E87" w:rsidRDefault="009165C8" w:rsidP="00401C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3857" w:rsidRPr="00CE6E87">
        <w:rPr>
          <w:rFonts w:ascii="Times New Roman" w:hAnsi="Times New Roman" w:cs="Times New Roman"/>
          <w:sz w:val="24"/>
          <w:szCs w:val="24"/>
        </w:rPr>
        <w:t xml:space="preserve">The lower court was of the view that the period of three months within which action must be taken for the recovery or release of goods </w:t>
      </w:r>
      <w:r>
        <w:rPr>
          <w:rFonts w:ascii="Times New Roman" w:hAnsi="Times New Roman" w:cs="Times New Roman"/>
          <w:sz w:val="24"/>
          <w:szCs w:val="24"/>
        </w:rPr>
        <w:t>that would have been seized by a</w:t>
      </w:r>
      <w:r w:rsidR="002D3857" w:rsidRPr="00CE6E87">
        <w:rPr>
          <w:rFonts w:ascii="Times New Roman" w:hAnsi="Times New Roman" w:cs="Times New Roman"/>
          <w:sz w:val="24"/>
          <w:szCs w:val="24"/>
        </w:rPr>
        <w:t xml:space="preserve">ppellant relate to actions to be done </w:t>
      </w:r>
      <w:r w:rsidR="00AD5EB6" w:rsidRPr="00CE6E87">
        <w:rPr>
          <w:rFonts w:ascii="Times New Roman" w:hAnsi="Times New Roman" w:cs="Times New Roman"/>
          <w:sz w:val="24"/>
          <w:szCs w:val="24"/>
        </w:rPr>
        <w:t xml:space="preserve">before the Commissioner General, and not the court. </w:t>
      </w:r>
      <w:r>
        <w:rPr>
          <w:rFonts w:ascii="Times New Roman" w:hAnsi="Times New Roman" w:cs="Times New Roman"/>
          <w:sz w:val="24"/>
          <w:szCs w:val="24"/>
        </w:rPr>
        <w:t xml:space="preserve"> </w:t>
      </w:r>
      <w:r w:rsidR="00533314" w:rsidRPr="00CE6E87">
        <w:rPr>
          <w:rFonts w:ascii="Times New Roman" w:hAnsi="Times New Roman" w:cs="Times New Roman"/>
          <w:sz w:val="24"/>
          <w:szCs w:val="24"/>
        </w:rPr>
        <w:t>The issue of whether or not the application is prescribed must be considered in the context of the statutory provisions</w:t>
      </w:r>
      <w:r w:rsidR="001E4BB4" w:rsidRPr="00CE6E87">
        <w:rPr>
          <w:rFonts w:ascii="Times New Roman" w:hAnsi="Times New Roman" w:cs="Times New Roman"/>
          <w:sz w:val="24"/>
          <w:szCs w:val="24"/>
        </w:rPr>
        <w:t xml:space="preserve">. Those provisions show </w:t>
      </w:r>
      <w:r w:rsidR="00533314" w:rsidRPr="00CE6E87">
        <w:rPr>
          <w:rFonts w:ascii="Times New Roman" w:hAnsi="Times New Roman" w:cs="Times New Roman"/>
          <w:sz w:val="24"/>
          <w:szCs w:val="24"/>
        </w:rPr>
        <w:t>three distinct stages in how goods subject to forfeiture are handled and how the owner of such goods can seek recourse. The first stage is provided for in subsection 10 of s 193 of the Act, which states; -</w:t>
      </w:r>
    </w:p>
    <w:p w14:paraId="432D4555" w14:textId="77777777" w:rsidR="00533314" w:rsidRPr="009165C8" w:rsidRDefault="00533314" w:rsidP="00401C6A">
      <w:pPr>
        <w:spacing w:line="240" w:lineRule="auto"/>
        <w:ind w:left="720"/>
        <w:jc w:val="both"/>
        <w:rPr>
          <w:rFonts w:ascii="Times New Roman" w:hAnsi="Times New Roman" w:cs="Times New Roman"/>
        </w:rPr>
      </w:pPr>
      <w:r w:rsidRPr="009165C8">
        <w:rPr>
          <w:rFonts w:ascii="Times New Roman" w:hAnsi="Times New Roman" w:cs="Times New Roman"/>
        </w:rPr>
        <w:t>“</w:t>
      </w:r>
      <w:r w:rsidR="00AB771A" w:rsidRPr="009165C8">
        <w:rPr>
          <w:rFonts w:ascii="Times New Roman" w:hAnsi="Times New Roman" w:cs="Times New Roman"/>
        </w:rPr>
        <w:t>(10) Subject to subsection (11), whenever articles are seized in terms of this section the officer so seizing shall give to the person from whom the articles have been seized or the owner of the articles a notice in writing specifying the articles which have been seized and informing such person of the provisions of subsection (12).”</w:t>
      </w:r>
    </w:p>
    <w:p w14:paraId="3AC995F6" w14:textId="5E9A5BF7" w:rsidR="00AB771A" w:rsidRPr="00CE6E87" w:rsidRDefault="009165C8" w:rsidP="00401C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B771A" w:rsidRPr="00CE6E87">
        <w:rPr>
          <w:rFonts w:ascii="Times New Roman" w:hAnsi="Times New Roman" w:cs="Times New Roman"/>
          <w:sz w:val="24"/>
          <w:szCs w:val="24"/>
        </w:rPr>
        <w:t xml:space="preserve">The person from whom articles are seized or the owner of the articles is notified. In </w:t>
      </w:r>
      <w:r w:rsidR="00AB771A" w:rsidRPr="00CE6E87">
        <w:rPr>
          <w:rFonts w:ascii="Times New Roman" w:hAnsi="Times New Roman" w:cs="Times New Roman"/>
          <w:i/>
          <w:sz w:val="24"/>
          <w:szCs w:val="24"/>
        </w:rPr>
        <w:t>casu</w:t>
      </w:r>
      <w:r w:rsidR="00AB771A" w:rsidRPr="00CE6E87">
        <w:rPr>
          <w:rFonts w:ascii="Times New Roman" w:hAnsi="Times New Roman" w:cs="Times New Roman"/>
          <w:sz w:val="24"/>
          <w:szCs w:val="24"/>
        </w:rPr>
        <w:t>, the notice is Annexure A on p</w:t>
      </w:r>
      <w:r>
        <w:rPr>
          <w:rFonts w:ascii="Times New Roman" w:hAnsi="Times New Roman" w:cs="Times New Roman"/>
          <w:sz w:val="24"/>
          <w:szCs w:val="24"/>
        </w:rPr>
        <w:t xml:space="preserve"> </w:t>
      </w:r>
      <w:r w:rsidR="00AB771A" w:rsidRPr="00CE6E87">
        <w:rPr>
          <w:rFonts w:ascii="Times New Roman" w:hAnsi="Times New Roman" w:cs="Times New Roman"/>
          <w:sz w:val="24"/>
          <w:szCs w:val="24"/>
        </w:rPr>
        <w:t xml:space="preserve">45 of the record. The second stage is provided for in subsection 12 of the same section. </w:t>
      </w:r>
      <w:r>
        <w:rPr>
          <w:rFonts w:ascii="Times New Roman" w:hAnsi="Times New Roman" w:cs="Times New Roman"/>
          <w:sz w:val="24"/>
          <w:szCs w:val="24"/>
        </w:rPr>
        <w:t xml:space="preserve"> </w:t>
      </w:r>
      <w:r w:rsidR="00AB771A" w:rsidRPr="00CE6E87">
        <w:rPr>
          <w:rFonts w:ascii="Times New Roman" w:hAnsi="Times New Roman" w:cs="Times New Roman"/>
          <w:sz w:val="24"/>
          <w:szCs w:val="24"/>
        </w:rPr>
        <w:t>Subsection 12 is worded as follows;-</w:t>
      </w:r>
    </w:p>
    <w:p w14:paraId="02140C42" w14:textId="5F208639" w:rsidR="00AB771A" w:rsidRPr="009165C8" w:rsidRDefault="00AB771A" w:rsidP="00401C6A">
      <w:pPr>
        <w:pStyle w:val="Default"/>
        <w:ind w:left="720"/>
        <w:jc w:val="both"/>
        <w:rPr>
          <w:sz w:val="22"/>
          <w:szCs w:val="22"/>
        </w:rPr>
      </w:pPr>
      <w:r w:rsidRPr="009165C8">
        <w:rPr>
          <w:sz w:val="22"/>
          <w:szCs w:val="22"/>
        </w:rPr>
        <w:t xml:space="preserve">“(12) Subject to section </w:t>
      </w:r>
      <w:r w:rsidRPr="009165C8">
        <w:rPr>
          <w:i/>
          <w:iCs/>
          <w:sz w:val="22"/>
          <w:szCs w:val="22"/>
        </w:rPr>
        <w:t>one hundred and ninety-six</w:t>
      </w:r>
      <w:r w:rsidRPr="009165C8">
        <w:rPr>
          <w:sz w:val="22"/>
          <w:szCs w:val="22"/>
        </w:rPr>
        <w:t xml:space="preserve">, the person from whom the articles have been seized or the owner thereof may institute proceedings for— </w:t>
      </w:r>
    </w:p>
    <w:p w14:paraId="56270223" w14:textId="77777777" w:rsidR="00AB771A" w:rsidRPr="009165C8" w:rsidRDefault="00AB771A" w:rsidP="00401C6A">
      <w:pPr>
        <w:pStyle w:val="Default"/>
        <w:numPr>
          <w:ilvl w:val="0"/>
          <w:numId w:val="2"/>
        </w:numPr>
        <w:jc w:val="both"/>
        <w:rPr>
          <w:sz w:val="22"/>
          <w:szCs w:val="22"/>
        </w:rPr>
      </w:pPr>
      <w:r w:rsidRPr="009165C8">
        <w:rPr>
          <w:sz w:val="22"/>
          <w:szCs w:val="22"/>
        </w:rPr>
        <w:t>the recovery of any articles which have not been released from seizure by the Commissioner in terms of paragraph (</w:t>
      </w:r>
      <w:r w:rsidRPr="009165C8">
        <w:rPr>
          <w:i/>
          <w:iCs/>
          <w:sz w:val="22"/>
          <w:szCs w:val="22"/>
        </w:rPr>
        <w:t>a</w:t>
      </w:r>
      <w:r w:rsidRPr="009165C8">
        <w:rPr>
          <w:sz w:val="22"/>
          <w:szCs w:val="22"/>
        </w:rPr>
        <w:t xml:space="preserve">) of subsection (6); or </w:t>
      </w:r>
    </w:p>
    <w:p w14:paraId="3189E178" w14:textId="77777777" w:rsidR="00AB771A" w:rsidRPr="009165C8" w:rsidRDefault="00AB771A" w:rsidP="00401C6A">
      <w:pPr>
        <w:pStyle w:val="Default"/>
        <w:numPr>
          <w:ilvl w:val="0"/>
          <w:numId w:val="2"/>
        </w:numPr>
        <w:jc w:val="both"/>
        <w:rPr>
          <w:sz w:val="22"/>
          <w:szCs w:val="22"/>
        </w:rPr>
      </w:pPr>
      <w:r w:rsidRPr="009165C8">
        <w:rPr>
          <w:sz w:val="22"/>
          <w:szCs w:val="22"/>
        </w:rPr>
        <w:t xml:space="preserve">the payment of compensation by the Commissioner in respect of any articles which have been dealt with in terms of the proviso to subsection (6); </w:t>
      </w:r>
    </w:p>
    <w:p w14:paraId="119B8087" w14:textId="77777777" w:rsidR="00AB771A" w:rsidRPr="009165C8" w:rsidRDefault="00AB771A" w:rsidP="00401C6A">
      <w:pPr>
        <w:pStyle w:val="Default"/>
        <w:ind w:left="720"/>
        <w:jc w:val="both"/>
        <w:rPr>
          <w:color w:val="auto"/>
          <w:sz w:val="22"/>
          <w:szCs w:val="22"/>
        </w:rPr>
      </w:pPr>
    </w:p>
    <w:p w14:paraId="159E7CE8" w14:textId="77777777" w:rsidR="00AB771A" w:rsidRPr="009165C8" w:rsidRDefault="00AB771A" w:rsidP="00401C6A">
      <w:pPr>
        <w:spacing w:line="240" w:lineRule="auto"/>
        <w:ind w:left="720"/>
        <w:jc w:val="both"/>
        <w:rPr>
          <w:rFonts w:ascii="Times New Roman" w:hAnsi="Times New Roman" w:cs="Times New Roman"/>
        </w:rPr>
      </w:pPr>
      <w:r w:rsidRPr="009165C8">
        <w:rPr>
          <w:rFonts w:ascii="Times New Roman" w:hAnsi="Times New Roman" w:cs="Times New Roman"/>
        </w:rPr>
        <w:t>within three months of the notice being given or published in terms of subsection (11), after which period no such proceedings may be instituted.”</w:t>
      </w:r>
    </w:p>
    <w:p w14:paraId="7C2A9D28" w14:textId="1B9A6C14" w:rsidR="00F02A20" w:rsidRPr="00CE6E87" w:rsidRDefault="009165C8" w:rsidP="00401C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E4BB4" w:rsidRPr="00CE6E87">
        <w:rPr>
          <w:rFonts w:ascii="Times New Roman" w:hAnsi="Times New Roman" w:cs="Times New Roman"/>
          <w:sz w:val="24"/>
          <w:szCs w:val="24"/>
        </w:rPr>
        <w:t xml:space="preserve">The third stage </w:t>
      </w:r>
      <w:r w:rsidR="00F02A20" w:rsidRPr="00CE6E87">
        <w:rPr>
          <w:rFonts w:ascii="Times New Roman" w:hAnsi="Times New Roman" w:cs="Times New Roman"/>
          <w:sz w:val="24"/>
          <w:szCs w:val="24"/>
        </w:rPr>
        <w:t>is in s 196 which provides as follows; -</w:t>
      </w:r>
    </w:p>
    <w:p w14:paraId="09DBEF50" w14:textId="77777777" w:rsidR="00F02A20" w:rsidRPr="009165C8" w:rsidRDefault="00F02A20" w:rsidP="00401C6A">
      <w:pPr>
        <w:pStyle w:val="Default"/>
        <w:ind w:left="720"/>
        <w:jc w:val="both"/>
        <w:rPr>
          <w:sz w:val="22"/>
          <w:szCs w:val="22"/>
        </w:rPr>
      </w:pPr>
      <w:r w:rsidRPr="009165C8">
        <w:rPr>
          <w:sz w:val="22"/>
          <w:szCs w:val="22"/>
        </w:rPr>
        <w:t>“</w:t>
      </w:r>
      <w:r w:rsidRPr="009165C8">
        <w:rPr>
          <w:b/>
          <w:bCs/>
          <w:sz w:val="22"/>
          <w:szCs w:val="22"/>
        </w:rPr>
        <w:t xml:space="preserve">196 Notice of action to be given to officer </w:t>
      </w:r>
    </w:p>
    <w:p w14:paraId="55787334" w14:textId="77777777" w:rsidR="00F02A20" w:rsidRPr="009165C8" w:rsidRDefault="00F02A20" w:rsidP="00401C6A">
      <w:pPr>
        <w:pStyle w:val="Default"/>
        <w:ind w:left="720"/>
        <w:jc w:val="both"/>
        <w:rPr>
          <w:sz w:val="22"/>
          <w:szCs w:val="22"/>
        </w:rPr>
      </w:pPr>
      <w:r w:rsidRPr="009165C8">
        <w:rPr>
          <w:sz w:val="22"/>
          <w:szCs w:val="22"/>
        </w:rPr>
        <w:t>(1) No civil proceedings shall be instituted against the State, the Commissioner or an officer for anything done or omitted to be done by the Commissioner or an officer under this Act or any other law relating to customs and excise until sixty days after notice has been given in terms of the State Liabilities Act [</w:t>
      </w:r>
      <w:r w:rsidRPr="009165C8">
        <w:rPr>
          <w:i/>
          <w:iCs/>
          <w:sz w:val="22"/>
          <w:szCs w:val="22"/>
        </w:rPr>
        <w:t>Chapter 8:15</w:t>
      </w:r>
      <w:r w:rsidRPr="009165C8">
        <w:rPr>
          <w:sz w:val="22"/>
          <w:szCs w:val="22"/>
        </w:rPr>
        <w:t xml:space="preserve">]. </w:t>
      </w:r>
    </w:p>
    <w:p w14:paraId="08E87300" w14:textId="77777777" w:rsidR="00F02A20" w:rsidRPr="009165C8" w:rsidRDefault="00F02A20" w:rsidP="00401C6A">
      <w:pPr>
        <w:pStyle w:val="Default"/>
        <w:ind w:left="720"/>
        <w:jc w:val="both"/>
        <w:rPr>
          <w:sz w:val="22"/>
          <w:szCs w:val="22"/>
        </w:rPr>
      </w:pPr>
      <w:r w:rsidRPr="009165C8">
        <w:rPr>
          <w:sz w:val="22"/>
          <w:szCs w:val="22"/>
        </w:rPr>
        <w:t xml:space="preserve"> </w:t>
      </w:r>
    </w:p>
    <w:p w14:paraId="58908A0F" w14:textId="7AD73686" w:rsidR="00F02A20" w:rsidRPr="009165C8" w:rsidRDefault="00F02A20" w:rsidP="00401C6A">
      <w:pPr>
        <w:spacing w:line="240" w:lineRule="auto"/>
        <w:ind w:left="720"/>
        <w:jc w:val="both"/>
        <w:rPr>
          <w:rFonts w:ascii="Times New Roman" w:hAnsi="Times New Roman" w:cs="Times New Roman"/>
        </w:rPr>
      </w:pPr>
      <w:r w:rsidRPr="009165C8">
        <w:rPr>
          <w:rFonts w:ascii="Times New Roman" w:hAnsi="Times New Roman" w:cs="Times New Roman"/>
        </w:rPr>
        <w:t xml:space="preserve">(2) Subject to subsection (12) of section </w:t>
      </w:r>
      <w:r w:rsidRPr="009165C8">
        <w:rPr>
          <w:rFonts w:ascii="Times New Roman" w:hAnsi="Times New Roman" w:cs="Times New Roman"/>
          <w:i/>
          <w:iCs/>
        </w:rPr>
        <w:t>one hundred and ninety-three</w:t>
      </w:r>
      <w:r w:rsidRPr="009165C8">
        <w:rPr>
          <w:rFonts w:ascii="Times New Roman" w:hAnsi="Times New Roman" w:cs="Times New Roman"/>
        </w:rPr>
        <w:t>, any pr</w:t>
      </w:r>
      <w:r w:rsidR="00DC3C54" w:rsidRPr="009165C8">
        <w:rPr>
          <w:rFonts w:ascii="Times New Roman" w:hAnsi="Times New Roman" w:cs="Times New Roman"/>
        </w:rPr>
        <w:t>oceedings referred to in subsec</w:t>
      </w:r>
      <w:r w:rsidRPr="009165C8">
        <w:rPr>
          <w:rFonts w:ascii="Times New Roman" w:hAnsi="Times New Roman" w:cs="Times New Roman"/>
        </w:rPr>
        <w:t xml:space="preserve">tion (1) shall be brought within eight months after the cause thereof arose, and if the </w:t>
      </w:r>
      <w:r w:rsidRPr="009165C8">
        <w:rPr>
          <w:rFonts w:ascii="Times New Roman" w:hAnsi="Times New Roman" w:cs="Times New Roman"/>
        </w:rPr>
        <w:lastRenderedPageBreak/>
        <w:t>plaintiff discontinues the action or if judgment is given against him, the defendant shall receive as costs full indemnity for all expenses incurred by him in or in respect of the action and shall have such remedy for the same as any defendant has in other cases where costs are given by law.”</w:t>
      </w:r>
    </w:p>
    <w:p w14:paraId="3C0D5118" w14:textId="5AA5864D" w:rsidR="002D3857" w:rsidRPr="00CE6E87" w:rsidRDefault="009165C8" w:rsidP="00401C6A">
      <w:pPr>
        <w:pStyle w:val="Default"/>
        <w:spacing w:line="360" w:lineRule="auto"/>
        <w:jc w:val="both"/>
      </w:pPr>
      <w:r>
        <w:tab/>
      </w:r>
      <w:r w:rsidR="002D3857" w:rsidRPr="00CE6E87">
        <w:t>What is interesting is the definition of “</w:t>
      </w:r>
      <w:r w:rsidR="00AB771A" w:rsidRPr="00CE6E87">
        <w:t>Commissioner”</w:t>
      </w:r>
      <w:r w:rsidR="002D3857" w:rsidRPr="00CE6E87">
        <w:t xml:space="preserve"> in the interpretation section</w:t>
      </w:r>
      <w:r>
        <w:t>, s</w:t>
      </w:r>
      <w:r w:rsidR="002D3857" w:rsidRPr="00CE6E87">
        <w:t xml:space="preserve"> 2 of the Act. The interpretation is; -</w:t>
      </w:r>
    </w:p>
    <w:p w14:paraId="65ECD1EB" w14:textId="77777777" w:rsidR="002D3857" w:rsidRPr="00CE6E87" w:rsidRDefault="002D3857" w:rsidP="00401C6A">
      <w:pPr>
        <w:pStyle w:val="Default"/>
        <w:spacing w:line="360" w:lineRule="auto"/>
        <w:jc w:val="both"/>
      </w:pPr>
    </w:p>
    <w:p w14:paraId="493E1A28" w14:textId="77777777" w:rsidR="002D3857" w:rsidRPr="009165C8" w:rsidRDefault="002D3857" w:rsidP="00401C6A">
      <w:pPr>
        <w:pStyle w:val="Default"/>
        <w:ind w:left="720"/>
        <w:jc w:val="both"/>
        <w:rPr>
          <w:sz w:val="22"/>
          <w:szCs w:val="22"/>
        </w:rPr>
      </w:pPr>
      <w:r w:rsidRPr="009165C8">
        <w:rPr>
          <w:sz w:val="22"/>
          <w:szCs w:val="22"/>
        </w:rPr>
        <w:t xml:space="preserve">“ Commissioner” means— </w:t>
      </w:r>
    </w:p>
    <w:p w14:paraId="6E7E5F0C" w14:textId="77777777" w:rsidR="002D3857" w:rsidRPr="009165C8" w:rsidRDefault="002D3857" w:rsidP="00401C6A">
      <w:pPr>
        <w:pStyle w:val="Default"/>
        <w:ind w:left="720"/>
        <w:jc w:val="both"/>
        <w:rPr>
          <w:sz w:val="22"/>
          <w:szCs w:val="22"/>
        </w:rPr>
      </w:pPr>
      <w:r w:rsidRPr="009165C8">
        <w:rPr>
          <w:sz w:val="22"/>
          <w:szCs w:val="22"/>
        </w:rPr>
        <w:t>(</w:t>
      </w:r>
      <w:r w:rsidRPr="009165C8">
        <w:rPr>
          <w:i/>
          <w:iCs/>
          <w:sz w:val="22"/>
          <w:szCs w:val="22"/>
        </w:rPr>
        <w:t>a</w:t>
      </w:r>
      <w:r w:rsidRPr="009165C8">
        <w:rPr>
          <w:sz w:val="22"/>
          <w:szCs w:val="22"/>
        </w:rPr>
        <w:t>) the Commissioner in charge of the department of the Zimbabwe Revenue Authority which is de-clared in terms of the Revenue Authority Act [</w:t>
      </w:r>
      <w:r w:rsidRPr="009165C8">
        <w:rPr>
          <w:i/>
          <w:iCs/>
          <w:sz w:val="22"/>
          <w:szCs w:val="22"/>
        </w:rPr>
        <w:t>Chapter 23:11</w:t>
      </w:r>
      <w:r w:rsidRPr="009165C8">
        <w:rPr>
          <w:sz w:val="22"/>
          <w:szCs w:val="22"/>
        </w:rPr>
        <w:t xml:space="preserve">] to be responsible for assessing, collecting and enforcing the payment of duties in terms of this Act; or </w:t>
      </w:r>
    </w:p>
    <w:p w14:paraId="01114C7E" w14:textId="77777777" w:rsidR="00AB771A" w:rsidRPr="009165C8" w:rsidRDefault="002D3857" w:rsidP="00401C6A">
      <w:pPr>
        <w:spacing w:line="240" w:lineRule="auto"/>
        <w:ind w:left="720"/>
        <w:jc w:val="both"/>
        <w:rPr>
          <w:rFonts w:ascii="Times New Roman" w:hAnsi="Times New Roman" w:cs="Times New Roman"/>
        </w:rPr>
      </w:pPr>
      <w:r w:rsidRPr="009165C8">
        <w:rPr>
          <w:rFonts w:ascii="Times New Roman" w:hAnsi="Times New Roman" w:cs="Times New Roman"/>
        </w:rPr>
        <w:t>(</w:t>
      </w:r>
      <w:r w:rsidRPr="009165C8">
        <w:rPr>
          <w:rFonts w:ascii="Times New Roman" w:hAnsi="Times New Roman" w:cs="Times New Roman"/>
          <w:i/>
          <w:iCs/>
        </w:rPr>
        <w:t>b</w:t>
      </w:r>
      <w:r w:rsidRPr="009165C8">
        <w:rPr>
          <w:rFonts w:ascii="Times New Roman" w:hAnsi="Times New Roman" w:cs="Times New Roman"/>
        </w:rPr>
        <w:t>) the Commissioner-General of the Zimbabwe Revenue Authority, in relation to any function which he has been authorised under the Revenue Authority Act [</w:t>
      </w:r>
      <w:r w:rsidRPr="009165C8">
        <w:rPr>
          <w:rFonts w:ascii="Times New Roman" w:hAnsi="Times New Roman" w:cs="Times New Roman"/>
          <w:i/>
          <w:iCs/>
        </w:rPr>
        <w:t>Chapter 23:11</w:t>
      </w:r>
      <w:r w:rsidRPr="009165C8">
        <w:rPr>
          <w:rFonts w:ascii="Times New Roman" w:hAnsi="Times New Roman" w:cs="Times New Roman"/>
        </w:rPr>
        <w:t>] to exercise;”</w:t>
      </w:r>
    </w:p>
    <w:p w14:paraId="0FB03E71" w14:textId="44BE10F1" w:rsidR="00C6246A" w:rsidRPr="00CE6E87" w:rsidRDefault="009165C8" w:rsidP="00401C6A">
      <w:pPr>
        <w:pStyle w:val="BodyText2"/>
        <w:spacing w:line="360" w:lineRule="auto"/>
        <w:rPr>
          <w:rFonts w:ascii="Times New Roman" w:hAnsi="Times New Roman"/>
          <w:szCs w:val="24"/>
        </w:rPr>
      </w:pPr>
      <w:r>
        <w:rPr>
          <w:rFonts w:ascii="Times New Roman" w:hAnsi="Times New Roman"/>
          <w:szCs w:val="24"/>
        </w:rPr>
        <w:tab/>
      </w:r>
      <w:r w:rsidR="00AD5EB6" w:rsidRPr="00CE6E87">
        <w:rPr>
          <w:rFonts w:ascii="Times New Roman" w:hAnsi="Times New Roman"/>
          <w:szCs w:val="24"/>
        </w:rPr>
        <w:t>The Commissioner General is appointed in terms of s 19 of the Revenue Authority Act [</w:t>
      </w:r>
      <w:r w:rsidR="00AD5EB6" w:rsidRPr="009165C8">
        <w:rPr>
          <w:rFonts w:ascii="Times New Roman" w:hAnsi="Times New Roman"/>
          <w:i/>
          <w:szCs w:val="24"/>
        </w:rPr>
        <w:t>Chapter 23:11</w:t>
      </w:r>
      <w:r w:rsidR="00AD5EB6" w:rsidRPr="00CE6E87">
        <w:rPr>
          <w:rFonts w:ascii="Times New Roman" w:hAnsi="Times New Roman"/>
          <w:szCs w:val="24"/>
        </w:rPr>
        <w:t xml:space="preserve">]. </w:t>
      </w:r>
      <w:r>
        <w:rPr>
          <w:rFonts w:ascii="Times New Roman" w:hAnsi="Times New Roman"/>
          <w:szCs w:val="24"/>
        </w:rPr>
        <w:t xml:space="preserve"> </w:t>
      </w:r>
      <w:r w:rsidR="00AD5EB6" w:rsidRPr="00CE6E87">
        <w:rPr>
          <w:rFonts w:ascii="Times New Roman" w:hAnsi="Times New Roman"/>
          <w:szCs w:val="24"/>
        </w:rPr>
        <w:t xml:space="preserve">He has supervisory authority over Commissioners of </w:t>
      </w:r>
      <w:r w:rsidR="00C6246A" w:rsidRPr="00CE6E87">
        <w:rPr>
          <w:rFonts w:ascii="Times New Roman" w:hAnsi="Times New Roman"/>
          <w:szCs w:val="24"/>
        </w:rPr>
        <w:t xml:space="preserve">the departments of the Appellant. </w:t>
      </w:r>
      <w:r w:rsidR="00DC3C54">
        <w:rPr>
          <w:rFonts w:ascii="Times New Roman" w:hAnsi="Times New Roman"/>
          <w:szCs w:val="24"/>
        </w:rPr>
        <w:t>It appears</w:t>
      </w:r>
      <w:r w:rsidR="00F02A20" w:rsidRPr="00CE6E87">
        <w:rPr>
          <w:rFonts w:ascii="Times New Roman" w:hAnsi="Times New Roman"/>
          <w:szCs w:val="24"/>
        </w:rPr>
        <w:t xml:space="preserve"> that the “Commissioner” referred to in s</w:t>
      </w:r>
      <w:r>
        <w:rPr>
          <w:rFonts w:ascii="Times New Roman" w:hAnsi="Times New Roman"/>
          <w:szCs w:val="24"/>
        </w:rPr>
        <w:t xml:space="preserve"> </w:t>
      </w:r>
      <w:r w:rsidR="007A4F1A" w:rsidRPr="00CE6E87">
        <w:rPr>
          <w:rFonts w:ascii="Times New Roman" w:hAnsi="Times New Roman"/>
          <w:szCs w:val="24"/>
        </w:rPr>
        <w:t>196</w:t>
      </w:r>
      <w:r w:rsidR="00DC3C54">
        <w:rPr>
          <w:rFonts w:ascii="Times New Roman" w:hAnsi="Times New Roman"/>
          <w:szCs w:val="24"/>
        </w:rPr>
        <w:t xml:space="preserve"> of the Act</w:t>
      </w:r>
      <w:r w:rsidR="007A4F1A" w:rsidRPr="00CE6E87">
        <w:rPr>
          <w:rFonts w:ascii="Times New Roman" w:hAnsi="Times New Roman"/>
          <w:szCs w:val="24"/>
        </w:rPr>
        <w:t xml:space="preserve"> is</w:t>
      </w:r>
      <w:r w:rsidR="00F02A20" w:rsidRPr="00CE6E87">
        <w:rPr>
          <w:rFonts w:ascii="Times New Roman" w:hAnsi="Times New Roman"/>
          <w:szCs w:val="24"/>
        </w:rPr>
        <w:t xml:space="preserve"> the Commissioner General. </w:t>
      </w:r>
      <w:r w:rsidR="00DC3C54">
        <w:rPr>
          <w:rFonts w:ascii="Times New Roman" w:hAnsi="Times New Roman"/>
          <w:szCs w:val="24"/>
        </w:rPr>
        <w:t>This is</w:t>
      </w:r>
      <w:r w:rsidR="00F02A20" w:rsidRPr="00CE6E87">
        <w:rPr>
          <w:rFonts w:ascii="Times New Roman" w:hAnsi="Times New Roman"/>
          <w:szCs w:val="24"/>
        </w:rPr>
        <w:t xml:space="preserve"> because Appellant’s opposing affidavit in the lower court ou</w:t>
      </w:r>
      <w:r w:rsidR="00401C6A">
        <w:rPr>
          <w:rFonts w:ascii="Times New Roman" w:hAnsi="Times New Roman"/>
          <w:szCs w:val="24"/>
        </w:rPr>
        <w:t>tlined the various stages that r</w:t>
      </w:r>
      <w:r w:rsidR="00F02A20" w:rsidRPr="00CE6E87">
        <w:rPr>
          <w:rFonts w:ascii="Times New Roman" w:hAnsi="Times New Roman"/>
          <w:szCs w:val="24"/>
        </w:rPr>
        <w:t>espondent went through seeking internal remedies. In para</w:t>
      </w:r>
      <w:r w:rsidR="00401C6A">
        <w:rPr>
          <w:rFonts w:ascii="Times New Roman" w:hAnsi="Times New Roman"/>
          <w:szCs w:val="24"/>
        </w:rPr>
        <w:t>(</w:t>
      </w:r>
      <w:r w:rsidR="00F02A20" w:rsidRPr="00CE6E87">
        <w:rPr>
          <w:rFonts w:ascii="Times New Roman" w:hAnsi="Times New Roman"/>
          <w:szCs w:val="24"/>
        </w:rPr>
        <w:t>s</w:t>
      </w:r>
      <w:r w:rsidR="00401C6A">
        <w:rPr>
          <w:rFonts w:ascii="Times New Roman" w:hAnsi="Times New Roman"/>
          <w:szCs w:val="24"/>
        </w:rPr>
        <w:t>)</w:t>
      </w:r>
      <w:r w:rsidR="00F02A20" w:rsidRPr="00CE6E87">
        <w:rPr>
          <w:rFonts w:ascii="Times New Roman" w:hAnsi="Times New Roman"/>
          <w:szCs w:val="24"/>
        </w:rPr>
        <w:t xml:space="preserve"> 12 to 16 of the opposing affidavit, the steps are given as from the Regional Manager to the Commissioner of Customs and Excise </w:t>
      </w:r>
      <w:r w:rsidR="00A11E10" w:rsidRPr="00CE6E87">
        <w:rPr>
          <w:rFonts w:ascii="Times New Roman" w:hAnsi="Times New Roman"/>
          <w:szCs w:val="24"/>
        </w:rPr>
        <w:t xml:space="preserve">and then to the Commissioner General. </w:t>
      </w:r>
      <w:r w:rsidR="00401C6A">
        <w:rPr>
          <w:rFonts w:ascii="Times New Roman" w:hAnsi="Times New Roman"/>
          <w:szCs w:val="24"/>
        </w:rPr>
        <w:t xml:space="preserve"> </w:t>
      </w:r>
      <w:r w:rsidR="007A4F1A" w:rsidRPr="00CE6E87">
        <w:rPr>
          <w:rFonts w:ascii="Times New Roman" w:hAnsi="Times New Roman"/>
          <w:szCs w:val="24"/>
        </w:rPr>
        <w:t xml:space="preserve">It is trite that where domestic remedies are capable of providing effective redress, a litigant should exhaust the domestic remedies before approaching the court unless there is a good reason for not doing so. </w:t>
      </w:r>
      <w:r w:rsidR="00401C6A">
        <w:rPr>
          <w:rFonts w:ascii="Times New Roman" w:hAnsi="Times New Roman"/>
          <w:szCs w:val="24"/>
        </w:rPr>
        <w:t xml:space="preserve"> </w:t>
      </w:r>
      <w:r w:rsidR="00C6246A" w:rsidRPr="00CE6E87">
        <w:rPr>
          <w:rFonts w:ascii="Times New Roman" w:hAnsi="Times New Roman"/>
          <w:szCs w:val="24"/>
        </w:rPr>
        <w:t>It therefore follows that before an owner of goods that have been seized approaches the court seeking an order to compel the release of such goods, there must be a decision of the Commissioner General and that such decision ought to have been obtained within three months of the notice of seizure.</w:t>
      </w:r>
      <w:r w:rsidR="00F84727" w:rsidRPr="00CE6E87">
        <w:rPr>
          <w:rFonts w:ascii="Times New Roman" w:hAnsi="Times New Roman"/>
          <w:szCs w:val="24"/>
        </w:rPr>
        <w:t xml:space="preserve"> The lower court’s finding on prescription can therefore not be impugned.</w:t>
      </w:r>
    </w:p>
    <w:p w14:paraId="0AB05063" w14:textId="50814625" w:rsidR="00A125CE" w:rsidRPr="00CE6E87" w:rsidRDefault="00401C6A" w:rsidP="00401C6A">
      <w:pPr>
        <w:pStyle w:val="BodyText2"/>
        <w:spacing w:line="360" w:lineRule="auto"/>
        <w:rPr>
          <w:rFonts w:ascii="Times New Roman" w:hAnsi="Times New Roman"/>
          <w:szCs w:val="24"/>
        </w:rPr>
      </w:pPr>
      <w:r>
        <w:rPr>
          <w:rFonts w:ascii="Times New Roman" w:hAnsi="Times New Roman"/>
          <w:szCs w:val="24"/>
        </w:rPr>
        <w:tab/>
      </w:r>
      <w:r w:rsidR="00F84727" w:rsidRPr="00CE6E87">
        <w:rPr>
          <w:rFonts w:ascii="Times New Roman" w:hAnsi="Times New Roman"/>
          <w:szCs w:val="24"/>
        </w:rPr>
        <w:t>In any event, as argu</w:t>
      </w:r>
      <w:r>
        <w:rPr>
          <w:rFonts w:ascii="Times New Roman" w:hAnsi="Times New Roman"/>
          <w:szCs w:val="24"/>
        </w:rPr>
        <w:t>ed for r</w:t>
      </w:r>
      <w:r w:rsidR="00F84727" w:rsidRPr="00CE6E87">
        <w:rPr>
          <w:rFonts w:ascii="Times New Roman" w:hAnsi="Times New Roman"/>
          <w:szCs w:val="24"/>
        </w:rPr>
        <w:t>espondent, s</w:t>
      </w:r>
      <w:r>
        <w:rPr>
          <w:rFonts w:ascii="Times New Roman" w:hAnsi="Times New Roman"/>
          <w:szCs w:val="24"/>
        </w:rPr>
        <w:t xml:space="preserve"> </w:t>
      </w:r>
      <w:r w:rsidR="00F84727" w:rsidRPr="00CE6E87">
        <w:rPr>
          <w:rFonts w:ascii="Times New Roman" w:hAnsi="Times New Roman"/>
          <w:szCs w:val="24"/>
        </w:rPr>
        <w:t>193(12)</w:t>
      </w:r>
      <w:r w:rsidR="006B2E0A" w:rsidRPr="00CE6E87">
        <w:rPr>
          <w:rFonts w:ascii="Times New Roman" w:hAnsi="Times New Roman"/>
          <w:szCs w:val="24"/>
        </w:rPr>
        <w:t xml:space="preserve"> </w:t>
      </w:r>
      <w:r w:rsidR="00153863">
        <w:rPr>
          <w:rFonts w:ascii="Times New Roman" w:hAnsi="Times New Roman"/>
          <w:szCs w:val="24"/>
        </w:rPr>
        <w:t xml:space="preserve">of the Act </w:t>
      </w:r>
      <w:r w:rsidR="006B2E0A" w:rsidRPr="00CE6E87">
        <w:rPr>
          <w:rFonts w:ascii="Times New Roman" w:hAnsi="Times New Roman"/>
          <w:szCs w:val="24"/>
        </w:rPr>
        <w:t>refers to proceedings in general and</w:t>
      </w:r>
      <w:r w:rsidR="00F84727" w:rsidRPr="00CE6E87">
        <w:rPr>
          <w:rFonts w:ascii="Times New Roman" w:hAnsi="Times New Roman"/>
          <w:szCs w:val="24"/>
        </w:rPr>
        <w:t xml:space="preserve"> uses the word “may” whilst in section 196</w:t>
      </w:r>
      <w:r w:rsidR="00153863">
        <w:rPr>
          <w:rFonts w:ascii="Times New Roman" w:hAnsi="Times New Roman"/>
          <w:szCs w:val="24"/>
        </w:rPr>
        <w:t xml:space="preserve"> of the Act</w:t>
      </w:r>
      <w:r w:rsidR="00F84727" w:rsidRPr="00CE6E87">
        <w:rPr>
          <w:rFonts w:ascii="Times New Roman" w:hAnsi="Times New Roman"/>
          <w:szCs w:val="24"/>
        </w:rPr>
        <w:t xml:space="preserve"> </w:t>
      </w:r>
      <w:r w:rsidR="006B2E0A" w:rsidRPr="00CE6E87">
        <w:rPr>
          <w:rFonts w:ascii="Times New Roman" w:hAnsi="Times New Roman"/>
          <w:szCs w:val="24"/>
        </w:rPr>
        <w:t xml:space="preserve">reference is made to civil proceedings and </w:t>
      </w:r>
      <w:r w:rsidR="00F84727" w:rsidRPr="00CE6E87">
        <w:rPr>
          <w:rFonts w:ascii="Times New Roman" w:hAnsi="Times New Roman"/>
          <w:szCs w:val="24"/>
        </w:rPr>
        <w:t>the word “shall” is used. T</w:t>
      </w:r>
      <w:r w:rsidR="00A125CE" w:rsidRPr="00CE6E87">
        <w:rPr>
          <w:rFonts w:ascii="Times New Roman" w:hAnsi="Times New Roman"/>
          <w:szCs w:val="24"/>
        </w:rPr>
        <w:t xml:space="preserve">he maxim </w:t>
      </w:r>
      <w:r w:rsidR="00A125CE" w:rsidRPr="00CE6E87">
        <w:rPr>
          <w:rFonts w:ascii="Times New Roman" w:hAnsi="Times New Roman"/>
          <w:i/>
          <w:szCs w:val="24"/>
        </w:rPr>
        <w:t>generalia specialibus non derogant</w:t>
      </w:r>
      <w:r w:rsidR="00A125CE" w:rsidRPr="00CE6E87">
        <w:rPr>
          <w:rFonts w:ascii="Times New Roman" w:hAnsi="Times New Roman"/>
          <w:szCs w:val="24"/>
        </w:rPr>
        <w:t xml:space="preserve"> </w:t>
      </w:r>
      <w:r w:rsidR="00F84727" w:rsidRPr="00CE6E87">
        <w:rPr>
          <w:rFonts w:ascii="Times New Roman" w:hAnsi="Times New Roman"/>
          <w:szCs w:val="24"/>
        </w:rPr>
        <w:t xml:space="preserve">therefore </w:t>
      </w:r>
      <w:r w:rsidR="00A125CE" w:rsidRPr="00CE6E87">
        <w:rPr>
          <w:rFonts w:ascii="Times New Roman" w:hAnsi="Times New Roman"/>
          <w:szCs w:val="24"/>
        </w:rPr>
        <w:t>applies.   The maxim means that general provisions do not derogate from special provisions</w:t>
      </w:r>
      <w:r w:rsidR="00F84727" w:rsidRPr="00CE6E87">
        <w:rPr>
          <w:rFonts w:ascii="Times New Roman" w:hAnsi="Times New Roman"/>
          <w:szCs w:val="24"/>
        </w:rPr>
        <w:t xml:space="preserve">. In the case of </w:t>
      </w:r>
      <w:r w:rsidR="00F84727" w:rsidRPr="00401C6A">
        <w:rPr>
          <w:rFonts w:ascii="Times New Roman" w:hAnsi="Times New Roman"/>
          <w:i/>
          <w:szCs w:val="24"/>
        </w:rPr>
        <w:t>R</w:t>
      </w:r>
      <w:r w:rsidR="00A125CE" w:rsidRPr="00401C6A">
        <w:rPr>
          <w:rFonts w:ascii="Times New Roman" w:hAnsi="Times New Roman"/>
          <w:i/>
          <w:szCs w:val="24"/>
        </w:rPr>
        <w:t xml:space="preserve"> </w:t>
      </w:r>
      <w:r w:rsidR="00A125CE" w:rsidRPr="00401C6A">
        <w:rPr>
          <w:rFonts w:ascii="Times New Roman" w:hAnsi="Times New Roman"/>
          <w:szCs w:val="24"/>
        </w:rPr>
        <w:t>v</w:t>
      </w:r>
      <w:r w:rsidR="00A125CE" w:rsidRPr="00401C6A">
        <w:rPr>
          <w:rFonts w:ascii="Times New Roman" w:hAnsi="Times New Roman"/>
          <w:i/>
          <w:szCs w:val="24"/>
        </w:rPr>
        <w:t xml:space="preserve"> Gwantshu</w:t>
      </w:r>
      <w:r w:rsidR="00A125CE" w:rsidRPr="00CE6E87">
        <w:rPr>
          <w:rFonts w:ascii="Times New Roman" w:hAnsi="Times New Roman"/>
          <w:b/>
          <w:szCs w:val="24"/>
        </w:rPr>
        <w:t xml:space="preserve"> 1</w:t>
      </w:r>
      <w:r w:rsidR="00F84727" w:rsidRPr="00CE6E87">
        <w:rPr>
          <w:rFonts w:ascii="Times New Roman" w:hAnsi="Times New Roman"/>
          <w:szCs w:val="24"/>
        </w:rPr>
        <w:t>931 EDL 29, a</w:t>
      </w:r>
      <w:r w:rsidR="00A125CE" w:rsidRPr="00CE6E87">
        <w:rPr>
          <w:rFonts w:ascii="Times New Roman" w:hAnsi="Times New Roman"/>
          <w:szCs w:val="24"/>
        </w:rPr>
        <w:t xml:space="preserve">t 31 </w:t>
      </w:r>
      <w:r w:rsidRPr="00401C6A">
        <w:rPr>
          <w:rFonts w:ascii="Times New Roman" w:hAnsi="Times New Roman"/>
          <w:smallCaps/>
          <w:szCs w:val="24"/>
        </w:rPr>
        <w:t>gutsche</w:t>
      </w:r>
      <w:r w:rsidRPr="00CE6E87">
        <w:rPr>
          <w:rFonts w:ascii="Times New Roman" w:hAnsi="Times New Roman"/>
          <w:szCs w:val="24"/>
        </w:rPr>
        <w:t> </w:t>
      </w:r>
      <w:r w:rsidR="00A125CE" w:rsidRPr="00CE6E87">
        <w:rPr>
          <w:rFonts w:ascii="Times New Roman" w:hAnsi="Times New Roman"/>
          <w:szCs w:val="24"/>
        </w:rPr>
        <w:t>J said the following:</w:t>
      </w:r>
    </w:p>
    <w:p w14:paraId="290891CD" w14:textId="77777777" w:rsidR="00A125CE" w:rsidRPr="00CE6E87" w:rsidRDefault="00A125CE" w:rsidP="00401C6A">
      <w:pPr>
        <w:pStyle w:val="BodyText2"/>
        <w:spacing w:line="360" w:lineRule="auto"/>
        <w:rPr>
          <w:rFonts w:ascii="Times New Roman" w:hAnsi="Times New Roman"/>
          <w:szCs w:val="24"/>
        </w:rPr>
      </w:pPr>
    </w:p>
    <w:p w14:paraId="48CE22EA" w14:textId="778F6591" w:rsidR="00A125CE" w:rsidRPr="00401C6A" w:rsidRDefault="00153863" w:rsidP="00401C6A">
      <w:pPr>
        <w:pStyle w:val="BodyText2"/>
        <w:spacing w:line="240" w:lineRule="auto"/>
        <w:ind w:left="720"/>
        <w:rPr>
          <w:rFonts w:ascii="Times New Roman" w:hAnsi="Times New Roman"/>
          <w:sz w:val="22"/>
          <w:szCs w:val="22"/>
        </w:rPr>
      </w:pPr>
      <w:r w:rsidRPr="00401C6A">
        <w:rPr>
          <w:rFonts w:ascii="Times New Roman" w:hAnsi="Times New Roman"/>
          <w:sz w:val="22"/>
          <w:szCs w:val="22"/>
        </w:rPr>
        <w:t>“</w:t>
      </w:r>
      <w:r w:rsidR="00A125CE" w:rsidRPr="00401C6A">
        <w:rPr>
          <w:rFonts w:ascii="Times New Roman" w:hAnsi="Times New Roman"/>
          <w:sz w:val="22"/>
          <w:szCs w:val="22"/>
        </w:rPr>
        <w:t xml:space="preserve">The general maxim is </w:t>
      </w:r>
      <w:r w:rsidR="00A125CE" w:rsidRPr="00401C6A">
        <w:rPr>
          <w:rFonts w:ascii="Times New Roman" w:hAnsi="Times New Roman"/>
          <w:i/>
          <w:sz w:val="22"/>
          <w:szCs w:val="22"/>
        </w:rPr>
        <w:t>generalia specialibus non derogant</w:t>
      </w:r>
      <w:r w:rsidR="00A125CE" w:rsidRPr="00401C6A">
        <w:rPr>
          <w:rFonts w:ascii="Times New Roman" w:hAnsi="Times New Roman"/>
          <w:sz w:val="22"/>
          <w:szCs w:val="22"/>
        </w:rPr>
        <w:t xml:space="preserve">.   ‘When the Legislature has given attention to a separate subject and made provision for it, the presumption is that a subsequent general enactment is not intended to interfere with the special provision, unless it manifests that </w:t>
      </w:r>
      <w:r w:rsidR="00A125CE" w:rsidRPr="00401C6A">
        <w:rPr>
          <w:rFonts w:ascii="Times New Roman" w:hAnsi="Times New Roman"/>
          <w:sz w:val="22"/>
          <w:szCs w:val="22"/>
        </w:rPr>
        <w:lastRenderedPageBreak/>
        <w:t xml:space="preserve">intention very clearly.   Each enactment must be construed in that respect according to its own subject matter and its own terms’, per LORD HOBHOUSE delivering the judgment of the Privy Council in </w:t>
      </w:r>
      <w:r w:rsidR="00A125CE" w:rsidRPr="00401C6A">
        <w:rPr>
          <w:rFonts w:ascii="Times New Roman" w:hAnsi="Times New Roman"/>
          <w:i/>
          <w:sz w:val="22"/>
          <w:szCs w:val="22"/>
        </w:rPr>
        <w:t>Barker v Edger</w:t>
      </w:r>
      <w:r w:rsidR="00A125CE" w:rsidRPr="00401C6A">
        <w:rPr>
          <w:rFonts w:ascii="Times New Roman" w:hAnsi="Times New Roman"/>
          <w:sz w:val="22"/>
          <w:szCs w:val="22"/>
        </w:rPr>
        <w:t xml:space="preserve"> [1898] AC at p 754. …   Having already given its attention to the particular subject and provided for it, the Legislature is reasonably presumed not to alter that special provision by a subsequent general enactment unless that intention be manifested in explicit language.”</w:t>
      </w:r>
    </w:p>
    <w:p w14:paraId="271E42C0" w14:textId="77777777" w:rsidR="00F84727" w:rsidRPr="00CE6E87" w:rsidRDefault="00F84727" w:rsidP="00401C6A">
      <w:pPr>
        <w:pStyle w:val="BodyText2"/>
        <w:spacing w:line="360" w:lineRule="auto"/>
        <w:ind w:left="720"/>
        <w:rPr>
          <w:rFonts w:ascii="Times New Roman" w:hAnsi="Times New Roman"/>
          <w:szCs w:val="24"/>
        </w:rPr>
      </w:pPr>
    </w:p>
    <w:p w14:paraId="4EF38E20" w14:textId="5B6FA2FE" w:rsidR="00A125CE" w:rsidRPr="00CE6E87" w:rsidRDefault="00401C6A" w:rsidP="00401C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53863">
        <w:rPr>
          <w:rFonts w:ascii="Times New Roman" w:hAnsi="Times New Roman" w:cs="Times New Roman"/>
          <w:sz w:val="24"/>
          <w:szCs w:val="24"/>
        </w:rPr>
        <w:t>T</w:t>
      </w:r>
      <w:r w:rsidR="00F84727" w:rsidRPr="00CE6E87">
        <w:rPr>
          <w:rFonts w:ascii="Times New Roman" w:hAnsi="Times New Roman" w:cs="Times New Roman"/>
          <w:sz w:val="24"/>
          <w:szCs w:val="24"/>
        </w:rPr>
        <w:t>he converse is true. Where the legislature has provided for a particular subject in general terms, if a specific provision is subsequently made, it must be presumed that the legislature intended to alter the general provision.</w:t>
      </w:r>
      <w:r w:rsidR="006B2E0A" w:rsidRPr="00CE6E87">
        <w:rPr>
          <w:rFonts w:ascii="Times New Roman" w:hAnsi="Times New Roman" w:cs="Times New Roman"/>
          <w:sz w:val="24"/>
          <w:szCs w:val="24"/>
        </w:rPr>
        <w:t xml:space="preserve"> The application before the lower court, being civil proceedings, ought therefore to be instituted within eight months as provided for in s 196 of the Act. </w:t>
      </w:r>
    </w:p>
    <w:p w14:paraId="70A03B50" w14:textId="77777777" w:rsidR="006B2E0A" w:rsidRPr="00CE6E87" w:rsidRDefault="006B2E0A" w:rsidP="00401C6A">
      <w:pPr>
        <w:spacing w:line="360" w:lineRule="auto"/>
        <w:jc w:val="both"/>
        <w:rPr>
          <w:rFonts w:ascii="Times New Roman" w:hAnsi="Times New Roman" w:cs="Times New Roman"/>
          <w:sz w:val="24"/>
          <w:szCs w:val="24"/>
        </w:rPr>
      </w:pPr>
      <w:r w:rsidRPr="00CE6E87">
        <w:rPr>
          <w:rFonts w:ascii="Times New Roman" w:hAnsi="Times New Roman" w:cs="Times New Roman"/>
          <w:sz w:val="24"/>
          <w:szCs w:val="24"/>
        </w:rPr>
        <w:t>There is no merit in the first ground of appeal.</w:t>
      </w:r>
    </w:p>
    <w:p w14:paraId="4E105629" w14:textId="77777777" w:rsidR="00D66035" w:rsidRPr="00CE6E87" w:rsidRDefault="00D66035" w:rsidP="00401C6A">
      <w:pPr>
        <w:spacing w:after="0" w:line="360" w:lineRule="auto"/>
        <w:jc w:val="both"/>
        <w:rPr>
          <w:rFonts w:ascii="Times New Roman" w:hAnsi="Times New Roman" w:cs="Times New Roman"/>
          <w:b/>
          <w:sz w:val="24"/>
          <w:szCs w:val="24"/>
        </w:rPr>
      </w:pPr>
      <w:r w:rsidRPr="00CE6E87">
        <w:rPr>
          <w:rFonts w:ascii="Times New Roman" w:hAnsi="Times New Roman" w:cs="Times New Roman"/>
          <w:b/>
          <w:sz w:val="24"/>
          <w:szCs w:val="24"/>
        </w:rPr>
        <w:t>Ground Two</w:t>
      </w:r>
    </w:p>
    <w:p w14:paraId="63C64486" w14:textId="365EFD13" w:rsidR="00AF1A12" w:rsidRPr="00CE6E87" w:rsidRDefault="00401C6A" w:rsidP="00401C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1A12" w:rsidRPr="00CE6E87">
        <w:rPr>
          <w:rFonts w:ascii="Times New Roman" w:hAnsi="Times New Roman" w:cs="Times New Roman"/>
          <w:sz w:val="24"/>
          <w:szCs w:val="24"/>
        </w:rPr>
        <w:t xml:space="preserve">The question is whether or not the court a quo was correct in finding that the notice of intention to sue given by the Respondent was adequate. </w:t>
      </w:r>
      <w:r>
        <w:rPr>
          <w:rFonts w:ascii="Times New Roman" w:hAnsi="Times New Roman" w:cs="Times New Roman"/>
          <w:sz w:val="24"/>
          <w:szCs w:val="24"/>
        </w:rPr>
        <w:t xml:space="preserve"> </w:t>
      </w:r>
      <w:r w:rsidR="00AF1A12" w:rsidRPr="00CE6E87">
        <w:rPr>
          <w:rFonts w:ascii="Times New Roman" w:hAnsi="Times New Roman" w:cs="Times New Roman"/>
          <w:sz w:val="24"/>
          <w:szCs w:val="24"/>
        </w:rPr>
        <w:t xml:space="preserve">The lower court observed that </w:t>
      </w:r>
      <w:r>
        <w:rPr>
          <w:rFonts w:ascii="Times New Roman" w:hAnsi="Times New Roman" w:cs="Times New Roman"/>
          <w:sz w:val="24"/>
          <w:szCs w:val="24"/>
        </w:rPr>
        <w:t>a</w:t>
      </w:r>
      <w:r w:rsidR="005A1991" w:rsidRPr="00CE6E87">
        <w:rPr>
          <w:rFonts w:ascii="Times New Roman" w:hAnsi="Times New Roman" w:cs="Times New Roman"/>
          <w:sz w:val="24"/>
          <w:szCs w:val="24"/>
        </w:rPr>
        <w:t>ppellant accepted that notice was given but argued that the notice was defective as it did not meet the requirements of s</w:t>
      </w:r>
      <w:r>
        <w:rPr>
          <w:rFonts w:ascii="Times New Roman" w:hAnsi="Times New Roman" w:cs="Times New Roman"/>
          <w:sz w:val="24"/>
          <w:szCs w:val="24"/>
        </w:rPr>
        <w:t xml:space="preserve"> </w:t>
      </w:r>
      <w:r w:rsidR="005A1991" w:rsidRPr="00CE6E87">
        <w:rPr>
          <w:rFonts w:ascii="Times New Roman" w:hAnsi="Times New Roman" w:cs="Times New Roman"/>
          <w:sz w:val="24"/>
          <w:szCs w:val="24"/>
        </w:rPr>
        <w:t>6(2) of the State Liabilities Act [</w:t>
      </w:r>
      <w:r w:rsidR="005A1991" w:rsidRPr="00401C6A">
        <w:rPr>
          <w:rFonts w:ascii="Times New Roman" w:hAnsi="Times New Roman" w:cs="Times New Roman"/>
          <w:i/>
          <w:sz w:val="24"/>
          <w:szCs w:val="24"/>
        </w:rPr>
        <w:t>Chapter 8:15</w:t>
      </w:r>
      <w:r w:rsidR="005A1991" w:rsidRPr="00CE6E87">
        <w:rPr>
          <w:rFonts w:ascii="Times New Roman" w:hAnsi="Times New Roman" w:cs="Times New Roman"/>
          <w:sz w:val="24"/>
          <w:szCs w:val="24"/>
        </w:rPr>
        <w:t>].</w:t>
      </w:r>
      <w:r w:rsidR="00153863">
        <w:rPr>
          <w:rFonts w:ascii="Times New Roman" w:hAnsi="Times New Roman" w:cs="Times New Roman"/>
          <w:sz w:val="24"/>
          <w:szCs w:val="24"/>
        </w:rPr>
        <w:t xml:space="preserve"> T</w:t>
      </w:r>
      <w:r>
        <w:rPr>
          <w:rFonts w:ascii="Times New Roman" w:hAnsi="Times New Roman" w:cs="Times New Roman"/>
          <w:sz w:val="24"/>
          <w:szCs w:val="24"/>
        </w:rPr>
        <w:t xml:space="preserve">he said section provides that; </w:t>
      </w:r>
    </w:p>
    <w:p w14:paraId="483FBC85" w14:textId="77777777" w:rsidR="005A1991" w:rsidRPr="00401C6A" w:rsidRDefault="005A1991" w:rsidP="00401C6A">
      <w:pPr>
        <w:autoSpaceDE w:val="0"/>
        <w:autoSpaceDN w:val="0"/>
        <w:adjustRightInd w:val="0"/>
        <w:spacing w:after="0" w:line="240" w:lineRule="auto"/>
        <w:ind w:left="720"/>
        <w:jc w:val="both"/>
        <w:rPr>
          <w:rFonts w:ascii="Times New Roman" w:hAnsi="Times New Roman" w:cs="Times New Roman"/>
        </w:rPr>
      </w:pPr>
      <w:r w:rsidRPr="00401C6A">
        <w:rPr>
          <w:rFonts w:ascii="Times New Roman" w:hAnsi="Times New Roman" w:cs="Times New Roman"/>
        </w:rPr>
        <w:t>“(2) A notice referred to in subsection (1)—</w:t>
      </w:r>
    </w:p>
    <w:p w14:paraId="50300D1D" w14:textId="77777777" w:rsidR="005A1991" w:rsidRPr="00401C6A" w:rsidRDefault="005A1991" w:rsidP="00401C6A">
      <w:pPr>
        <w:autoSpaceDE w:val="0"/>
        <w:autoSpaceDN w:val="0"/>
        <w:adjustRightInd w:val="0"/>
        <w:spacing w:after="0" w:line="240" w:lineRule="auto"/>
        <w:ind w:left="720"/>
        <w:jc w:val="both"/>
        <w:rPr>
          <w:rFonts w:ascii="Times New Roman" w:hAnsi="Times New Roman" w:cs="Times New Roman"/>
        </w:rPr>
      </w:pPr>
      <w:r w:rsidRPr="00401C6A">
        <w:rPr>
          <w:rFonts w:ascii="Times New Roman" w:hAnsi="Times New Roman" w:cs="Times New Roman"/>
        </w:rPr>
        <w:t>(</w:t>
      </w:r>
      <w:r w:rsidRPr="00401C6A">
        <w:rPr>
          <w:rFonts w:ascii="Times New Roman" w:hAnsi="Times New Roman" w:cs="Times New Roman"/>
          <w:i/>
          <w:iCs/>
        </w:rPr>
        <w:t>a</w:t>
      </w:r>
      <w:r w:rsidRPr="00401C6A">
        <w:rPr>
          <w:rFonts w:ascii="Times New Roman" w:hAnsi="Times New Roman" w:cs="Times New Roman"/>
        </w:rPr>
        <w:t>) shall be given to each person upon whom the process relating to the claim is required to be served; and</w:t>
      </w:r>
    </w:p>
    <w:p w14:paraId="5E73E05C" w14:textId="77777777" w:rsidR="005A1991" w:rsidRPr="00401C6A" w:rsidRDefault="005A1991" w:rsidP="00401C6A">
      <w:pPr>
        <w:autoSpaceDE w:val="0"/>
        <w:autoSpaceDN w:val="0"/>
        <w:adjustRightInd w:val="0"/>
        <w:spacing w:after="0" w:line="240" w:lineRule="auto"/>
        <w:ind w:left="720"/>
        <w:jc w:val="both"/>
        <w:rPr>
          <w:rFonts w:ascii="Times New Roman" w:hAnsi="Times New Roman" w:cs="Times New Roman"/>
        </w:rPr>
      </w:pPr>
      <w:r w:rsidRPr="00401C6A">
        <w:rPr>
          <w:rFonts w:ascii="Times New Roman" w:hAnsi="Times New Roman" w:cs="Times New Roman"/>
        </w:rPr>
        <w:t>(</w:t>
      </w:r>
      <w:r w:rsidRPr="00401C6A">
        <w:rPr>
          <w:rFonts w:ascii="Times New Roman" w:hAnsi="Times New Roman" w:cs="Times New Roman"/>
          <w:i/>
          <w:iCs/>
        </w:rPr>
        <w:t>b</w:t>
      </w:r>
      <w:r w:rsidRPr="00401C6A">
        <w:rPr>
          <w:rFonts w:ascii="Times New Roman" w:hAnsi="Times New Roman" w:cs="Times New Roman"/>
        </w:rPr>
        <w:t>) shall set out the grounds of the claim; and</w:t>
      </w:r>
    </w:p>
    <w:p w14:paraId="1E73068F" w14:textId="77777777" w:rsidR="005A1991" w:rsidRPr="00401C6A" w:rsidRDefault="005A1991" w:rsidP="00401C6A">
      <w:pPr>
        <w:autoSpaceDE w:val="0"/>
        <w:autoSpaceDN w:val="0"/>
        <w:adjustRightInd w:val="0"/>
        <w:spacing w:after="0" w:line="240" w:lineRule="auto"/>
        <w:ind w:left="720"/>
        <w:jc w:val="both"/>
        <w:rPr>
          <w:rFonts w:ascii="Times New Roman" w:hAnsi="Times New Roman" w:cs="Times New Roman"/>
        </w:rPr>
      </w:pPr>
      <w:r w:rsidRPr="00401C6A">
        <w:rPr>
          <w:rFonts w:ascii="Times New Roman" w:hAnsi="Times New Roman" w:cs="Times New Roman"/>
        </w:rPr>
        <w:t>(</w:t>
      </w:r>
      <w:r w:rsidRPr="00401C6A">
        <w:rPr>
          <w:rFonts w:ascii="Times New Roman" w:hAnsi="Times New Roman" w:cs="Times New Roman"/>
          <w:i/>
          <w:iCs/>
        </w:rPr>
        <w:t>c</w:t>
      </w:r>
      <w:r w:rsidRPr="00401C6A">
        <w:rPr>
          <w:rFonts w:ascii="Times New Roman" w:hAnsi="Times New Roman" w:cs="Times New Roman"/>
        </w:rPr>
        <w:t>) where the claim arises out of goods sold and delivered or services rendered, shall specify the date and place of the sale or rendering of the services and shall have attached copies of any relevant invoice and requisition, where available; and</w:t>
      </w:r>
    </w:p>
    <w:p w14:paraId="3DCF6D52" w14:textId="77777777" w:rsidR="005F6C9D" w:rsidRPr="00401C6A" w:rsidRDefault="005A1991" w:rsidP="00401C6A">
      <w:pPr>
        <w:autoSpaceDE w:val="0"/>
        <w:autoSpaceDN w:val="0"/>
        <w:adjustRightInd w:val="0"/>
        <w:spacing w:after="0" w:line="240" w:lineRule="auto"/>
        <w:ind w:left="720"/>
        <w:jc w:val="both"/>
        <w:rPr>
          <w:rFonts w:ascii="Times New Roman" w:hAnsi="Times New Roman" w:cs="Times New Roman"/>
        </w:rPr>
      </w:pPr>
      <w:r w:rsidRPr="00401C6A">
        <w:rPr>
          <w:rFonts w:ascii="Times New Roman" w:hAnsi="Times New Roman" w:cs="Times New Roman"/>
        </w:rPr>
        <w:t>(</w:t>
      </w:r>
      <w:r w:rsidRPr="00401C6A">
        <w:rPr>
          <w:rFonts w:ascii="Times New Roman" w:hAnsi="Times New Roman" w:cs="Times New Roman"/>
          <w:i/>
          <w:iCs/>
        </w:rPr>
        <w:t>d</w:t>
      </w:r>
      <w:r w:rsidRPr="00401C6A">
        <w:rPr>
          <w:rFonts w:ascii="Times New Roman" w:hAnsi="Times New Roman" w:cs="Times New Roman"/>
        </w:rPr>
        <w:t>) where the claim is against or in respect of an act or omission of any officer or employee of the State, shall specify the name and official post, rank or number and place of employment or station of the officer or employee, if known.”</w:t>
      </w:r>
    </w:p>
    <w:p w14:paraId="59A1C6AB" w14:textId="77777777" w:rsidR="005F6C9D" w:rsidRPr="00CE6E87" w:rsidRDefault="005F6C9D" w:rsidP="00401C6A">
      <w:pPr>
        <w:autoSpaceDE w:val="0"/>
        <w:autoSpaceDN w:val="0"/>
        <w:adjustRightInd w:val="0"/>
        <w:spacing w:after="0" w:line="360" w:lineRule="auto"/>
        <w:ind w:left="720"/>
        <w:jc w:val="both"/>
        <w:rPr>
          <w:rFonts w:ascii="Times New Roman" w:hAnsi="Times New Roman" w:cs="Times New Roman"/>
          <w:sz w:val="24"/>
          <w:szCs w:val="24"/>
        </w:rPr>
      </w:pPr>
    </w:p>
    <w:p w14:paraId="3058ADEB" w14:textId="240A865E" w:rsidR="005A1991" w:rsidRDefault="00401C6A" w:rsidP="00401C6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6C9D" w:rsidRPr="00CE6E87">
        <w:rPr>
          <w:rFonts w:ascii="Times New Roman" w:hAnsi="Times New Roman" w:cs="Times New Roman"/>
          <w:sz w:val="24"/>
          <w:szCs w:val="24"/>
        </w:rPr>
        <w:t xml:space="preserve">In  </w:t>
      </w:r>
      <w:r w:rsidR="005F6C9D" w:rsidRPr="00401C6A">
        <w:rPr>
          <w:rFonts w:ascii="Times New Roman" w:hAnsi="Times New Roman" w:cs="Times New Roman"/>
          <w:i/>
          <w:sz w:val="24"/>
          <w:szCs w:val="24"/>
        </w:rPr>
        <w:t xml:space="preserve">Machacha </w:t>
      </w:r>
      <w:r w:rsidR="005F6C9D" w:rsidRPr="00401C6A">
        <w:rPr>
          <w:rFonts w:ascii="Times New Roman" w:hAnsi="Times New Roman" w:cs="Times New Roman"/>
          <w:sz w:val="24"/>
          <w:szCs w:val="24"/>
        </w:rPr>
        <w:t xml:space="preserve">v </w:t>
      </w:r>
      <w:r w:rsidR="005F6C9D" w:rsidRPr="00401C6A">
        <w:rPr>
          <w:rFonts w:ascii="Times New Roman" w:hAnsi="Times New Roman" w:cs="Times New Roman"/>
          <w:i/>
          <w:sz w:val="24"/>
          <w:szCs w:val="24"/>
        </w:rPr>
        <w:t xml:space="preserve">Zimra </w:t>
      </w:r>
      <w:r w:rsidR="005F6C9D" w:rsidRPr="00CE6E87">
        <w:rPr>
          <w:rFonts w:ascii="Times New Roman" w:hAnsi="Times New Roman" w:cs="Times New Roman"/>
          <w:sz w:val="24"/>
          <w:szCs w:val="24"/>
        </w:rPr>
        <w:t>(</w:t>
      </w:r>
      <w:r w:rsidR="005F6C9D" w:rsidRPr="00401C6A">
        <w:rPr>
          <w:rFonts w:ascii="Times New Roman" w:hAnsi="Times New Roman" w:cs="Times New Roman"/>
          <w:i/>
          <w:sz w:val="24"/>
          <w:szCs w:val="24"/>
        </w:rPr>
        <w:t>supra</w:t>
      </w:r>
      <w:r w:rsidR="005F6C9D" w:rsidRPr="00CE6E87">
        <w:rPr>
          <w:rFonts w:ascii="Times New Roman" w:hAnsi="Times New Roman" w:cs="Times New Roman"/>
          <w:sz w:val="24"/>
          <w:szCs w:val="24"/>
        </w:rPr>
        <w:t xml:space="preserve">) the purpose for giving notice is </w:t>
      </w:r>
      <w:r w:rsidR="00153863">
        <w:rPr>
          <w:rFonts w:ascii="Times New Roman" w:hAnsi="Times New Roman" w:cs="Times New Roman"/>
          <w:sz w:val="24"/>
          <w:szCs w:val="24"/>
        </w:rPr>
        <w:t xml:space="preserve">stated as </w:t>
      </w:r>
      <w:r>
        <w:rPr>
          <w:rFonts w:ascii="Times New Roman" w:hAnsi="Times New Roman" w:cs="Times New Roman"/>
          <w:sz w:val="24"/>
          <w:szCs w:val="24"/>
        </w:rPr>
        <w:t>that a</w:t>
      </w:r>
      <w:r w:rsidR="005F6C9D" w:rsidRPr="00CE6E87">
        <w:rPr>
          <w:rFonts w:ascii="Times New Roman" w:hAnsi="Times New Roman" w:cs="Times New Roman"/>
          <w:sz w:val="24"/>
          <w:szCs w:val="24"/>
        </w:rPr>
        <w:t>ppellant be given timely opportunity to know and investigate the material facts upon which its actions are challenged. The letter on p</w:t>
      </w:r>
      <w:r>
        <w:rPr>
          <w:rFonts w:ascii="Times New Roman" w:hAnsi="Times New Roman" w:cs="Times New Roman"/>
          <w:sz w:val="24"/>
          <w:szCs w:val="24"/>
        </w:rPr>
        <w:t>p</w:t>
      </w:r>
      <w:r w:rsidR="005F6C9D" w:rsidRPr="00CE6E87">
        <w:rPr>
          <w:rFonts w:ascii="Times New Roman" w:hAnsi="Times New Roman" w:cs="Times New Roman"/>
          <w:sz w:val="24"/>
          <w:szCs w:val="24"/>
        </w:rPr>
        <w:t xml:space="preserve"> 81-83 cl</w:t>
      </w:r>
      <w:r>
        <w:rPr>
          <w:rFonts w:ascii="Times New Roman" w:hAnsi="Times New Roman" w:cs="Times New Roman"/>
          <w:sz w:val="24"/>
          <w:szCs w:val="24"/>
        </w:rPr>
        <w:t>early outlines the reasons why r</w:t>
      </w:r>
      <w:r w:rsidR="005F6C9D" w:rsidRPr="00CE6E87">
        <w:rPr>
          <w:rFonts w:ascii="Times New Roman" w:hAnsi="Times New Roman" w:cs="Times New Roman"/>
          <w:sz w:val="24"/>
          <w:szCs w:val="24"/>
        </w:rPr>
        <w:t xml:space="preserve">espondent sought the release of its truck. </w:t>
      </w:r>
      <w:r>
        <w:rPr>
          <w:rFonts w:ascii="Times New Roman" w:hAnsi="Times New Roman" w:cs="Times New Roman"/>
          <w:sz w:val="24"/>
          <w:szCs w:val="24"/>
        </w:rPr>
        <w:t xml:space="preserve"> </w:t>
      </w:r>
      <w:r w:rsidR="005F6C9D" w:rsidRPr="00CE6E87">
        <w:rPr>
          <w:rFonts w:ascii="Times New Roman" w:hAnsi="Times New Roman" w:cs="Times New Roman"/>
          <w:sz w:val="24"/>
          <w:szCs w:val="24"/>
        </w:rPr>
        <w:t>That there is no specific indication that these are the grounds of the claim is a matter of form</w:t>
      </w:r>
      <w:r w:rsidR="00DA0FD6" w:rsidRPr="00CE6E87">
        <w:rPr>
          <w:rFonts w:ascii="Times New Roman" w:hAnsi="Times New Roman" w:cs="Times New Roman"/>
          <w:sz w:val="24"/>
          <w:szCs w:val="24"/>
        </w:rPr>
        <w:t>.</w:t>
      </w:r>
      <w:r>
        <w:rPr>
          <w:rFonts w:ascii="Times New Roman" w:hAnsi="Times New Roman" w:cs="Times New Roman"/>
          <w:sz w:val="24"/>
          <w:szCs w:val="24"/>
        </w:rPr>
        <w:t xml:space="preserve"> </w:t>
      </w:r>
      <w:r w:rsidR="00DA0FD6" w:rsidRPr="00CE6E87">
        <w:rPr>
          <w:rFonts w:ascii="Times New Roman" w:hAnsi="Times New Roman" w:cs="Times New Roman"/>
          <w:sz w:val="24"/>
          <w:szCs w:val="24"/>
        </w:rPr>
        <w:t xml:space="preserve"> Appellant did not state that any prejudice resulted from the manner in which the notice</w:t>
      </w:r>
      <w:r>
        <w:rPr>
          <w:rFonts w:ascii="Times New Roman" w:hAnsi="Times New Roman" w:cs="Times New Roman"/>
          <w:sz w:val="24"/>
          <w:szCs w:val="24"/>
        </w:rPr>
        <w:t xml:space="preserve"> was couched.  As submitted for r</w:t>
      </w:r>
      <w:r w:rsidR="00DA0FD6" w:rsidRPr="00CE6E87">
        <w:rPr>
          <w:rFonts w:ascii="Times New Roman" w:hAnsi="Times New Roman" w:cs="Times New Roman"/>
          <w:sz w:val="24"/>
          <w:szCs w:val="24"/>
        </w:rPr>
        <w:t>espondent, where there is substantial complia</w:t>
      </w:r>
      <w:r>
        <w:rPr>
          <w:rFonts w:ascii="Times New Roman" w:hAnsi="Times New Roman" w:cs="Times New Roman"/>
          <w:sz w:val="24"/>
          <w:szCs w:val="24"/>
        </w:rPr>
        <w:t xml:space="preserve">nce, the court can condone as s </w:t>
      </w:r>
      <w:r w:rsidR="00DA0FD6" w:rsidRPr="00CE6E87">
        <w:rPr>
          <w:rFonts w:ascii="Times New Roman" w:hAnsi="Times New Roman" w:cs="Times New Roman"/>
          <w:sz w:val="24"/>
          <w:szCs w:val="24"/>
        </w:rPr>
        <w:t xml:space="preserve">6(3) of the State </w:t>
      </w:r>
      <w:r w:rsidR="00153863">
        <w:rPr>
          <w:rFonts w:ascii="Times New Roman" w:hAnsi="Times New Roman" w:cs="Times New Roman"/>
          <w:sz w:val="24"/>
          <w:szCs w:val="24"/>
        </w:rPr>
        <w:t>Liabilities Act [</w:t>
      </w:r>
      <w:r w:rsidR="00153863" w:rsidRPr="00401C6A">
        <w:rPr>
          <w:rFonts w:ascii="Times New Roman" w:hAnsi="Times New Roman" w:cs="Times New Roman"/>
          <w:i/>
          <w:sz w:val="24"/>
          <w:szCs w:val="24"/>
        </w:rPr>
        <w:t>Chapter 8:15</w:t>
      </w:r>
      <w:r w:rsidR="00153863">
        <w:rPr>
          <w:rFonts w:ascii="Times New Roman" w:hAnsi="Times New Roman" w:cs="Times New Roman"/>
          <w:sz w:val="24"/>
          <w:szCs w:val="24"/>
        </w:rPr>
        <w:t xml:space="preserve">] allows </w:t>
      </w:r>
      <w:r w:rsidR="00DA0FD6" w:rsidRPr="00CE6E87">
        <w:rPr>
          <w:rFonts w:ascii="Times New Roman" w:hAnsi="Times New Roman" w:cs="Times New Roman"/>
          <w:sz w:val="24"/>
          <w:szCs w:val="24"/>
        </w:rPr>
        <w:t>that</w:t>
      </w:r>
      <w:r w:rsidR="00153863">
        <w:rPr>
          <w:rFonts w:ascii="Times New Roman" w:hAnsi="Times New Roman" w:cs="Times New Roman"/>
          <w:sz w:val="24"/>
          <w:szCs w:val="24"/>
        </w:rPr>
        <w:t xml:space="preserve"> in the following terms</w:t>
      </w:r>
      <w:r w:rsidR="00DA0FD6" w:rsidRPr="00CE6E87">
        <w:rPr>
          <w:rFonts w:ascii="Times New Roman" w:hAnsi="Times New Roman" w:cs="Times New Roman"/>
          <w:sz w:val="24"/>
          <w:szCs w:val="24"/>
        </w:rPr>
        <w:t>; -</w:t>
      </w:r>
    </w:p>
    <w:p w14:paraId="23B9BE81" w14:textId="77777777" w:rsidR="00153863" w:rsidRPr="00CE6E87" w:rsidRDefault="00153863" w:rsidP="00401C6A">
      <w:pPr>
        <w:autoSpaceDE w:val="0"/>
        <w:autoSpaceDN w:val="0"/>
        <w:adjustRightInd w:val="0"/>
        <w:spacing w:after="0" w:line="360" w:lineRule="auto"/>
        <w:jc w:val="both"/>
        <w:rPr>
          <w:rFonts w:ascii="Times New Roman" w:hAnsi="Times New Roman" w:cs="Times New Roman"/>
          <w:sz w:val="24"/>
          <w:szCs w:val="24"/>
        </w:rPr>
      </w:pPr>
    </w:p>
    <w:p w14:paraId="5514D095" w14:textId="04D523A6" w:rsidR="005A1991" w:rsidRPr="00401C6A" w:rsidRDefault="00401C6A" w:rsidP="00401C6A">
      <w:pPr>
        <w:autoSpaceDE w:val="0"/>
        <w:autoSpaceDN w:val="0"/>
        <w:adjustRightInd w:val="0"/>
        <w:spacing w:after="0" w:line="240" w:lineRule="auto"/>
        <w:ind w:left="720"/>
        <w:jc w:val="both"/>
        <w:rPr>
          <w:rFonts w:ascii="Times New Roman" w:hAnsi="Times New Roman" w:cs="Times New Roman"/>
        </w:rPr>
      </w:pPr>
      <w:r w:rsidRPr="00401C6A">
        <w:rPr>
          <w:rFonts w:ascii="Times New Roman" w:hAnsi="Times New Roman" w:cs="Times New Roman"/>
        </w:rPr>
        <w:t>“</w:t>
      </w:r>
      <w:r w:rsidR="005A1991" w:rsidRPr="00401C6A">
        <w:rPr>
          <w:rFonts w:ascii="Times New Roman" w:hAnsi="Times New Roman" w:cs="Times New Roman"/>
        </w:rPr>
        <w:t>(3) The court before which any proceedings referred to in subsection (1) are brought may condone any failure</w:t>
      </w:r>
      <w:r w:rsidR="00DA0FD6" w:rsidRPr="00401C6A">
        <w:rPr>
          <w:rFonts w:ascii="Times New Roman" w:hAnsi="Times New Roman" w:cs="Times New Roman"/>
        </w:rPr>
        <w:t xml:space="preserve"> </w:t>
      </w:r>
      <w:r w:rsidR="005A1991" w:rsidRPr="00401C6A">
        <w:rPr>
          <w:rFonts w:ascii="Times New Roman" w:hAnsi="Times New Roman" w:cs="Times New Roman"/>
        </w:rPr>
        <w:t xml:space="preserve">to comply with that </w:t>
      </w:r>
      <w:r w:rsidR="00153863" w:rsidRPr="00401C6A">
        <w:rPr>
          <w:rFonts w:ascii="Times New Roman" w:hAnsi="Times New Roman" w:cs="Times New Roman"/>
        </w:rPr>
        <w:t>subsection where the court is s</w:t>
      </w:r>
      <w:r w:rsidR="005A1991" w:rsidRPr="00401C6A">
        <w:rPr>
          <w:rFonts w:ascii="Times New Roman" w:hAnsi="Times New Roman" w:cs="Times New Roman"/>
        </w:rPr>
        <w:t>atisfied that there has been s</w:t>
      </w:r>
      <w:r w:rsidR="00DA0FD6" w:rsidRPr="00401C6A">
        <w:rPr>
          <w:rFonts w:ascii="Times New Roman" w:hAnsi="Times New Roman" w:cs="Times New Roman"/>
        </w:rPr>
        <w:t xml:space="preserve">ubstantial compliance therewith </w:t>
      </w:r>
      <w:r w:rsidR="005A1991" w:rsidRPr="00401C6A">
        <w:rPr>
          <w:rFonts w:ascii="Times New Roman" w:hAnsi="Times New Roman" w:cs="Times New Roman"/>
        </w:rPr>
        <w:t>or that the failure will not unduly prejudice the defendant.</w:t>
      </w:r>
      <w:r w:rsidR="00DA0FD6" w:rsidRPr="00401C6A">
        <w:rPr>
          <w:rFonts w:ascii="Times New Roman" w:hAnsi="Times New Roman" w:cs="Times New Roman"/>
        </w:rPr>
        <w:t>”</w:t>
      </w:r>
    </w:p>
    <w:p w14:paraId="1A92D785" w14:textId="77777777" w:rsidR="00DA0FD6" w:rsidRPr="00CE6E87" w:rsidRDefault="00DA0FD6" w:rsidP="00401C6A">
      <w:pPr>
        <w:autoSpaceDE w:val="0"/>
        <w:autoSpaceDN w:val="0"/>
        <w:adjustRightInd w:val="0"/>
        <w:spacing w:after="0" w:line="360" w:lineRule="auto"/>
        <w:ind w:left="720"/>
        <w:jc w:val="both"/>
        <w:rPr>
          <w:rFonts w:ascii="Times New Roman" w:hAnsi="Times New Roman" w:cs="Times New Roman"/>
          <w:sz w:val="24"/>
          <w:szCs w:val="24"/>
        </w:rPr>
      </w:pPr>
    </w:p>
    <w:p w14:paraId="0E62D8AB" w14:textId="5C0814BD" w:rsidR="006B2E0A" w:rsidRPr="00CE6E87" w:rsidRDefault="00401C6A" w:rsidP="00401C6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0FD6" w:rsidRPr="00CE6E87">
        <w:rPr>
          <w:rFonts w:ascii="Times New Roman" w:hAnsi="Times New Roman" w:cs="Times New Roman"/>
          <w:sz w:val="24"/>
          <w:szCs w:val="24"/>
        </w:rPr>
        <w:t>There is therefore no basis for impugning the finding of the lower court on that issue. The second ground of appeal fails.</w:t>
      </w:r>
    </w:p>
    <w:p w14:paraId="011ED950" w14:textId="77777777" w:rsidR="00DA0FD6" w:rsidRPr="00CE6E87" w:rsidRDefault="00DA0FD6" w:rsidP="00401C6A">
      <w:pPr>
        <w:autoSpaceDE w:val="0"/>
        <w:autoSpaceDN w:val="0"/>
        <w:adjustRightInd w:val="0"/>
        <w:spacing w:after="0" w:line="360" w:lineRule="auto"/>
        <w:jc w:val="both"/>
        <w:rPr>
          <w:rFonts w:ascii="Times New Roman" w:hAnsi="Times New Roman" w:cs="Times New Roman"/>
          <w:sz w:val="24"/>
          <w:szCs w:val="24"/>
        </w:rPr>
      </w:pPr>
    </w:p>
    <w:p w14:paraId="17838697" w14:textId="0DC71B1D" w:rsidR="00D66035" w:rsidRPr="00CE6E87" w:rsidRDefault="00D66035" w:rsidP="00401C6A">
      <w:pPr>
        <w:spacing w:after="0" w:line="360" w:lineRule="auto"/>
        <w:jc w:val="both"/>
        <w:rPr>
          <w:rFonts w:ascii="Times New Roman" w:hAnsi="Times New Roman" w:cs="Times New Roman"/>
          <w:b/>
          <w:sz w:val="24"/>
          <w:szCs w:val="24"/>
        </w:rPr>
      </w:pPr>
      <w:r w:rsidRPr="00CE6E87">
        <w:rPr>
          <w:rFonts w:ascii="Times New Roman" w:hAnsi="Times New Roman" w:cs="Times New Roman"/>
          <w:b/>
          <w:sz w:val="24"/>
          <w:szCs w:val="24"/>
        </w:rPr>
        <w:t>Ground Three</w:t>
      </w:r>
    </w:p>
    <w:p w14:paraId="2A67E20E" w14:textId="64F3DD8F" w:rsidR="00F95514" w:rsidRPr="00CE6E87" w:rsidRDefault="00401C6A" w:rsidP="00401C6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EC75B2" w:rsidRPr="00CE6E87">
        <w:rPr>
          <w:rFonts w:ascii="Times New Roman" w:hAnsi="Times New Roman" w:cs="Times New Roman"/>
          <w:bCs/>
          <w:sz w:val="24"/>
          <w:szCs w:val="24"/>
        </w:rPr>
        <w:t>The lower court held that there was no</w:t>
      </w:r>
      <w:r w:rsidR="007A118D" w:rsidRPr="00CE6E87">
        <w:rPr>
          <w:rFonts w:ascii="Times New Roman" w:hAnsi="Times New Roman" w:cs="Times New Roman"/>
          <w:bCs/>
          <w:sz w:val="24"/>
          <w:szCs w:val="24"/>
        </w:rPr>
        <w:t xml:space="preserve"> evidenc</w:t>
      </w:r>
      <w:r>
        <w:rPr>
          <w:rFonts w:ascii="Times New Roman" w:hAnsi="Times New Roman" w:cs="Times New Roman"/>
          <w:bCs/>
          <w:sz w:val="24"/>
          <w:szCs w:val="24"/>
        </w:rPr>
        <w:t>e to rebut the evidence of the r</w:t>
      </w:r>
      <w:r w:rsidR="007A118D" w:rsidRPr="00CE6E87">
        <w:rPr>
          <w:rFonts w:ascii="Times New Roman" w:hAnsi="Times New Roman" w:cs="Times New Roman"/>
          <w:bCs/>
          <w:sz w:val="24"/>
          <w:szCs w:val="24"/>
        </w:rPr>
        <w:t>espondent</w:t>
      </w:r>
      <w:r w:rsidR="00016750">
        <w:rPr>
          <w:rFonts w:ascii="Times New Roman" w:hAnsi="Times New Roman" w:cs="Times New Roman"/>
          <w:bCs/>
          <w:sz w:val="24"/>
          <w:szCs w:val="24"/>
        </w:rPr>
        <w:t xml:space="preserve"> given by its</w:t>
      </w:r>
      <w:r w:rsidR="004852FB" w:rsidRPr="00CE6E87">
        <w:rPr>
          <w:rFonts w:ascii="Times New Roman" w:hAnsi="Times New Roman" w:cs="Times New Roman"/>
          <w:bCs/>
          <w:sz w:val="24"/>
          <w:szCs w:val="24"/>
        </w:rPr>
        <w:t xml:space="preserve"> Managing</w:t>
      </w:r>
      <w:r w:rsidR="007A118D" w:rsidRPr="00CE6E87">
        <w:rPr>
          <w:rFonts w:ascii="Times New Roman" w:hAnsi="Times New Roman" w:cs="Times New Roman"/>
          <w:bCs/>
          <w:sz w:val="24"/>
          <w:szCs w:val="24"/>
        </w:rPr>
        <w:t xml:space="preserve"> Director</w:t>
      </w:r>
      <w:r w:rsidR="007C352C" w:rsidRPr="00CE6E87">
        <w:rPr>
          <w:rFonts w:ascii="Times New Roman" w:hAnsi="Times New Roman" w:cs="Times New Roman"/>
          <w:bCs/>
          <w:sz w:val="24"/>
          <w:szCs w:val="24"/>
        </w:rPr>
        <w:t xml:space="preserve"> </w:t>
      </w:r>
      <w:r w:rsidR="00016750">
        <w:rPr>
          <w:rFonts w:ascii="Times New Roman" w:hAnsi="Times New Roman" w:cs="Times New Roman"/>
          <w:bCs/>
          <w:sz w:val="24"/>
          <w:szCs w:val="24"/>
        </w:rPr>
        <w:t xml:space="preserve">who </w:t>
      </w:r>
      <w:r w:rsidR="007C352C" w:rsidRPr="00CE6E87">
        <w:rPr>
          <w:rFonts w:ascii="Times New Roman" w:hAnsi="Times New Roman" w:cs="Times New Roman"/>
          <w:bCs/>
          <w:sz w:val="24"/>
          <w:szCs w:val="24"/>
        </w:rPr>
        <w:t>stated</w:t>
      </w:r>
      <w:r w:rsidR="007A118D" w:rsidRPr="00CE6E87">
        <w:rPr>
          <w:rFonts w:ascii="Times New Roman" w:hAnsi="Times New Roman" w:cs="Times New Roman"/>
          <w:bCs/>
          <w:sz w:val="24"/>
          <w:szCs w:val="24"/>
        </w:rPr>
        <w:t xml:space="preserve"> that he was not aware </w:t>
      </w:r>
      <w:r w:rsidR="00863B3A" w:rsidRPr="00CE6E87">
        <w:rPr>
          <w:rFonts w:ascii="Times New Roman" w:hAnsi="Times New Roman" w:cs="Times New Roman"/>
          <w:bCs/>
          <w:sz w:val="24"/>
          <w:szCs w:val="24"/>
        </w:rPr>
        <w:t>of what the vehicle</w:t>
      </w:r>
      <w:r w:rsidR="00D02BEC" w:rsidRPr="00CE6E87">
        <w:rPr>
          <w:rFonts w:ascii="Times New Roman" w:hAnsi="Times New Roman" w:cs="Times New Roman"/>
          <w:bCs/>
          <w:sz w:val="24"/>
          <w:szCs w:val="24"/>
        </w:rPr>
        <w:t xml:space="preserve"> was used for at the time it was seized and that he had not </w:t>
      </w:r>
      <w:r w:rsidR="007C352C" w:rsidRPr="00CE6E87">
        <w:rPr>
          <w:rFonts w:ascii="Times New Roman" w:hAnsi="Times New Roman" w:cs="Times New Roman"/>
          <w:bCs/>
          <w:sz w:val="24"/>
          <w:szCs w:val="24"/>
        </w:rPr>
        <w:t>authorized such use.</w:t>
      </w:r>
      <w:r w:rsidR="004852FB" w:rsidRPr="00CE6E87">
        <w:rPr>
          <w:rFonts w:ascii="Times New Roman" w:hAnsi="Times New Roman" w:cs="Times New Roman"/>
          <w:bCs/>
          <w:sz w:val="24"/>
          <w:szCs w:val="24"/>
        </w:rPr>
        <w:t xml:space="preserve"> </w:t>
      </w:r>
      <w:r>
        <w:rPr>
          <w:rFonts w:ascii="Times New Roman" w:hAnsi="Times New Roman" w:cs="Times New Roman"/>
          <w:bCs/>
          <w:sz w:val="24"/>
          <w:szCs w:val="24"/>
        </w:rPr>
        <w:t>The r</w:t>
      </w:r>
      <w:r w:rsidR="004852FB" w:rsidRPr="00CE6E87">
        <w:rPr>
          <w:rFonts w:ascii="Times New Roman" w:hAnsi="Times New Roman" w:cs="Times New Roman"/>
          <w:bCs/>
          <w:sz w:val="24"/>
          <w:szCs w:val="24"/>
        </w:rPr>
        <w:t>espondent tendered the vehicle registration book to prove ownership. There was no challenge to that evidence. There was no evidence to prove that the registered owner of the vehicle was aware of what the vehicle was being used for at the time of its seizure or that it had authorized such use. Submissions for the Appellant mainly center</w:t>
      </w:r>
      <w:r w:rsidR="00016750">
        <w:rPr>
          <w:rFonts w:ascii="Times New Roman" w:hAnsi="Times New Roman" w:cs="Times New Roman"/>
          <w:bCs/>
          <w:sz w:val="24"/>
          <w:szCs w:val="24"/>
        </w:rPr>
        <w:t>ed</w:t>
      </w:r>
      <w:r w:rsidR="004852FB" w:rsidRPr="00CE6E87">
        <w:rPr>
          <w:rFonts w:ascii="Times New Roman" w:hAnsi="Times New Roman" w:cs="Times New Roman"/>
          <w:bCs/>
          <w:sz w:val="24"/>
          <w:szCs w:val="24"/>
        </w:rPr>
        <w:t xml:space="preserve"> on the actions and statements </w:t>
      </w:r>
      <w:r w:rsidR="00016750">
        <w:rPr>
          <w:rFonts w:ascii="Times New Roman" w:hAnsi="Times New Roman" w:cs="Times New Roman"/>
          <w:bCs/>
          <w:sz w:val="24"/>
          <w:szCs w:val="24"/>
        </w:rPr>
        <w:t xml:space="preserve">of Joseph. </w:t>
      </w:r>
      <w:r>
        <w:rPr>
          <w:rFonts w:ascii="Times New Roman" w:hAnsi="Times New Roman" w:cs="Times New Roman"/>
          <w:bCs/>
          <w:sz w:val="24"/>
          <w:szCs w:val="24"/>
        </w:rPr>
        <w:t xml:space="preserve"> </w:t>
      </w:r>
      <w:r w:rsidR="004852FB" w:rsidRPr="00CE6E87">
        <w:rPr>
          <w:rFonts w:ascii="Times New Roman" w:hAnsi="Times New Roman" w:cs="Times New Roman"/>
          <w:bCs/>
          <w:sz w:val="24"/>
          <w:szCs w:val="24"/>
        </w:rPr>
        <w:t>However, it is apparent from the record that Joseph did not have authority to hire out the truck. The Managing Director</w:t>
      </w:r>
      <w:r>
        <w:rPr>
          <w:rFonts w:ascii="Times New Roman" w:hAnsi="Times New Roman" w:cs="Times New Roman"/>
          <w:bCs/>
          <w:sz w:val="24"/>
          <w:szCs w:val="24"/>
        </w:rPr>
        <w:t xml:space="preserve"> for the r</w:t>
      </w:r>
      <w:r w:rsidR="007F3994" w:rsidRPr="00CE6E87">
        <w:rPr>
          <w:rFonts w:ascii="Times New Roman" w:hAnsi="Times New Roman" w:cs="Times New Roman"/>
          <w:bCs/>
          <w:sz w:val="24"/>
          <w:szCs w:val="24"/>
        </w:rPr>
        <w:t>espondent stated in the founding aff</w:t>
      </w:r>
      <w:r>
        <w:rPr>
          <w:rFonts w:ascii="Times New Roman" w:hAnsi="Times New Roman" w:cs="Times New Roman"/>
          <w:bCs/>
          <w:sz w:val="24"/>
          <w:szCs w:val="24"/>
        </w:rPr>
        <w:t>idavit that neither he nor the r</w:t>
      </w:r>
      <w:r w:rsidR="007F3994" w:rsidRPr="00CE6E87">
        <w:rPr>
          <w:rFonts w:ascii="Times New Roman" w:hAnsi="Times New Roman" w:cs="Times New Roman"/>
          <w:bCs/>
          <w:sz w:val="24"/>
          <w:szCs w:val="24"/>
        </w:rPr>
        <w:t>espondent had authorized the use of the vehicle and that it was supposed to be parked in Harare. What seems to have happened is that Joseph authorized the use of the vehicle without the consent of the Respondent or the Managing Director.</w:t>
      </w:r>
      <w:r>
        <w:rPr>
          <w:rFonts w:ascii="Times New Roman" w:hAnsi="Times New Roman" w:cs="Times New Roman"/>
          <w:bCs/>
          <w:sz w:val="24"/>
          <w:szCs w:val="24"/>
        </w:rPr>
        <w:t xml:space="preserve"> </w:t>
      </w:r>
      <w:r w:rsidR="007F3994" w:rsidRPr="00CE6E87">
        <w:rPr>
          <w:rFonts w:ascii="Times New Roman" w:hAnsi="Times New Roman" w:cs="Times New Roman"/>
          <w:bCs/>
          <w:sz w:val="24"/>
          <w:szCs w:val="24"/>
        </w:rPr>
        <w:t xml:space="preserve"> He confirmed this in his affidavit, Annexure C1. The fact that the </w:t>
      </w:r>
      <w:r w:rsidR="00016750">
        <w:rPr>
          <w:rFonts w:ascii="Times New Roman" w:hAnsi="Times New Roman" w:cs="Times New Roman"/>
          <w:bCs/>
          <w:sz w:val="24"/>
          <w:szCs w:val="24"/>
        </w:rPr>
        <w:t xml:space="preserve">Managing Director, in </w:t>
      </w:r>
      <w:r>
        <w:rPr>
          <w:rFonts w:ascii="Times New Roman" w:hAnsi="Times New Roman" w:cs="Times New Roman"/>
          <w:bCs/>
          <w:sz w:val="24"/>
          <w:szCs w:val="24"/>
        </w:rPr>
        <w:t xml:space="preserve">the </w:t>
      </w:r>
      <w:r w:rsidRPr="00CE6E87">
        <w:rPr>
          <w:rFonts w:ascii="Times New Roman" w:hAnsi="Times New Roman" w:cs="Times New Roman"/>
          <w:bCs/>
          <w:sz w:val="24"/>
          <w:szCs w:val="24"/>
        </w:rPr>
        <w:t>founding</w:t>
      </w:r>
      <w:r w:rsidR="007F3994" w:rsidRPr="00CE6E87">
        <w:rPr>
          <w:rFonts w:ascii="Times New Roman" w:hAnsi="Times New Roman" w:cs="Times New Roman"/>
          <w:bCs/>
          <w:sz w:val="24"/>
          <w:szCs w:val="24"/>
        </w:rPr>
        <w:t xml:space="preserve"> affidavit</w:t>
      </w:r>
      <w:r>
        <w:rPr>
          <w:rFonts w:ascii="Times New Roman" w:hAnsi="Times New Roman" w:cs="Times New Roman"/>
          <w:bCs/>
          <w:sz w:val="24"/>
          <w:szCs w:val="24"/>
        </w:rPr>
        <w:t xml:space="preserve">, </w:t>
      </w:r>
      <w:r w:rsidRPr="00CE6E87">
        <w:rPr>
          <w:rFonts w:ascii="Times New Roman" w:hAnsi="Times New Roman" w:cs="Times New Roman"/>
          <w:bCs/>
          <w:sz w:val="24"/>
          <w:szCs w:val="24"/>
        </w:rPr>
        <w:t>asked</w:t>
      </w:r>
      <w:r w:rsidR="007F3994" w:rsidRPr="00CE6E87">
        <w:rPr>
          <w:rFonts w:ascii="Times New Roman" w:hAnsi="Times New Roman" w:cs="Times New Roman"/>
          <w:bCs/>
          <w:sz w:val="24"/>
          <w:szCs w:val="24"/>
        </w:rPr>
        <w:t xml:space="preserve"> Joseph to proceed to Beitbridge and get full information as to how an</w:t>
      </w:r>
      <w:r w:rsidR="00435517" w:rsidRPr="00CE6E87">
        <w:rPr>
          <w:rFonts w:ascii="Times New Roman" w:hAnsi="Times New Roman" w:cs="Times New Roman"/>
          <w:bCs/>
          <w:sz w:val="24"/>
          <w:szCs w:val="24"/>
        </w:rPr>
        <w:t xml:space="preserve">d why the truck was there confirms that he had not authorized its use. </w:t>
      </w:r>
      <w:r>
        <w:rPr>
          <w:rFonts w:ascii="Times New Roman" w:hAnsi="Times New Roman" w:cs="Times New Roman"/>
          <w:bCs/>
          <w:sz w:val="24"/>
          <w:szCs w:val="24"/>
        </w:rPr>
        <w:t xml:space="preserve"> </w:t>
      </w:r>
      <w:r w:rsidR="00435517" w:rsidRPr="00CE6E87">
        <w:rPr>
          <w:rFonts w:ascii="Times New Roman" w:hAnsi="Times New Roman" w:cs="Times New Roman"/>
          <w:bCs/>
          <w:sz w:val="24"/>
          <w:szCs w:val="24"/>
        </w:rPr>
        <w:t>In the circumstances, the lower court cannot be faulted for concluding that the owner of the vehicle had not authorized its use at the time of seizure. This ground of appeal also fails.</w:t>
      </w:r>
    </w:p>
    <w:p w14:paraId="2BCF0EFF" w14:textId="77777777" w:rsidR="00D66035" w:rsidRPr="00CE6E87" w:rsidRDefault="00D66035" w:rsidP="00401C6A">
      <w:pPr>
        <w:spacing w:after="0" w:line="360" w:lineRule="auto"/>
        <w:jc w:val="both"/>
        <w:rPr>
          <w:rFonts w:ascii="Times New Roman" w:hAnsi="Times New Roman" w:cs="Times New Roman"/>
          <w:b/>
          <w:sz w:val="24"/>
          <w:szCs w:val="24"/>
        </w:rPr>
      </w:pPr>
      <w:r w:rsidRPr="00CE6E87">
        <w:rPr>
          <w:rFonts w:ascii="Times New Roman" w:hAnsi="Times New Roman" w:cs="Times New Roman"/>
          <w:b/>
          <w:sz w:val="24"/>
          <w:szCs w:val="24"/>
        </w:rPr>
        <w:t>Ground Four</w:t>
      </w:r>
    </w:p>
    <w:p w14:paraId="76CC9403" w14:textId="49D1BEA1" w:rsidR="00435517" w:rsidRPr="00CE6E87" w:rsidRDefault="00401C6A" w:rsidP="00401C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5517" w:rsidRPr="00CE6E87">
        <w:rPr>
          <w:rFonts w:ascii="Times New Roman" w:hAnsi="Times New Roman" w:cs="Times New Roman"/>
          <w:sz w:val="24"/>
          <w:szCs w:val="24"/>
        </w:rPr>
        <w:t xml:space="preserve">In this ground of appeal, Appellant faults the lower court for ruling that s 193(12) of the Act regulates </w:t>
      </w:r>
      <w:r>
        <w:rPr>
          <w:rFonts w:ascii="Times New Roman" w:hAnsi="Times New Roman" w:cs="Times New Roman"/>
          <w:sz w:val="24"/>
          <w:szCs w:val="24"/>
        </w:rPr>
        <w:t>internal remedies within the a</w:t>
      </w:r>
      <w:r w:rsidR="00435517" w:rsidRPr="00CE6E87">
        <w:rPr>
          <w:rFonts w:ascii="Times New Roman" w:hAnsi="Times New Roman" w:cs="Times New Roman"/>
          <w:sz w:val="24"/>
          <w:szCs w:val="24"/>
        </w:rPr>
        <w:t>ppellant’s administrative structures.</w:t>
      </w:r>
      <w:r>
        <w:rPr>
          <w:rFonts w:ascii="Times New Roman" w:hAnsi="Times New Roman" w:cs="Times New Roman"/>
          <w:sz w:val="24"/>
          <w:szCs w:val="24"/>
        </w:rPr>
        <w:t xml:space="preserve"> </w:t>
      </w:r>
      <w:r w:rsidR="00435517" w:rsidRPr="00CE6E87">
        <w:rPr>
          <w:rFonts w:ascii="Times New Roman" w:hAnsi="Times New Roman" w:cs="Times New Roman"/>
          <w:sz w:val="24"/>
          <w:szCs w:val="24"/>
        </w:rPr>
        <w:t xml:space="preserve"> It argues that the provisions for that section relate to court proceedings. The finding of the lower court cannot be impugned for the reasons given in relation to the first ground of appeal</w:t>
      </w:r>
      <w:r w:rsidR="00135B7F" w:rsidRPr="00CE6E87">
        <w:rPr>
          <w:rFonts w:ascii="Times New Roman" w:hAnsi="Times New Roman" w:cs="Times New Roman"/>
          <w:sz w:val="24"/>
          <w:szCs w:val="24"/>
        </w:rPr>
        <w:t xml:space="preserve">. </w:t>
      </w:r>
      <w:r>
        <w:rPr>
          <w:rFonts w:ascii="Times New Roman" w:hAnsi="Times New Roman" w:cs="Times New Roman"/>
          <w:sz w:val="24"/>
          <w:szCs w:val="24"/>
        </w:rPr>
        <w:t xml:space="preserve"> </w:t>
      </w:r>
      <w:r w:rsidR="00135B7F" w:rsidRPr="00CE6E87">
        <w:rPr>
          <w:rFonts w:ascii="Times New Roman" w:hAnsi="Times New Roman" w:cs="Times New Roman"/>
          <w:sz w:val="24"/>
          <w:szCs w:val="24"/>
        </w:rPr>
        <w:t>As stated above, s</w:t>
      </w:r>
      <w:r>
        <w:rPr>
          <w:rFonts w:ascii="Times New Roman" w:hAnsi="Times New Roman" w:cs="Times New Roman"/>
          <w:sz w:val="24"/>
          <w:szCs w:val="24"/>
        </w:rPr>
        <w:t xml:space="preserve">  </w:t>
      </w:r>
      <w:r w:rsidR="00135B7F" w:rsidRPr="00CE6E87">
        <w:rPr>
          <w:rFonts w:ascii="Times New Roman" w:hAnsi="Times New Roman" w:cs="Times New Roman"/>
          <w:sz w:val="24"/>
          <w:szCs w:val="24"/>
        </w:rPr>
        <w:t xml:space="preserve">193(12) </w:t>
      </w:r>
      <w:r w:rsidR="00135B7F" w:rsidRPr="00CE6E87">
        <w:rPr>
          <w:rFonts w:ascii="Times New Roman" w:hAnsi="Times New Roman" w:cs="Times New Roman"/>
          <w:sz w:val="24"/>
          <w:szCs w:val="24"/>
        </w:rPr>
        <w:lastRenderedPageBreak/>
        <w:t xml:space="preserve">of the Act regulates proceedings up to the Commissioner General. </w:t>
      </w:r>
      <w:r>
        <w:rPr>
          <w:rFonts w:ascii="Times New Roman" w:hAnsi="Times New Roman" w:cs="Times New Roman"/>
          <w:sz w:val="24"/>
          <w:szCs w:val="24"/>
        </w:rPr>
        <w:t xml:space="preserve"> </w:t>
      </w:r>
      <w:r w:rsidR="00135B7F" w:rsidRPr="00CE6E87">
        <w:rPr>
          <w:rFonts w:ascii="Times New Roman" w:hAnsi="Times New Roman" w:cs="Times New Roman"/>
          <w:sz w:val="24"/>
          <w:szCs w:val="24"/>
        </w:rPr>
        <w:t>There is no merit in this ground of appeal.</w:t>
      </w:r>
    </w:p>
    <w:p w14:paraId="417F1E32" w14:textId="77777777" w:rsidR="00D66035" w:rsidRPr="00CE6E87" w:rsidRDefault="00D66035" w:rsidP="00401C6A">
      <w:pPr>
        <w:spacing w:after="0" w:line="360" w:lineRule="auto"/>
        <w:jc w:val="both"/>
        <w:rPr>
          <w:rFonts w:ascii="Times New Roman" w:hAnsi="Times New Roman" w:cs="Times New Roman"/>
          <w:b/>
          <w:sz w:val="24"/>
          <w:szCs w:val="24"/>
        </w:rPr>
      </w:pPr>
      <w:r w:rsidRPr="00CE6E87">
        <w:rPr>
          <w:rFonts w:ascii="Times New Roman" w:hAnsi="Times New Roman" w:cs="Times New Roman"/>
          <w:b/>
          <w:sz w:val="24"/>
          <w:szCs w:val="24"/>
        </w:rPr>
        <w:t>Ground Five</w:t>
      </w:r>
    </w:p>
    <w:p w14:paraId="349884BD" w14:textId="75099174" w:rsidR="00135B7F" w:rsidRPr="00CE6E87" w:rsidRDefault="00401C6A" w:rsidP="00401C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5B7F" w:rsidRPr="00CE6E87">
        <w:rPr>
          <w:rFonts w:ascii="Times New Roman" w:hAnsi="Times New Roman" w:cs="Times New Roman"/>
          <w:sz w:val="24"/>
          <w:szCs w:val="24"/>
        </w:rPr>
        <w:t>Appellant faults the lower</w:t>
      </w:r>
      <w:r>
        <w:rPr>
          <w:rFonts w:ascii="Times New Roman" w:hAnsi="Times New Roman" w:cs="Times New Roman"/>
          <w:sz w:val="24"/>
          <w:szCs w:val="24"/>
        </w:rPr>
        <w:t xml:space="preserve"> court for concluding that the r</w:t>
      </w:r>
      <w:r w:rsidR="00135B7F" w:rsidRPr="00CE6E87">
        <w:rPr>
          <w:rFonts w:ascii="Times New Roman" w:hAnsi="Times New Roman" w:cs="Times New Roman"/>
          <w:sz w:val="24"/>
          <w:szCs w:val="24"/>
        </w:rPr>
        <w:t xml:space="preserve">espondent was the owner of the vehicle in question when another person also claimed ownership of the same vehicle. This ground of appeal is related to the third ground of appeal. </w:t>
      </w:r>
      <w:r>
        <w:rPr>
          <w:rFonts w:ascii="Times New Roman" w:hAnsi="Times New Roman" w:cs="Times New Roman"/>
          <w:sz w:val="24"/>
          <w:szCs w:val="24"/>
        </w:rPr>
        <w:t xml:space="preserve"> </w:t>
      </w:r>
      <w:r w:rsidR="00135B7F" w:rsidRPr="00CE6E87">
        <w:rPr>
          <w:rFonts w:ascii="Times New Roman" w:hAnsi="Times New Roman" w:cs="Times New Roman"/>
          <w:sz w:val="24"/>
          <w:szCs w:val="24"/>
        </w:rPr>
        <w:t xml:space="preserve">The lower court cannot be faulted for disregarding Joseph’s claim of ownership that he stated in a letter when he subsequently deposed to an affidavit confirming that the truck belongs to the </w:t>
      </w:r>
      <w:r>
        <w:rPr>
          <w:rFonts w:ascii="Times New Roman" w:hAnsi="Times New Roman" w:cs="Times New Roman"/>
          <w:sz w:val="24"/>
          <w:szCs w:val="24"/>
        </w:rPr>
        <w:t>r</w:t>
      </w:r>
      <w:r w:rsidR="00135B7F" w:rsidRPr="00CE6E87">
        <w:rPr>
          <w:rFonts w:ascii="Times New Roman" w:hAnsi="Times New Roman" w:cs="Times New Roman"/>
          <w:sz w:val="24"/>
          <w:szCs w:val="24"/>
        </w:rPr>
        <w:t xml:space="preserve">espondent. </w:t>
      </w:r>
      <w:r>
        <w:rPr>
          <w:rFonts w:ascii="Times New Roman" w:hAnsi="Times New Roman" w:cs="Times New Roman"/>
          <w:sz w:val="24"/>
          <w:szCs w:val="24"/>
        </w:rPr>
        <w:t xml:space="preserve"> </w:t>
      </w:r>
      <w:r w:rsidR="00135B7F" w:rsidRPr="00CE6E87">
        <w:rPr>
          <w:rFonts w:ascii="Times New Roman" w:hAnsi="Times New Roman" w:cs="Times New Roman"/>
          <w:sz w:val="24"/>
          <w:szCs w:val="24"/>
        </w:rPr>
        <w:t xml:space="preserve">Also as stated above, the registration certificate of the </w:t>
      </w:r>
      <w:r w:rsidR="00016750">
        <w:rPr>
          <w:rFonts w:ascii="Times New Roman" w:hAnsi="Times New Roman" w:cs="Times New Roman"/>
          <w:sz w:val="24"/>
          <w:szCs w:val="24"/>
        </w:rPr>
        <w:t>truck</w:t>
      </w:r>
      <w:r w:rsidR="00135B7F" w:rsidRPr="00CE6E87">
        <w:rPr>
          <w:rFonts w:ascii="Times New Roman" w:hAnsi="Times New Roman" w:cs="Times New Roman"/>
          <w:sz w:val="24"/>
          <w:szCs w:val="24"/>
        </w:rPr>
        <w:t xml:space="preserve"> which reflects </w:t>
      </w:r>
      <w:r>
        <w:rPr>
          <w:rFonts w:ascii="Times New Roman" w:hAnsi="Times New Roman" w:cs="Times New Roman"/>
          <w:sz w:val="24"/>
          <w:szCs w:val="24"/>
        </w:rPr>
        <w:t>r</w:t>
      </w:r>
      <w:r w:rsidR="00135B7F" w:rsidRPr="00CE6E87">
        <w:rPr>
          <w:rFonts w:ascii="Times New Roman" w:hAnsi="Times New Roman" w:cs="Times New Roman"/>
          <w:sz w:val="24"/>
          <w:szCs w:val="24"/>
        </w:rPr>
        <w:t>espondent as the owner was not put in issue</w:t>
      </w:r>
      <w:r w:rsidR="00CE6E87" w:rsidRPr="00CE6E87">
        <w:rPr>
          <w:rFonts w:ascii="Times New Roman" w:hAnsi="Times New Roman" w:cs="Times New Roman"/>
          <w:sz w:val="24"/>
          <w:szCs w:val="24"/>
        </w:rPr>
        <w:t>. This ground of appeal also fails.</w:t>
      </w:r>
    </w:p>
    <w:p w14:paraId="44B64648" w14:textId="77777777" w:rsidR="00D66035" w:rsidRPr="00CE6E87" w:rsidRDefault="00D66035" w:rsidP="00401C6A">
      <w:pPr>
        <w:spacing w:after="0" w:line="360" w:lineRule="auto"/>
        <w:jc w:val="both"/>
        <w:rPr>
          <w:rFonts w:ascii="Times New Roman" w:hAnsi="Times New Roman" w:cs="Times New Roman"/>
          <w:b/>
          <w:sz w:val="24"/>
          <w:szCs w:val="24"/>
        </w:rPr>
      </w:pPr>
      <w:r w:rsidRPr="00CE6E87">
        <w:rPr>
          <w:rFonts w:ascii="Times New Roman" w:hAnsi="Times New Roman" w:cs="Times New Roman"/>
          <w:b/>
          <w:sz w:val="24"/>
          <w:szCs w:val="24"/>
        </w:rPr>
        <w:t>DISPOSITION</w:t>
      </w:r>
    </w:p>
    <w:p w14:paraId="728F954D" w14:textId="2E9036D7" w:rsidR="00CE6E87" w:rsidRPr="00CE6E87" w:rsidRDefault="00401C6A" w:rsidP="00401C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6E87" w:rsidRPr="00CE6E87">
        <w:rPr>
          <w:rFonts w:ascii="Times New Roman" w:hAnsi="Times New Roman" w:cs="Times New Roman"/>
          <w:sz w:val="24"/>
          <w:szCs w:val="24"/>
        </w:rPr>
        <w:t xml:space="preserve">The appeal lacks merit. The following order is made. </w:t>
      </w:r>
    </w:p>
    <w:p w14:paraId="57CA05C7" w14:textId="095F9CCB" w:rsidR="00CE6E87" w:rsidRPr="00CE6E87" w:rsidRDefault="00CE6E87" w:rsidP="00401C6A">
      <w:pPr>
        <w:spacing w:line="360" w:lineRule="auto"/>
        <w:jc w:val="both"/>
        <w:rPr>
          <w:rFonts w:ascii="Times New Roman" w:hAnsi="Times New Roman" w:cs="Times New Roman"/>
          <w:sz w:val="24"/>
          <w:szCs w:val="24"/>
        </w:rPr>
      </w:pPr>
      <w:r w:rsidRPr="00CE6E87">
        <w:rPr>
          <w:rFonts w:ascii="Times New Roman" w:hAnsi="Times New Roman" w:cs="Times New Roman"/>
          <w:sz w:val="24"/>
          <w:szCs w:val="24"/>
        </w:rPr>
        <w:t>The appeal be and is hereby dismissed with costs.</w:t>
      </w:r>
    </w:p>
    <w:p w14:paraId="340EC7ED" w14:textId="77777777" w:rsidR="00CE6E87" w:rsidRPr="00CE6E87" w:rsidRDefault="00CE6E87" w:rsidP="00401C6A">
      <w:pPr>
        <w:spacing w:line="360" w:lineRule="auto"/>
        <w:jc w:val="both"/>
        <w:rPr>
          <w:rFonts w:ascii="Times New Roman" w:hAnsi="Times New Roman" w:cs="Times New Roman"/>
          <w:sz w:val="24"/>
          <w:szCs w:val="24"/>
        </w:rPr>
      </w:pPr>
    </w:p>
    <w:p w14:paraId="1FB31FB6" w14:textId="6D94B496" w:rsidR="00115926" w:rsidRDefault="00115926" w:rsidP="00401C6A">
      <w:pPr>
        <w:autoSpaceDE w:val="0"/>
        <w:autoSpaceDN w:val="0"/>
        <w:adjustRightInd w:val="0"/>
        <w:spacing w:after="0" w:line="360" w:lineRule="auto"/>
        <w:jc w:val="both"/>
        <w:rPr>
          <w:rStyle w:val="t"/>
          <w:rFonts w:ascii="Times New Roman" w:hAnsi="Times New Roman" w:cs="Times New Roman"/>
          <w:sz w:val="24"/>
          <w:szCs w:val="24"/>
        </w:rPr>
      </w:pPr>
      <w:r w:rsidRPr="00401C6A">
        <w:rPr>
          <w:rStyle w:val="t"/>
          <w:rFonts w:ascii="Times New Roman" w:hAnsi="Times New Roman" w:cs="Times New Roman"/>
          <w:b/>
          <w:sz w:val="24"/>
          <w:szCs w:val="24"/>
        </w:rPr>
        <w:t>TSANGA J</w:t>
      </w:r>
      <w:r w:rsidR="00401C6A">
        <w:rPr>
          <w:rStyle w:val="t"/>
          <w:rFonts w:ascii="Times New Roman" w:hAnsi="Times New Roman" w:cs="Times New Roman"/>
          <w:b/>
          <w:sz w:val="24"/>
          <w:szCs w:val="24"/>
        </w:rPr>
        <w:t>:</w:t>
      </w:r>
      <w:r w:rsidRPr="00CE6E87">
        <w:rPr>
          <w:rStyle w:val="t"/>
          <w:rFonts w:ascii="Times New Roman" w:hAnsi="Times New Roman" w:cs="Times New Roman"/>
          <w:sz w:val="24"/>
          <w:szCs w:val="24"/>
        </w:rPr>
        <w:t>………………………I AGREE</w:t>
      </w:r>
    </w:p>
    <w:p w14:paraId="253E2788" w14:textId="77777777" w:rsidR="00016750" w:rsidRDefault="00016750" w:rsidP="00401C6A">
      <w:pPr>
        <w:autoSpaceDE w:val="0"/>
        <w:autoSpaceDN w:val="0"/>
        <w:adjustRightInd w:val="0"/>
        <w:spacing w:after="0" w:line="360" w:lineRule="auto"/>
        <w:jc w:val="both"/>
        <w:rPr>
          <w:rStyle w:val="t"/>
          <w:rFonts w:ascii="Times New Roman" w:hAnsi="Times New Roman" w:cs="Times New Roman"/>
          <w:sz w:val="24"/>
          <w:szCs w:val="24"/>
        </w:rPr>
      </w:pPr>
    </w:p>
    <w:p w14:paraId="7CE0E090" w14:textId="77777777" w:rsidR="00401C6A" w:rsidRPr="00CE6E87" w:rsidRDefault="00401C6A" w:rsidP="00401C6A">
      <w:pPr>
        <w:autoSpaceDE w:val="0"/>
        <w:autoSpaceDN w:val="0"/>
        <w:adjustRightInd w:val="0"/>
        <w:spacing w:after="0" w:line="360" w:lineRule="auto"/>
        <w:jc w:val="both"/>
        <w:rPr>
          <w:rStyle w:val="t"/>
          <w:rFonts w:ascii="Times New Roman" w:hAnsi="Times New Roman" w:cs="Times New Roman"/>
          <w:sz w:val="24"/>
          <w:szCs w:val="24"/>
        </w:rPr>
      </w:pPr>
    </w:p>
    <w:p w14:paraId="2A4DA315" w14:textId="28DB02DD" w:rsidR="00115926" w:rsidRPr="00CE6E87" w:rsidRDefault="00115926" w:rsidP="00401C6A">
      <w:pPr>
        <w:autoSpaceDE w:val="0"/>
        <w:autoSpaceDN w:val="0"/>
        <w:adjustRightInd w:val="0"/>
        <w:spacing w:after="0" w:line="360" w:lineRule="auto"/>
        <w:jc w:val="both"/>
        <w:rPr>
          <w:rStyle w:val="t"/>
          <w:rFonts w:ascii="Times New Roman" w:hAnsi="Times New Roman" w:cs="Times New Roman"/>
          <w:sz w:val="24"/>
          <w:szCs w:val="24"/>
        </w:rPr>
      </w:pPr>
      <w:r w:rsidRPr="00CE6E87">
        <w:rPr>
          <w:rStyle w:val="t"/>
          <w:rFonts w:ascii="Times New Roman" w:hAnsi="Times New Roman" w:cs="Times New Roman"/>
          <w:i/>
          <w:sz w:val="24"/>
          <w:szCs w:val="24"/>
        </w:rPr>
        <w:t xml:space="preserve">Masawi and Partners, </w:t>
      </w:r>
      <w:r w:rsidR="00401C6A">
        <w:rPr>
          <w:rStyle w:val="t"/>
          <w:rFonts w:ascii="Times New Roman" w:hAnsi="Times New Roman" w:cs="Times New Roman"/>
          <w:sz w:val="24"/>
          <w:szCs w:val="24"/>
        </w:rPr>
        <w:t>respondent’s legal p</w:t>
      </w:r>
      <w:r w:rsidRPr="00CE6E87">
        <w:rPr>
          <w:rStyle w:val="t"/>
          <w:rFonts w:ascii="Times New Roman" w:hAnsi="Times New Roman" w:cs="Times New Roman"/>
          <w:sz w:val="24"/>
          <w:szCs w:val="24"/>
        </w:rPr>
        <w:t>ractitioners.</w:t>
      </w:r>
    </w:p>
    <w:p w14:paraId="7F7622AF" w14:textId="77777777" w:rsidR="00D66035" w:rsidRPr="00CE6E87" w:rsidRDefault="00D66035" w:rsidP="00401C6A">
      <w:pPr>
        <w:spacing w:line="360" w:lineRule="auto"/>
        <w:jc w:val="both"/>
        <w:rPr>
          <w:rFonts w:ascii="Times New Roman" w:hAnsi="Times New Roman" w:cs="Times New Roman"/>
          <w:sz w:val="24"/>
          <w:szCs w:val="24"/>
        </w:rPr>
      </w:pPr>
    </w:p>
    <w:sectPr w:rsidR="00D66035" w:rsidRPr="00CE6E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51508" w14:textId="77777777" w:rsidR="006D3C38" w:rsidRDefault="006D3C38" w:rsidP="005021E6">
      <w:pPr>
        <w:spacing w:after="0" w:line="240" w:lineRule="auto"/>
      </w:pPr>
      <w:r>
        <w:separator/>
      </w:r>
    </w:p>
  </w:endnote>
  <w:endnote w:type="continuationSeparator" w:id="0">
    <w:p w14:paraId="568A24B3" w14:textId="77777777" w:rsidR="006D3C38" w:rsidRDefault="006D3C38" w:rsidP="0050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AB6C7" w14:textId="77777777" w:rsidR="006D3C38" w:rsidRDefault="006D3C38" w:rsidP="005021E6">
      <w:pPr>
        <w:spacing w:after="0" w:line="240" w:lineRule="auto"/>
      </w:pPr>
      <w:r>
        <w:separator/>
      </w:r>
    </w:p>
  </w:footnote>
  <w:footnote w:type="continuationSeparator" w:id="0">
    <w:p w14:paraId="299C7EE4" w14:textId="77777777" w:rsidR="006D3C38" w:rsidRDefault="006D3C38" w:rsidP="00502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811204"/>
      <w:docPartObj>
        <w:docPartGallery w:val="Page Numbers (Top of Page)"/>
        <w:docPartUnique/>
      </w:docPartObj>
    </w:sdtPr>
    <w:sdtEndPr>
      <w:rPr>
        <w:noProof/>
      </w:rPr>
    </w:sdtEndPr>
    <w:sdtContent>
      <w:p w14:paraId="04B7784D" w14:textId="5DA08CB6" w:rsidR="009165C8" w:rsidRDefault="005021E6">
        <w:pPr>
          <w:pStyle w:val="Header"/>
          <w:jc w:val="right"/>
          <w:rPr>
            <w:noProof/>
          </w:rPr>
        </w:pPr>
        <w:r>
          <w:fldChar w:fldCharType="begin"/>
        </w:r>
        <w:r>
          <w:instrText xml:space="preserve"> PAGE   \* MERGEFORMAT </w:instrText>
        </w:r>
        <w:r>
          <w:fldChar w:fldCharType="separate"/>
        </w:r>
        <w:r w:rsidR="00F958D8">
          <w:rPr>
            <w:noProof/>
          </w:rPr>
          <w:t>1</w:t>
        </w:r>
        <w:r>
          <w:rPr>
            <w:noProof/>
          </w:rPr>
          <w:fldChar w:fldCharType="end"/>
        </w:r>
      </w:p>
      <w:p w14:paraId="57CE318B" w14:textId="56E8A8D4" w:rsidR="009165C8" w:rsidRDefault="009165C8">
        <w:pPr>
          <w:pStyle w:val="Header"/>
          <w:jc w:val="right"/>
          <w:rPr>
            <w:noProof/>
          </w:rPr>
        </w:pPr>
        <w:r>
          <w:rPr>
            <w:noProof/>
          </w:rPr>
          <w:t>H</w:t>
        </w:r>
        <w:r w:rsidR="00311785">
          <w:rPr>
            <w:noProof/>
          </w:rPr>
          <w:t>H 820-22</w:t>
        </w:r>
      </w:p>
      <w:p w14:paraId="512A5253" w14:textId="7F8B0683" w:rsidR="005021E6" w:rsidRDefault="009165C8">
        <w:pPr>
          <w:pStyle w:val="Header"/>
          <w:jc w:val="right"/>
        </w:pPr>
        <w:r>
          <w:rPr>
            <w:noProof/>
          </w:rPr>
          <w:t>CIV ‘A’ 8/22</w:t>
        </w:r>
      </w:p>
    </w:sdtContent>
  </w:sdt>
  <w:p w14:paraId="6F2B2057" w14:textId="77777777" w:rsidR="005021E6" w:rsidRDefault="005021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B18F7"/>
    <w:multiLevelType w:val="hybridMultilevel"/>
    <w:tmpl w:val="D4F8B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54E1A"/>
    <w:multiLevelType w:val="hybridMultilevel"/>
    <w:tmpl w:val="75A0D6E6"/>
    <w:lvl w:ilvl="0" w:tplc="42EA7106">
      <w:start w:val="1"/>
      <w:numFmt w:val="lowerLetter"/>
      <w:lvlText w:val="(%1)"/>
      <w:lvlJc w:val="left"/>
      <w:pPr>
        <w:ind w:left="1605" w:hanging="360"/>
      </w:pPr>
      <w:rPr>
        <w:rFonts w:hint="default"/>
        <w:i/>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35"/>
    <w:rsid w:val="00016750"/>
    <w:rsid w:val="000658B4"/>
    <w:rsid w:val="000C3C61"/>
    <w:rsid w:val="000F1736"/>
    <w:rsid w:val="00115926"/>
    <w:rsid w:val="00135B7F"/>
    <w:rsid w:val="00153863"/>
    <w:rsid w:val="001B482B"/>
    <w:rsid w:val="001D2EE2"/>
    <w:rsid w:val="001E4BB4"/>
    <w:rsid w:val="00243624"/>
    <w:rsid w:val="002478FF"/>
    <w:rsid w:val="002772AC"/>
    <w:rsid w:val="00292A95"/>
    <w:rsid w:val="002D3857"/>
    <w:rsid w:val="002F2F75"/>
    <w:rsid w:val="00311785"/>
    <w:rsid w:val="003672DA"/>
    <w:rsid w:val="00401C6A"/>
    <w:rsid w:val="00435517"/>
    <w:rsid w:val="00446AB1"/>
    <w:rsid w:val="004852FB"/>
    <w:rsid w:val="004E0080"/>
    <w:rsid w:val="005021E6"/>
    <w:rsid w:val="00526F0A"/>
    <w:rsid w:val="00533314"/>
    <w:rsid w:val="00535C99"/>
    <w:rsid w:val="005A1991"/>
    <w:rsid w:val="005A1A5A"/>
    <w:rsid w:val="005B3EA5"/>
    <w:rsid w:val="005F6C9D"/>
    <w:rsid w:val="00627618"/>
    <w:rsid w:val="0066505B"/>
    <w:rsid w:val="00686293"/>
    <w:rsid w:val="006B2E0A"/>
    <w:rsid w:val="006C3FD3"/>
    <w:rsid w:val="006D3C38"/>
    <w:rsid w:val="007A118D"/>
    <w:rsid w:val="007A4F1A"/>
    <w:rsid w:val="007C352C"/>
    <w:rsid w:val="007D1DE8"/>
    <w:rsid w:val="007F3994"/>
    <w:rsid w:val="00863B3A"/>
    <w:rsid w:val="00867BD2"/>
    <w:rsid w:val="009165C8"/>
    <w:rsid w:val="009A503A"/>
    <w:rsid w:val="009C1195"/>
    <w:rsid w:val="00A07547"/>
    <w:rsid w:val="00A11E10"/>
    <w:rsid w:val="00A125CE"/>
    <w:rsid w:val="00AB771A"/>
    <w:rsid w:val="00AD5EB6"/>
    <w:rsid w:val="00AE0D0B"/>
    <w:rsid w:val="00AF1A12"/>
    <w:rsid w:val="00B2004B"/>
    <w:rsid w:val="00B247FB"/>
    <w:rsid w:val="00B303CB"/>
    <w:rsid w:val="00B50A30"/>
    <w:rsid w:val="00BA2369"/>
    <w:rsid w:val="00C00096"/>
    <w:rsid w:val="00C33E06"/>
    <w:rsid w:val="00C60F4E"/>
    <w:rsid w:val="00C6246A"/>
    <w:rsid w:val="00C97E83"/>
    <w:rsid w:val="00CE6E87"/>
    <w:rsid w:val="00D02BEC"/>
    <w:rsid w:val="00D66035"/>
    <w:rsid w:val="00D95729"/>
    <w:rsid w:val="00DA0FD6"/>
    <w:rsid w:val="00DC3C54"/>
    <w:rsid w:val="00EB7B33"/>
    <w:rsid w:val="00EC75B2"/>
    <w:rsid w:val="00EE4E02"/>
    <w:rsid w:val="00F02A20"/>
    <w:rsid w:val="00F348C5"/>
    <w:rsid w:val="00F819E8"/>
    <w:rsid w:val="00F84727"/>
    <w:rsid w:val="00F95514"/>
    <w:rsid w:val="00F958D8"/>
    <w:rsid w:val="00FE62B2"/>
    <w:rsid w:val="00FF24DC"/>
    <w:rsid w:val="00FF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B61B"/>
  <w15:chartTrackingRefBased/>
  <w15:docId w15:val="{F218FA46-FAE8-46FE-83EE-6800C259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0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926"/>
    <w:pPr>
      <w:ind w:left="720"/>
      <w:contextualSpacing/>
    </w:pPr>
  </w:style>
  <w:style w:type="character" w:customStyle="1" w:styleId="t">
    <w:name w:val="t"/>
    <w:basedOn w:val="DefaultParagraphFont"/>
    <w:rsid w:val="00115926"/>
  </w:style>
  <w:style w:type="paragraph" w:styleId="BodyText2">
    <w:name w:val="Body Text 2"/>
    <w:basedOn w:val="Normal"/>
    <w:link w:val="BodyText2Char"/>
    <w:semiHidden/>
    <w:rsid w:val="00A125CE"/>
    <w:pPr>
      <w:spacing w:after="0" w:line="480" w:lineRule="auto"/>
      <w:jc w:val="both"/>
    </w:pPr>
    <w:rPr>
      <w:rFonts w:ascii="Courier New" w:eastAsia="Times New Roman" w:hAnsi="Courier New" w:cs="Times New Roman"/>
      <w:sz w:val="24"/>
      <w:szCs w:val="20"/>
    </w:rPr>
  </w:style>
  <w:style w:type="character" w:customStyle="1" w:styleId="BodyText2Char">
    <w:name w:val="Body Text 2 Char"/>
    <w:basedOn w:val="DefaultParagraphFont"/>
    <w:link w:val="BodyText2"/>
    <w:semiHidden/>
    <w:rsid w:val="00A125CE"/>
    <w:rPr>
      <w:rFonts w:ascii="Courier New" w:eastAsia="Times New Roman" w:hAnsi="Courier New" w:cs="Times New Roman"/>
      <w:sz w:val="24"/>
      <w:szCs w:val="20"/>
    </w:rPr>
  </w:style>
  <w:style w:type="paragraph" w:customStyle="1" w:styleId="Default">
    <w:name w:val="Default"/>
    <w:rsid w:val="00AB771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02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1E6"/>
    <w:rPr>
      <w:rFonts w:ascii="Segoe UI" w:hAnsi="Segoe UI" w:cs="Segoe UI"/>
      <w:sz w:val="18"/>
      <w:szCs w:val="18"/>
    </w:rPr>
  </w:style>
  <w:style w:type="paragraph" w:styleId="Header">
    <w:name w:val="header"/>
    <w:basedOn w:val="Normal"/>
    <w:link w:val="HeaderChar"/>
    <w:uiPriority w:val="99"/>
    <w:unhideWhenUsed/>
    <w:rsid w:val="00502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1E6"/>
  </w:style>
  <w:style w:type="paragraph" w:styleId="Footer">
    <w:name w:val="footer"/>
    <w:basedOn w:val="Normal"/>
    <w:link w:val="FooterChar"/>
    <w:uiPriority w:val="99"/>
    <w:unhideWhenUsed/>
    <w:rsid w:val="00502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2022-11-10T14:07:00Z</cp:lastPrinted>
  <dcterms:created xsi:type="dcterms:W3CDTF">2022-11-18T10:39:00Z</dcterms:created>
  <dcterms:modified xsi:type="dcterms:W3CDTF">2022-11-18T10:39:00Z</dcterms:modified>
</cp:coreProperties>
</file>