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3EAED" w14:textId="461B84DB" w:rsidR="00775FEB" w:rsidRDefault="00775FEB" w:rsidP="00833846">
      <w:pPr>
        <w:spacing w:line="360" w:lineRule="auto"/>
        <w:jc w:val="both"/>
        <w:rPr>
          <w:rFonts w:ascii="Times New Roman" w:hAnsi="Times New Roman" w:cs="Times New Roman"/>
          <w:b/>
          <w:sz w:val="24"/>
          <w:szCs w:val="24"/>
          <w:u w:val="single"/>
        </w:rPr>
      </w:pPr>
      <w:bookmarkStart w:id="0" w:name="_GoBack"/>
      <w:bookmarkEnd w:id="0"/>
      <w:r w:rsidRPr="00775FEB">
        <w:rPr>
          <w:rFonts w:ascii="Times New Roman" w:hAnsi="Times New Roman" w:cs="Times New Roman"/>
          <w:b/>
          <w:sz w:val="24"/>
          <w:szCs w:val="24"/>
          <w:u w:val="single"/>
        </w:rPr>
        <w:t xml:space="preserve">REPORTABLE </w:t>
      </w:r>
      <w:r w:rsidR="004957D9">
        <w:rPr>
          <w:rFonts w:ascii="Times New Roman" w:hAnsi="Times New Roman" w:cs="Times New Roman"/>
          <w:b/>
          <w:sz w:val="24"/>
          <w:szCs w:val="24"/>
          <w:u w:val="single"/>
        </w:rPr>
        <w:t xml:space="preserve"> </w:t>
      </w:r>
      <w:r w:rsidR="00157804">
        <w:rPr>
          <w:rFonts w:ascii="Times New Roman" w:hAnsi="Times New Roman" w:cs="Times New Roman"/>
          <w:b/>
          <w:sz w:val="24"/>
          <w:szCs w:val="24"/>
          <w:u w:val="single"/>
        </w:rPr>
        <w:t xml:space="preserve"> </w:t>
      </w:r>
      <w:r w:rsidRPr="00775FEB">
        <w:rPr>
          <w:rFonts w:ascii="Times New Roman" w:hAnsi="Times New Roman" w:cs="Times New Roman"/>
          <w:b/>
          <w:sz w:val="24"/>
          <w:szCs w:val="24"/>
          <w:u w:val="single"/>
        </w:rPr>
        <w:t>(</w:t>
      </w:r>
      <w:r w:rsidR="0021284E">
        <w:rPr>
          <w:rFonts w:ascii="Times New Roman" w:hAnsi="Times New Roman" w:cs="Times New Roman"/>
          <w:b/>
          <w:sz w:val="24"/>
          <w:szCs w:val="24"/>
          <w:u w:val="single"/>
        </w:rPr>
        <w:t>70</w:t>
      </w:r>
      <w:r w:rsidRPr="00775FEB">
        <w:rPr>
          <w:rFonts w:ascii="Times New Roman" w:hAnsi="Times New Roman" w:cs="Times New Roman"/>
          <w:b/>
          <w:sz w:val="24"/>
          <w:szCs w:val="24"/>
          <w:u w:val="single"/>
        </w:rPr>
        <w:t>)</w:t>
      </w:r>
      <w:r w:rsidR="0067430F" w:rsidRPr="00775FEB">
        <w:rPr>
          <w:rFonts w:ascii="Times New Roman" w:hAnsi="Times New Roman" w:cs="Times New Roman"/>
          <w:b/>
          <w:sz w:val="24"/>
          <w:szCs w:val="24"/>
          <w:u w:val="single"/>
        </w:rPr>
        <w:t xml:space="preserve">                                                                                                   </w:t>
      </w:r>
    </w:p>
    <w:p w14:paraId="2C740A24" w14:textId="1B988507" w:rsidR="0015296A" w:rsidRPr="00775FEB" w:rsidRDefault="0015296A" w:rsidP="00833846">
      <w:pPr>
        <w:spacing w:line="360" w:lineRule="auto"/>
        <w:jc w:val="both"/>
        <w:rPr>
          <w:rFonts w:ascii="Times New Roman" w:hAnsi="Times New Roman" w:cs="Times New Roman"/>
          <w:b/>
          <w:sz w:val="24"/>
          <w:szCs w:val="24"/>
          <w:u w:val="single"/>
        </w:rPr>
      </w:pPr>
      <w:r w:rsidRPr="00FB6508">
        <w:rPr>
          <w:rFonts w:ascii="Times New Roman" w:hAnsi="Times New Roman" w:cs="Times New Roman"/>
          <w:sz w:val="24"/>
          <w:szCs w:val="24"/>
        </w:rPr>
        <w:t xml:space="preserve">                              </w:t>
      </w:r>
    </w:p>
    <w:p w14:paraId="2B1E501A" w14:textId="2438A729" w:rsidR="007348E2" w:rsidRDefault="00775FEB" w:rsidP="00775FEB">
      <w:pPr>
        <w:spacing w:after="0" w:line="24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ZIMBABWE     REVENUE     AUTHORITY</w:t>
      </w:r>
    </w:p>
    <w:p w14:paraId="71CB4648" w14:textId="1C935ABF" w:rsidR="00775FEB" w:rsidRPr="00FB6508" w:rsidRDefault="00775FEB" w:rsidP="00775FEB">
      <w:pPr>
        <w:spacing w:after="0" w:line="24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v</w:t>
      </w:r>
    </w:p>
    <w:p w14:paraId="44F3B968" w14:textId="2C71A610" w:rsidR="0015296A" w:rsidRPr="00FB6508" w:rsidRDefault="00775FEB" w:rsidP="00775FEB">
      <w:pPr>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 xml:space="preserve">NESTLE     ZIMBABWE     (PRIVATE)     </w:t>
      </w:r>
      <w:r w:rsidR="007348E2" w:rsidRPr="00FB6508">
        <w:rPr>
          <w:rFonts w:ascii="Times New Roman" w:hAnsi="Times New Roman" w:cs="Times New Roman"/>
          <w:b/>
          <w:sz w:val="24"/>
          <w:szCs w:val="24"/>
        </w:rPr>
        <w:t>L</w:t>
      </w:r>
      <w:r>
        <w:rPr>
          <w:rFonts w:ascii="Times New Roman" w:hAnsi="Times New Roman" w:cs="Times New Roman"/>
          <w:b/>
          <w:sz w:val="24"/>
          <w:szCs w:val="24"/>
        </w:rPr>
        <w:t>IMITED</w:t>
      </w:r>
    </w:p>
    <w:p w14:paraId="551C9AF4" w14:textId="77777777" w:rsidR="0015296A" w:rsidRPr="00FB6508" w:rsidRDefault="0015296A" w:rsidP="00833846">
      <w:pPr>
        <w:spacing w:line="360" w:lineRule="auto"/>
        <w:jc w:val="both"/>
        <w:rPr>
          <w:rFonts w:ascii="Times New Roman" w:hAnsi="Times New Roman" w:cs="Times New Roman"/>
          <w:b/>
          <w:sz w:val="24"/>
          <w:szCs w:val="24"/>
        </w:rPr>
      </w:pPr>
    </w:p>
    <w:p w14:paraId="45716A1E" w14:textId="77777777" w:rsidR="0067430F" w:rsidRPr="00FB6508" w:rsidRDefault="0067430F" w:rsidP="0040517F">
      <w:pPr>
        <w:spacing w:after="0" w:line="240" w:lineRule="auto"/>
        <w:jc w:val="both"/>
        <w:rPr>
          <w:rFonts w:ascii="Times New Roman" w:hAnsi="Times New Roman" w:cs="Times New Roman"/>
          <w:b/>
          <w:sz w:val="24"/>
          <w:szCs w:val="24"/>
        </w:rPr>
      </w:pPr>
    </w:p>
    <w:p w14:paraId="2B00D4D2" w14:textId="77777777" w:rsidR="0015296A" w:rsidRPr="00FB6508" w:rsidRDefault="0015296A" w:rsidP="00775FEB">
      <w:pPr>
        <w:spacing w:after="0" w:line="240" w:lineRule="auto"/>
        <w:jc w:val="both"/>
        <w:rPr>
          <w:rFonts w:ascii="Times New Roman" w:hAnsi="Times New Roman" w:cs="Times New Roman"/>
          <w:b/>
          <w:sz w:val="24"/>
          <w:szCs w:val="24"/>
        </w:rPr>
      </w:pPr>
      <w:r w:rsidRPr="00FB6508">
        <w:rPr>
          <w:rFonts w:ascii="Times New Roman" w:hAnsi="Times New Roman" w:cs="Times New Roman"/>
          <w:b/>
          <w:sz w:val="24"/>
          <w:szCs w:val="24"/>
        </w:rPr>
        <w:t>SUPREME COURT OF ZIMBABWE</w:t>
      </w:r>
    </w:p>
    <w:p w14:paraId="59F1408C" w14:textId="6A19C176" w:rsidR="0015296A" w:rsidRPr="00FB6508" w:rsidRDefault="00D50A27" w:rsidP="00775FEB">
      <w:pPr>
        <w:spacing w:after="0" w:line="240" w:lineRule="auto"/>
        <w:jc w:val="both"/>
        <w:rPr>
          <w:rFonts w:ascii="Times New Roman" w:hAnsi="Times New Roman" w:cs="Times New Roman"/>
          <w:b/>
          <w:sz w:val="24"/>
          <w:szCs w:val="24"/>
        </w:rPr>
      </w:pPr>
      <w:r w:rsidRPr="00FB6508">
        <w:rPr>
          <w:rFonts w:ascii="Times New Roman" w:hAnsi="Times New Roman" w:cs="Times New Roman"/>
          <w:b/>
          <w:sz w:val="24"/>
          <w:szCs w:val="24"/>
        </w:rPr>
        <w:t xml:space="preserve">MAVANGIRA JA, CHIWESHE JA </w:t>
      </w:r>
      <w:r w:rsidR="00FB6508">
        <w:rPr>
          <w:rFonts w:ascii="Times New Roman" w:hAnsi="Times New Roman" w:cs="Times New Roman"/>
          <w:b/>
          <w:sz w:val="24"/>
          <w:szCs w:val="24"/>
        </w:rPr>
        <w:t>&amp;</w:t>
      </w:r>
      <w:r w:rsidRPr="00FB6508">
        <w:rPr>
          <w:rFonts w:ascii="Times New Roman" w:hAnsi="Times New Roman" w:cs="Times New Roman"/>
          <w:b/>
          <w:sz w:val="24"/>
          <w:szCs w:val="24"/>
        </w:rPr>
        <w:t xml:space="preserve"> MUSAKWA JA</w:t>
      </w:r>
    </w:p>
    <w:p w14:paraId="174626E9" w14:textId="64BB2E50" w:rsidR="0015296A" w:rsidRDefault="0015296A" w:rsidP="00775FEB">
      <w:pPr>
        <w:spacing w:after="0" w:line="240" w:lineRule="auto"/>
        <w:jc w:val="both"/>
        <w:rPr>
          <w:rFonts w:ascii="Times New Roman" w:hAnsi="Times New Roman" w:cs="Times New Roman"/>
          <w:b/>
          <w:sz w:val="24"/>
          <w:szCs w:val="24"/>
        </w:rPr>
      </w:pPr>
      <w:r w:rsidRPr="00FB6508">
        <w:rPr>
          <w:rFonts w:ascii="Times New Roman" w:hAnsi="Times New Roman" w:cs="Times New Roman"/>
          <w:b/>
          <w:sz w:val="24"/>
          <w:szCs w:val="24"/>
        </w:rPr>
        <w:t xml:space="preserve">HARARE: </w:t>
      </w:r>
      <w:r w:rsidR="00D50A27" w:rsidRPr="00FB6508">
        <w:rPr>
          <w:rFonts w:ascii="Times New Roman" w:hAnsi="Times New Roman" w:cs="Times New Roman"/>
          <w:b/>
          <w:sz w:val="24"/>
          <w:szCs w:val="24"/>
        </w:rPr>
        <w:t xml:space="preserve"> </w:t>
      </w:r>
      <w:r w:rsidR="008C161F">
        <w:rPr>
          <w:rFonts w:ascii="Times New Roman" w:hAnsi="Times New Roman" w:cs="Times New Roman"/>
          <w:b/>
          <w:sz w:val="24"/>
          <w:szCs w:val="24"/>
        </w:rPr>
        <w:t>27 OCTO</w:t>
      </w:r>
      <w:r w:rsidR="00D50A27" w:rsidRPr="00FB6508">
        <w:rPr>
          <w:rFonts w:ascii="Times New Roman" w:hAnsi="Times New Roman" w:cs="Times New Roman"/>
          <w:b/>
          <w:sz w:val="24"/>
          <w:szCs w:val="24"/>
        </w:rPr>
        <w:t>BER</w:t>
      </w:r>
      <w:r w:rsidR="007348E2" w:rsidRPr="00FB6508">
        <w:rPr>
          <w:rFonts w:ascii="Times New Roman" w:hAnsi="Times New Roman" w:cs="Times New Roman"/>
          <w:b/>
          <w:sz w:val="24"/>
          <w:szCs w:val="24"/>
        </w:rPr>
        <w:t xml:space="preserve"> 2023</w:t>
      </w:r>
      <w:r w:rsidR="006C6587" w:rsidRPr="00FB6508">
        <w:rPr>
          <w:rFonts w:ascii="Times New Roman" w:hAnsi="Times New Roman" w:cs="Times New Roman"/>
          <w:b/>
          <w:sz w:val="24"/>
          <w:szCs w:val="24"/>
        </w:rPr>
        <w:t xml:space="preserve"> </w:t>
      </w:r>
      <w:r w:rsidR="00775FEB">
        <w:rPr>
          <w:rFonts w:ascii="Times New Roman" w:hAnsi="Times New Roman" w:cs="Times New Roman"/>
          <w:b/>
          <w:sz w:val="24"/>
          <w:szCs w:val="24"/>
        </w:rPr>
        <w:t xml:space="preserve">&amp; </w:t>
      </w:r>
      <w:r w:rsidR="000316F0">
        <w:rPr>
          <w:rFonts w:ascii="Times New Roman" w:hAnsi="Times New Roman" w:cs="Times New Roman"/>
          <w:b/>
          <w:sz w:val="24"/>
          <w:szCs w:val="24"/>
        </w:rPr>
        <w:t>19</w:t>
      </w:r>
      <w:r w:rsidR="00A94686">
        <w:rPr>
          <w:rFonts w:ascii="Times New Roman" w:hAnsi="Times New Roman" w:cs="Times New Roman"/>
          <w:b/>
          <w:sz w:val="24"/>
          <w:szCs w:val="24"/>
        </w:rPr>
        <w:t xml:space="preserve"> </w:t>
      </w:r>
      <w:r w:rsidR="00775FEB">
        <w:rPr>
          <w:rFonts w:ascii="Times New Roman" w:hAnsi="Times New Roman" w:cs="Times New Roman"/>
          <w:b/>
          <w:sz w:val="24"/>
          <w:szCs w:val="24"/>
        </w:rPr>
        <w:t>JU</w:t>
      </w:r>
      <w:r w:rsidR="00045EFC">
        <w:rPr>
          <w:rFonts w:ascii="Times New Roman" w:hAnsi="Times New Roman" w:cs="Times New Roman"/>
          <w:b/>
          <w:sz w:val="24"/>
          <w:szCs w:val="24"/>
        </w:rPr>
        <w:t>LY</w:t>
      </w:r>
      <w:r w:rsidR="00775FEB">
        <w:rPr>
          <w:rFonts w:ascii="Times New Roman" w:hAnsi="Times New Roman" w:cs="Times New Roman"/>
          <w:b/>
          <w:sz w:val="24"/>
          <w:szCs w:val="24"/>
        </w:rPr>
        <w:t xml:space="preserve"> 2024</w:t>
      </w:r>
    </w:p>
    <w:p w14:paraId="6A47FA3C" w14:textId="77777777" w:rsidR="00E63A19" w:rsidRPr="00FB6508" w:rsidRDefault="00E63A19" w:rsidP="00775FEB">
      <w:pPr>
        <w:spacing w:after="0" w:line="240" w:lineRule="auto"/>
        <w:jc w:val="both"/>
        <w:rPr>
          <w:rFonts w:ascii="Times New Roman" w:hAnsi="Times New Roman" w:cs="Times New Roman"/>
          <w:b/>
          <w:sz w:val="24"/>
          <w:szCs w:val="24"/>
        </w:rPr>
      </w:pPr>
    </w:p>
    <w:p w14:paraId="717A1EA0" w14:textId="77777777" w:rsidR="00775FEB" w:rsidRPr="00FB6508" w:rsidRDefault="00775FEB" w:rsidP="00775FEB">
      <w:pPr>
        <w:spacing w:after="0" w:line="480" w:lineRule="auto"/>
        <w:jc w:val="both"/>
        <w:rPr>
          <w:rFonts w:ascii="Times New Roman" w:hAnsi="Times New Roman" w:cs="Times New Roman"/>
          <w:b/>
          <w:sz w:val="24"/>
          <w:szCs w:val="24"/>
        </w:rPr>
      </w:pPr>
    </w:p>
    <w:p w14:paraId="768677D8" w14:textId="23A4FECA" w:rsidR="0015296A" w:rsidRPr="00FB6508" w:rsidRDefault="007348E2" w:rsidP="00E63A19">
      <w:pPr>
        <w:spacing w:after="0" w:line="480" w:lineRule="auto"/>
        <w:jc w:val="both"/>
        <w:rPr>
          <w:rFonts w:ascii="Times New Roman" w:hAnsi="Times New Roman" w:cs="Times New Roman"/>
          <w:i/>
          <w:sz w:val="24"/>
          <w:szCs w:val="24"/>
        </w:rPr>
      </w:pPr>
      <w:r w:rsidRPr="00FB6508">
        <w:rPr>
          <w:rFonts w:ascii="Times New Roman" w:hAnsi="Times New Roman" w:cs="Times New Roman"/>
          <w:i/>
          <w:sz w:val="24"/>
          <w:szCs w:val="24"/>
        </w:rPr>
        <w:t>S</w:t>
      </w:r>
      <w:r w:rsidR="00A67A28">
        <w:rPr>
          <w:rFonts w:ascii="Times New Roman" w:hAnsi="Times New Roman" w:cs="Times New Roman"/>
          <w:i/>
          <w:sz w:val="24"/>
          <w:szCs w:val="24"/>
        </w:rPr>
        <w:t>.</w:t>
      </w:r>
      <w:r w:rsidRPr="00FB6508">
        <w:rPr>
          <w:rFonts w:ascii="Times New Roman" w:hAnsi="Times New Roman" w:cs="Times New Roman"/>
          <w:i/>
          <w:sz w:val="24"/>
          <w:szCs w:val="24"/>
        </w:rPr>
        <w:t xml:space="preserve"> Bhebhe</w:t>
      </w:r>
      <w:r w:rsidR="00A67A28">
        <w:rPr>
          <w:rFonts w:ascii="Times New Roman" w:hAnsi="Times New Roman" w:cs="Times New Roman"/>
          <w:i/>
          <w:sz w:val="24"/>
          <w:szCs w:val="24"/>
        </w:rPr>
        <w:t>,</w:t>
      </w:r>
      <w:r w:rsidRPr="00FB6508">
        <w:rPr>
          <w:rFonts w:ascii="Times New Roman" w:hAnsi="Times New Roman" w:cs="Times New Roman"/>
          <w:i/>
          <w:sz w:val="24"/>
          <w:szCs w:val="24"/>
        </w:rPr>
        <w:t xml:space="preserve"> </w:t>
      </w:r>
      <w:r w:rsidR="0015296A" w:rsidRPr="00FB6508">
        <w:rPr>
          <w:rFonts w:ascii="Times New Roman" w:hAnsi="Times New Roman" w:cs="Times New Roman"/>
          <w:sz w:val="24"/>
          <w:szCs w:val="24"/>
        </w:rPr>
        <w:t>for the appellant</w:t>
      </w:r>
    </w:p>
    <w:p w14:paraId="1FB09C5F" w14:textId="6F1C16D6" w:rsidR="0015296A" w:rsidRPr="00FB6508" w:rsidRDefault="007348E2" w:rsidP="00E63A19">
      <w:pPr>
        <w:spacing w:after="0" w:line="480" w:lineRule="auto"/>
        <w:jc w:val="both"/>
        <w:rPr>
          <w:rFonts w:ascii="Times New Roman" w:hAnsi="Times New Roman" w:cs="Times New Roman"/>
          <w:i/>
          <w:sz w:val="24"/>
          <w:szCs w:val="24"/>
        </w:rPr>
      </w:pPr>
      <w:r w:rsidRPr="00FB6508">
        <w:rPr>
          <w:rFonts w:ascii="Times New Roman" w:hAnsi="Times New Roman" w:cs="Times New Roman"/>
          <w:i/>
          <w:sz w:val="24"/>
          <w:szCs w:val="24"/>
        </w:rPr>
        <w:t>M</w:t>
      </w:r>
      <w:r w:rsidR="00A67A28">
        <w:rPr>
          <w:rFonts w:ascii="Times New Roman" w:hAnsi="Times New Roman" w:cs="Times New Roman"/>
          <w:i/>
          <w:sz w:val="24"/>
          <w:szCs w:val="24"/>
        </w:rPr>
        <w:t>.</w:t>
      </w:r>
      <w:r w:rsidRPr="00FB6508">
        <w:rPr>
          <w:rFonts w:ascii="Times New Roman" w:hAnsi="Times New Roman" w:cs="Times New Roman"/>
          <w:i/>
          <w:sz w:val="24"/>
          <w:szCs w:val="24"/>
        </w:rPr>
        <w:t xml:space="preserve"> Tshuma</w:t>
      </w:r>
      <w:r w:rsidR="00A67A28">
        <w:rPr>
          <w:rFonts w:ascii="Times New Roman" w:hAnsi="Times New Roman" w:cs="Times New Roman"/>
          <w:i/>
          <w:sz w:val="24"/>
          <w:szCs w:val="24"/>
        </w:rPr>
        <w:t>,</w:t>
      </w:r>
      <w:r w:rsidRPr="00FB6508">
        <w:rPr>
          <w:rFonts w:ascii="Times New Roman" w:hAnsi="Times New Roman" w:cs="Times New Roman"/>
          <w:i/>
          <w:sz w:val="24"/>
          <w:szCs w:val="24"/>
        </w:rPr>
        <w:t xml:space="preserve"> </w:t>
      </w:r>
      <w:r w:rsidR="0015296A" w:rsidRPr="00FB6508">
        <w:rPr>
          <w:rFonts w:ascii="Times New Roman" w:hAnsi="Times New Roman" w:cs="Times New Roman"/>
          <w:sz w:val="24"/>
          <w:szCs w:val="24"/>
        </w:rPr>
        <w:t>for the respondent</w:t>
      </w:r>
    </w:p>
    <w:p w14:paraId="556BA893" w14:textId="77777777" w:rsidR="0015296A" w:rsidRPr="00FB6508" w:rsidRDefault="0015296A" w:rsidP="00833846">
      <w:pPr>
        <w:spacing w:after="0" w:line="360" w:lineRule="auto"/>
        <w:jc w:val="both"/>
        <w:rPr>
          <w:rFonts w:ascii="Times New Roman" w:hAnsi="Times New Roman" w:cs="Times New Roman"/>
          <w:b/>
          <w:i/>
          <w:sz w:val="24"/>
          <w:szCs w:val="24"/>
        </w:rPr>
      </w:pPr>
    </w:p>
    <w:p w14:paraId="1E2EF4DC" w14:textId="77777777" w:rsidR="0067430F" w:rsidRPr="00FB6508" w:rsidRDefault="0067430F" w:rsidP="00526B52">
      <w:pPr>
        <w:spacing w:after="0" w:line="240" w:lineRule="auto"/>
        <w:jc w:val="both"/>
        <w:rPr>
          <w:rFonts w:ascii="Times New Roman" w:hAnsi="Times New Roman" w:cs="Times New Roman"/>
          <w:b/>
          <w:sz w:val="24"/>
          <w:szCs w:val="24"/>
        </w:rPr>
      </w:pPr>
    </w:p>
    <w:p w14:paraId="0A744D27" w14:textId="5FDABB34" w:rsidR="00236062" w:rsidRPr="00775FEB" w:rsidRDefault="004153B5" w:rsidP="00E63A19">
      <w:pPr>
        <w:spacing w:after="0" w:line="480" w:lineRule="auto"/>
        <w:ind w:hanging="284"/>
        <w:jc w:val="both"/>
        <w:rPr>
          <w:rFonts w:ascii="Times New Roman" w:eastAsia="Calibri" w:hAnsi="Times New Roman" w:cs="Times New Roman"/>
          <w:sz w:val="24"/>
          <w:szCs w:val="24"/>
          <w:lang w:val="en-ZW"/>
        </w:rPr>
      </w:pPr>
      <w:r w:rsidRPr="00775FEB">
        <w:rPr>
          <w:rFonts w:ascii="Times New Roman" w:hAnsi="Times New Roman" w:cs="Times New Roman"/>
          <w:b/>
          <w:sz w:val="24"/>
          <w:szCs w:val="24"/>
        </w:rPr>
        <w:t xml:space="preserve">                 </w:t>
      </w:r>
      <w:r w:rsidR="00526B52">
        <w:rPr>
          <w:rFonts w:ascii="Times New Roman" w:hAnsi="Times New Roman" w:cs="Times New Roman"/>
          <w:b/>
          <w:sz w:val="24"/>
          <w:szCs w:val="24"/>
        </w:rPr>
        <w:t xml:space="preserve">      </w:t>
      </w:r>
      <w:r w:rsidR="00E63A19">
        <w:rPr>
          <w:rFonts w:ascii="Times New Roman" w:hAnsi="Times New Roman" w:cs="Times New Roman"/>
          <w:b/>
          <w:sz w:val="24"/>
          <w:szCs w:val="24"/>
        </w:rPr>
        <w:tab/>
        <w:t>MUSAKWA JA:</w:t>
      </w:r>
      <w:r w:rsidR="00E63A19">
        <w:rPr>
          <w:rFonts w:ascii="Times New Roman" w:hAnsi="Times New Roman" w:cs="Times New Roman"/>
          <w:b/>
          <w:sz w:val="24"/>
          <w:szCs w:val="24"/>
        </w:rPr>
        <w:tab/>
      </w:r>
      <w:r w:rsidR="007348E2" w:rsidRPr="00775FEB">
        <w:rPr>
          <w:rFonts w:ascii="Times New Roman" w:eastAsia="Calibri" w:hAnsi="Times New Roman" w:cs="Times New Roman"/>
          <w:sz w:val="24"/>
          <w:szCs w:val="24"/>
          <w:lang w:val="en-ZW"/>
        </w:rPr>
        <w:t>Th</w:t>
      </w:r>
      <w:r w:rsidR="00E93C65" w:rsidRPr="00775FEB">
        <w:rPr>
          <w:rFonts w:ascii="Times New Roman" w:eastAsia="Calibri" w:hAnsi="Times New Roman" w:cs="Times New Roman"/>
          <w:sz w:val="24"/>
          <w:szCs w:val="24"/>
          <w:lang w:val="en-ZW"/>
        </w:rPr>
        <w:t>is is an</w:t>
      </w:r>
      <w:r w:rsidR="007348E2" w:rsidRPr="00775FEB">
        <w:rPr>
          <w:rFonts w:ascii="Times New Roman" w:eastAsia="Calibri" w:hAnsi="Times New Roman" w:cs="Times New Roman"/>
          <w:sz w:val="24"/>
          <w:szCs w:val="24"/>
          <w:lang w:val="en-ZW"/>
        </w:rPr>
        <w:t xml:space="preserve"> </w:t>
      </w:r>
      <w:r w:rsidR="00236062" w:rsidRPr="00775FEB">
        <w:rPr>
          <w:rFonts w:ascii="Times New Roman" w:eastAsia="Calibri" w:hAnsi="Times New Roman" w:cs="Times New Roman"/>
          <w:sz w:val="24"/>
          <w:szCs w:val="24"/>
          <w:lang w:val="en-ZW"/>
        </w:rPr>
        <w:t>appeal against the</w:t>
      </w:r>
      <w:r w:rsidR="00DB6772">
        <w:rPr>
          <w:rFonts w:ascii="Times New Roman" w:eastAsia="Calibri" w:hAnsi="Times New Roman" w:cs="Times New Roman"/>
          <w:sz w:val="24"/>
          <w:szCs w:val="24"/>
          <w:lang w:val="en-ZW"/>
        </w:rPr>
        <w:t xml:space="preserve"> whole</w:t>
      </w:r>
      <w:r w:rsidR="00236062" w:rsidRPr="00775FEB">
        <w:rPr>
          <w:rFonts w:ascii="Times New Roman" w:eastAsia="Calibri" w:hAnsi="Times New Roman" w:cs="Times New Roman"/>
          <w:sz w:val="24"/>
          <w:szCs w:val="24"/>
          <w:lang w:val="en-ZW"/>
        </w:rPr>
        <w:t xml:space="preserve"> judgment of</w:t>
      </w:r>
      <w:r w:rsidR="00BF6CDD" w:rsidRPr="00775FEB">
        <w:rPr>
          <w:rFonts w:ascii="Times New Roman" w:eastAsia="Calibri" w:hAnsi="Times New Roman" w:cs="Times New Roman"/>
          <w:sz w:val="24"/>
          <w:szCs w:val="24"/>
          <w:lang w:val="en-ZW"/>
        </w:rPr>
        <w:t xml:space="preserve"> the High Court</w:t>
      </w:r>
      <w:r w:rsidR="00236062" w:rsidRPr="00775FEB">
        <w:rPr>
          <w:rFonts w:ascii="Times New Roman" w:eastAsia="Calibri" w:hAnsi="Times New Roman" w:cs="Times New Roman"/>
          <w:sz w:val="24"/>
          <w:szCs w:val="24"/>
          <w:lang w:val="en-ZW"/>
        </w:rPr>
        <w:t xml:space="preserve"> </w:t>
      </w:r>
      <w:r w:rsidR="00BF6CDD" w:rsidRPr="00775FEB">
        <w:rPr>
          <w:rFonts w:ascii="Times New Roman" w:eastAsia="Calibri" w:hAnsi="Times New Roman" w:cs="Times New Roman"/>
          <w:sz w:val="24"/>
          <w:szCs w:val="24"/>
          <w:lang w:val="en-ZW"/>
        </w:rPr>
        <w:t>(</w:t>
      </w:r>
      <w:r w:rsidR="00236062" w:rsidRPr="00775FEB">
        <w:rPr>
          <w:rFonts w:ascii="Times New Roman" w:eastAsia="Calibri" w:hAnsi="Times New Roman" w:cs="Times New Roman"/>
          <w:sz w:val="24"/>
          <w:szCs w:val="24"/>
          <w:lang w:val="en-ZW"/>
        </w:rPr>
        <w:t xml:space="preserve">the court </w:t>
      </w:r>
      <w:r w:rsidR="00236062" w:rsidRPr="00775FEB">
        <w:rPr>
          <w:rFonts w:ascii="Times New Roman" w:eastAsia="Calibri" w:hAnsi="Times New Roman" w:cs="Times New Roman"/>
          <w:i/>
          <w:sz w:val="24"/>
          <w:szCs w:val="24"/>
          <w:lang w:val="en-ZW"/>
        </w:rPr>
        <w:t>a quo</w:t>
      </w:r>
      <w:r w:rsidR="00BF6CDD" w:rsidRPr="00775FEB">
        <w:rPr>
          <w:rFonts w:ascii="Times New Roman" w:eastAsia="Calibri" w:hAnsi="Times New Roman" w:cs="Times New Roman"/>
          <w:sz w:val="24"/>
          <w:szCs w:val="24"/>
          <w:lang w:val="en-ZW"/>
        </w:rPr>
        <w:t>)</w:t>
      </w:r>
      <w:r w:rsidR="00E93C65" w:rsidRPr="00775FEB">
        <w:rPr>
          <w:rFonts w:ascii="Times New Roman" w:eastAsia="Calibri" w:hAnsi="Times New Roman" w:cs="Times New Roman"/>
          <w:sz w:val="24"/>
          <w:szCs w:val="24"/>
          <w:lang w:val="en-ZW"/>
        </w:rPr>
        <w:t xml:space="preserve"> </w:t>
      </w:r>
      <w:r w:rsidR="003C7A34" w:rsidRPr="00775FEB">
        <w:rPr>
          <w:rFonts w:ascii="Times New Roman" w:eastAsia="Calibri" w:hAnsi="Times New Roman" w:cs="Times New Roman"/>
          <w:sz w:val="24"/>
          <w:szCs w:val="24"/>
          <w:lang w:val="en-ZW"/>
        </w:rPr>
        <w:t>wh</w:t>
      </w:r>
      <w:r w:rsidR="00E93C65" w:rsidRPr="00775FEB">
        <w:rPr>
          <w:rFonts w:ascii="Times New Roman" w:eastAsia="Calibri" w:hAnsi="Times New Roman" w:cs="Times New Roman"/>
          <w:sz w:val="24"/>
          <w:szCs w:val="24"/>
          <w:lang w:val="en-ZW"/>
        </w:rPr>
        <w:t>ich</w:t>
      </w:r>
      <w:r w:rsidR="00B6576A" w:rsidRPr="00775FEB">
        <w:rPr>
          <w:rFonts w:ascii="Times New Roman" w:eastAsia="Calibri" w:hAnsi="Times New Roman" w:cs="Times New Roman"/>
          <w:sz w:val="24"/>
          <w:szCs w:val="24"/>
          <w:lang w:val="en-ZW"/>
        </w:rPr>
        <w:t xml:space="preserve"> granted a declaratory</w:t>
      </w:r>
      <w:r w:rsidR="00377C0B" w:rsidRPr="00775FEB">
        <w:rPr>
          <w:rFonts w:ascii="Times New Roman" w:eastAsia="Calibri" w:hAnsi="Times New Roman" w:cs="Times New Roman"/>
          <w:sz w:val="24"/>
          <w:szCs w:val="24"/>
          <w:lang w:val="en-ZW"/>
        </w:rPr>
        <w:t xml:space="preserve"> order</w:t>
      </w:r>
      <w:r w:rsidR="00B6576A" w:rsidRPr="00775FEB">
        <w:rPr>
          <w:rFonts w:ascii="Times New Roman" w:eastAsia="Calibri" w:hAnsi="Times New Roman" w:cs="Times New Roman"/>
          <w:sz w:val="24"/>
          <w:szCs w:val="24"/>
          <w:lang w:val="en-ZW"/>
        </w:rPr>
        <w:t xml:space="preserve"> in favour of the respondent to the effect that the appellant could not issue replacement notices of revised tax assessments</w:t>
      </w:r>
      <w:r w:rsidR="00E63A19">
        <w:rPr>
          <w:rFonts w:ascii="Times New Roman" w:eastAsia="Calibri" w:hAnsi="Times New Roman" w:cs="Times New Roman"/>
          <w:sz w:val="24"/>
          <w:szCs w:val="24"/>
          <w:lang w:val="en-ZW"/>
        </w:rPr>
        <w:t xml:space="preserve">.  </w:t>
      </w:r>
      <w:r w:rsidR="00752A99" w:rsidRPr="00775FEB">
        <w:rPr>
          <w:rFonts w:ascii="Times New Roman" w:eastAsia="Calibri" w:hAnsi="Times New Roman" w:cs="Times New Roman"/>
          <w:sz w:val="24"/>
          <w:szCs w:val="24"/>
          <w:lang w:val="en-ZW"/>
        </w:rPr>
        <w:t>This is because</w:t>
      </w:r>
      <w:r w:rsidR="00B6576A" w:rsidRPr="00775FEB">
        <w:rPr>
          <w:rFonts w:ascii="Times New Roman" w:eastAsia="Calibri" w:hAnsi="Times New Roman" w:cs="Times New Roman"/>
          <w:sz w:val="24"/>
          <w:szCs w:val="24"/>
          <w:lang w:val="en-ZW"/>
        </w:rPr>
        <w:t xml:space="preserve"> the</w:t>
      </w:r>
      <w:r w:rsidR="00D96634" w:rsidRPr="00775FEB">
        <w:rPr>
          <w:rFonts w:ascii="Times New Roman" w:eastAsia="Calibri" w:hAnsi="Times New Roman" w:cs="Times New Roman"/>
          <w:sz w:val="24"/>
          <w:szCs w:val="24"/>
          <w:lang w:val="en-ZW"/>
        </w:rPr>
        <w:t xml:space="preserve"> </w:t>
      </w:r>
      <w:r w:rsidR="00B6576A" w:rsidRPr="00775FEB">
        <w:rPr>
          <w:rFonts w:ascii="Times New Roman" w:eastAsia="Calibri" w:hAnsi="Times New Roman" w:cs="Times New Roman"/>
          <w:sz w:val="24"/>
          <w:szCs w:val="24"/>
          <w:lang w:val="en-ZW"/>
        </w:rPr>
        <w:t xml:space="preserve">revised assessments </w:t>
      </w:r>
      <w:r w:rsidR="00D96634" w:rsidRPr="00775FEB">
        <w:rPr>
          <w:rFonts w:ascii="Times New Roman" w:eastAsia="Calibri" w:hAnsi="Times New Roman" w:cs="Times New Roman"/>
          <w:sz w:val="24"/>
          <w:szCs w:val="24"/>
          <w:lang w:val="en-ZW"/>
        </w:rPr>
        <w:t>had been</w:t>
      </w:r>
      <w:r w:rsidR="00B6576A" w:rsidRPr="00775FEB">
        <w:rPr>
          <w:rFonts w:ascii="Times New Roman" w:eastAsia="Calibri" w:hAnsi="Times New Roman" w:cs="Times New Roman"/>
          <w:sz w:val="24"/>
          <w:szCs w:val="24"/>
          <w:lang w:val="en-ZW"/>
        </w:rPr>
        <w:t xml:space="preserve"> invalidate</w:t>
      </w:r>
      <w:r w:rsidR="003C7A34" w:rsidRPr="00775FEB">
        <w:rPr>
          <w:rFonts w:ascii="Times New Roman" w:eastAsia="Calibri" w:hAnsi="Times New Roman" w:cs="Times New Roman"/>
          <w:sz w:val="24"/>
          <w:szCs w:val="24"/>
          <w:lang w:val="en-ZW"/>
        </w:rPr>
        <w:t>d and set aside</w:t>
      </w:r>
      <w:r w:rsidR="00752A99" w:rsidRPr="00775FEB">
        <w:rPr>
          <w:rFonts w:ascii="Times New Roman" w:eastAsia="Calibri" w:hAnsi="Times New Roman" w:cs="Times New Roman"/>
          <w:sz w:val="24"/>
          <w:szCs w:val="24"/>
          <w:lang w:val="en-ZW"/>
        </w:rPr>
        <w:t xml:space="preserve"> in an earlier decision</w:t>
      </w:r>
      <w:r w:rsidR="003C7A34" w:rsidRPr="00775FEB">
        <w:rPr>
          <w:rFonts w:ascii="Times New Roman" w:eastAsia="Calibri" w:hAnsi="Times New Roman" w:cs="Times New Roman"/>
          <w:sz w:val="24"/>
          <w:szCs w:val="24"/>
          <w:lang w:val="en-ZW"/>
        </w:rPr>
        <w:t xml:space="preserve"> </w:t>
      </w:r>
      <w:r w:rsidR="00752A99" w:rsidRPr="00775FEB">
        <w:rPr>
          <w:rFonts w:ascii="Times New Roman" w:eastAsia="Calibri" w:hAnsi="Times New Roman" w:cs="Times New Roman"/>
          <w:sz w:val="24"/>
          <w:szCs w:val="24"/>
          <w:lang w:val="en-ZW"/>
        </w:rPr>
        <w:t>of</w:t>
      </w:r>
      <w:r w:rsidR="00526B52">
        <w:rPr>
          <w:rFonts w:ascii="Times New Roman" w:eastAsia="Calibri" w:hAnsi="Times New Roman" w:cs="Times New Roman"/>
          <w:sz w:val="24"/>
          <w:szCs w:val="24"/>
          <w:lang w:val="en-ZW"/>
        </w:rPr>
        <w:t xml:space="preserve"> this C</w:t>
      </w:r>
      <w:r w:rsidR="003C7A34" w:rsidRPr="00775FEB">
        <w:rPr>
          <w:rFonts w:ascii="Times New Roman" w:eastAsia="Calibri" w:hAnsi="Times New Roman" w:cs="Times New Roman"/>
          <w:sz w:val="24"/>
          <w:szCs w:val="24"/>
          <w:lang w:val="en-ZW"/>
        </w:rPr>
        <w:t xml:space="preserve">ourt. </w:t>
      </w:r>
    </w:p>
    <w:p w14:paraId="389EC93E" w14:textId="3939E8B9" w:rsidR="006C6587" w:rsidRPr="00526B52" w:rsidRDefault="006C6587" w:rsidP="00526B52">
      <w:pPr>
        <w:spacing w:after="0" w:line="480" w:lineRule="auto"/>
        <w:jc w:val="both"/>
        <w:rPr>
          <w:rFonts w:ascii="Times New Roman" w:hAnsi="Times New Roman" w:cs="Times New Roman"/>
          <w:sz w:val="24"/>
          <w:szCs w:val="24"/>
          <w:lang w:val="en-GB"/>
        </w:rPr>
      </w:pPr>
      <w:r w:rsidRPr="00775FEB">
        <w:rPr>
          <w:rFonts w:ascii="Times New Roman" w:eastAsia="Calibri" w:hAnsi="Times New Roman" w:cs="Times New Roman"/>
          <w:sz w:val="24"/>
          <w:szCs w:val="24"/>
          <w:lang w:val="en-ZW"/>
        </w:rPr>
        <w:t xml:space="preserve"> </w:t>
      </w:r>
    </w:p>
    <w:p w14:paraId="4243503B" w14:textId="1AD0EA2B" w:rsidR="00526B52" w:rsidRPr="00775FEB" w:rsidRDefault="00E63A19" w:rsidP="00E63A19">
      <w:pPr>
        <w:pStyle w:val="Default"/>
        <w:spacing w:line="360" w:lineRule="auto"/>
        <w:ind w:left="306" w:firstLine="1134"/>
        <w:jc w:val="both"/>
        <w:rPr>
          <w:rFonts w:ascii="Times New Roman" w:hAnsi="Times New Roman" w:cs="Times New Roman"/>
        </w:rPr>
      </w:pPr>
      <w:r>
        <w:rPr>
          <w:rFonts w:ascii="Times New Roman" w:hAnsi="Times New Roman" w:cs="Times New Roman"/>
        </w:rPr>
        <w:t>The a</w:t>
      </w:r>
      <w:r w:rsidR="009E267F" w:rsidRPr="00775FEB">
        <w:rPr>
          <w:rFonts w:ascii="Times New Roman" w:hAnsi="Times New Roman" w:cs="Times New Roman"/>
        </w:rPr>
        <w:t>ppellant prays for the following relief</w:t>
      </w:r>
      <w:r w:rsidR="003168D9" w:rsidRPr="00775FEB">
        <w:rPr>
          <w:rFonts w:ascii="Times New Roman" w:hAnsi="Times New Roman" w:cs="Times New Roman"/>
        </w:rPr>
        <w:t>:</w:t>
      </w:r>
      <w:r w:rsidR="009E267F" w:rsidRPr="00775FEB">
        <w:rPr>
          <w:rFonts w:ascii="Times New Roman" w:hAnsi="Times New Roman" w:cs="Times New Roman"/>
        </w:rPr>
        <w:t xml:space="preserve"> </w:t>
      </w:r>
    </w:p>
    <w:p w14:paraId="5E21EDE6" w14:textId="77777777" w:rsidR="007348E2" w:rsidRPr="00775FEB" w:rsidRDefault="007348E2" w:rsidP="00E63A19">
      <w:pPr>
        <w:pStyle w:val="Default"/>
        <w:numPr>
          <w:ilvl w:val="0"/>
          <w:numId w:val="16"/>
        </w:numPr>
        <w:tabs>
          <w:tab w:val="left" w:pos="567"/>
          <w:tab w:val="left" w:pos="1080"/>
        </w:tabs>
        <w:spacing w:line="480" w:lineRule="auto"/>
        <w:ind w:left="851" w:hanging="131"/>
        <w:jc w:val="both"/>
        <w:rPr>
          <w:rFonts w:ascii="Times New Roman" w:hAnsi="Times New Roman" w:cs="Times New Roman"/>
        </w:rPr>
      </w:pPr>
      <w:r w:rsidRPr="00775FEB">
        <w:rPr>
          <w:rFonts w:ascii="Times New Roman" w:hAnsi="Times New Roman" w:cs="Times New Roman"/>
          <w:lang w:val="en-US"/>
        </w:rPr>
        <w:t>The appeal be and is hereby allowed with costs</w:t>
      </w:r>
    </w:p>
    <w:p w14:paraId="56B0873D" w14:textId="77777777" w:rsidR="007348E2" w:rsidRPr="00775FEB" w:rsidRDefault="007348E2" w:rsidP="00E63A19">
      <w:pPr>
        <w:pStyle w:val="Default"/>
        <w:numPr>
          <w:ilvl w:val="0"/>
          <w:numId w:val="16"/>
        </w:numPr>
        <w:tabs>
          <w:tab w:val="left" w:pos="990"/>
        </w:tabs>
        <w:spacing w:line="480" w:lineRule="auto"/>
        <w:ind w:left="990" w:hanging="270"/>
        <w:jc w:val="both"/>
        <w:rPr>
          <w:rFonts w:ascii="Times New Roman" w:hAnsi="Times New Roman" w:cs="Times New Roman"/>
        </w:rPr>
      </w:pPr>
      <w:r w:rsidRPr="00775FEB">
        <w:rPr>
          <w:rFonts w:ascii="Times New Roman" w:hAnsi="Times New Roman" w:cs="Times New Roman"/>
          <w:lang w:val="en-US"/>
        </w:rPr>
        <w:t xml:space="preserve"> The judgment of the court </w:t>
      </w:r>
      <w:r w:rsidRPr="00430CD6">
        <w:rPr>
          <w:rFonts w:ascii="Times New Roman" w:hAnsi="Times New Roman" w:cs="Times New Roman"/>
          <w:i/>
          <w:lang w:val="en-US"/>
        </w:rPr>
        <w:t>a quo</w:t>
      </w:r>
      <w:r w:rsidRPr="00775FEB">
        <w:rPr>
          <w:rFonts w:ascii="Times New Roman" w:hAnsi="Times New Roman" w:cs="Times New Roman"/>
          <w:lang w:val="en-US"/>
        </w:rPr>
        <w:t xml:space="preserve"> be and is hereby set aside in its entirety and substituted with the following order: </w:t>
      </w:r>
    </w:p>
    <w:p w14:paraId="4D412493" w14:textId="77777777" w:rsidR="007348E2" w:rsidRPr="00775FEB" w:rsidRDefault="007348E2" w:rsidP="0021284E">
      <w:pPr>
        <w:pStyle w:val="Default"/>
        <w:spacing w:line="480" w:lineRule="auto"/>
        <w:ind w:left="1800" w:hanging="360"/>
        <w:jc w:val="both"/>
        <w:rPr>
          <w:rFonts w:ascii="Times New Roman" w:hAnsi="Times New Roman" w:cs="Times New Roman"/>
        </w:rPr>
      </w:pPr>
      <w:r w:rsidRPr="00775FEB">
        <w:rPr>
          <w:rFonts w:ascii="Times New Roman" w:hAnsi="Times New Roman" w:cs="Times New Roman"/>
          <w:lang w:val="en-US"/>
        </w:rPr>
        <w:t>“The application be and is hereby dismissed with costs.”</w:t>
      </w:r>
    </w:p>
    <w:p w14:paraId="5724E714" w14:textId="77777777" w:rsidR="007348E2" w:rsidRPr="00775FEB" w:rsidRDefault="009E267F" w:rsidP="00526B52">
      <w:pPr>
        <w:pStyle w:val="Default"/>
        <w:spacing w:line="480" w:lineRule="auto"/>
        <w:ind w:left="1440"/>
        <w:jc w:val="both"/>
        <w:rPr>
          <w:rFonts w:ascii="Times New Roman" w:hAnsi="Times New Roman" w:cs="Times New Roman"/>
        </w:rPr>
      </w:pPr>
      <w:r w:rsidRPr="00775FEB">
        <w:rPr>
          <w:rFonts w:ascii="Times New Roman" w:hAnsi="Times New Roman" w:cs="Times New Roman"/>
        </w:rPr>
        <w:t xml:space="preserve"> </w:t>
      </w:r>
    </w:p>
    <w:p w14:paraId="3DC1D5A3" w14:textId="77777777" w:rsidR="00A167F9" w:rsidRPr="00526B52" w:rsidRDefault="00833846" w:rsidP="00775FEB">
      <w:pPr>
        <w:spacing w:line="360" w:lineRule="auto"/>
        <w:jc w:val="both"/>
        <w:rPr>
          <w:rFonts w:ascii="Times New Roman" w:hAnsi="Times New Roman" w:cs="Times New Roman"/>
          <w:b/>
          <w:sz w:val="24"/>
          <w:szCs w:val="24"/>
          <w:u w:val="single"/>
        </w:rPr>
      </w:pPr>
      <w:r w:rsidRPr="00526B52">
        <w:rPr>
          <w:rFonts w:ascii="Times New Roman" w:hAnsi="Times New Roman" w:cs="Times New Roman"/>
          <w:b/>
          <w:sz w:val="24"/>
          <w:szCs w:val="24"/>
          <w:u w:val="single"/>
        </w:rPr>
        <w:t xml:space="preserve">BACKGROUND </w:t>
      </w:r>
    </w:p>
    <w:p w14:paraId="6DBEBA1C" w14:textId="542FCBD7" w:rsidR="00AC76F9" w:rsidRDefault="00E63624" w:rsidP="00E63A19">
      <w:pPr>
        <w:spacing w:line="480" w:lineRule="auto"/>
        <w:ind w:firstLine="1440"/>
        <w:jc w:val="both"/>
        <w:rPr>
          <w:rFonts w:ascii="Times New Roman" w:hAnsi="Times New Roman" w:cs="Times New Roman"/>
          <w:sz w:val="24"/>
          <w:szCs w:val="24"/>
        </w:rPr>
      </w:pPr>
      <w:r w:rsidRPr="00775FEB">
        <w:rPr>
          <w:rFonts w:ascii="Times New Roman" w:hAnsi="Times New Roman" w:cs="Times New Roman"/>
          <w:sz w:val="24"/>
          <w:szCs w:val="24"/>
        </w:rPr>
        <w:lastRenderedPageBreak/>
        <w:t>The matter before this Court relates to an interminable income tax dispute between the appellant</w:t>
      </w:r>
      <w:r w:rsidR="00DB6772">
        <w:rPr>
          <w:rFonts w:ascii="Times New Roman" w:hAnsi="Times New Roman" w:cs="Times New Roman"/>
          <w:sz w:val="24"/>
          <w:szCs w:val="24"/>
        </w:rPr>
        <w:t>,</w:t>
      </w:r>
      <w:r w:rsidRPr="00775FEB">
        <w:rPr>
          <w:rFonts w:ascii="Times New Roman" w:hAnsi="Times New Roman" w:cs="Times New Roman"/>
          <w:sz w:val="24"/>
          <w:szCs w:val="24"/>
        </w:rPr>
        <w:t xml:space="preserve"> which is the relevant statutory body</w:t>
      </w:r>
      <w:r w:rsidR="00DB6772">
        <w:rPr>
          <w:rFonts w:ascii="Times New Roman" w:hAnsi="Times New Roman" w:cs="Times New Roman"/>
          <w:sz w:val="24"/>
          <w:szCs w:val="24"/>
        </w:rPr>
        <w:t xml:space="preserve"> responsible</w:t>
      </w:r>
      <w:r w:rsidRPr="00775FEB">
        <w:rPr>
          <w:rFonts w:ascii="Times New Roman" w:hAnsi="Times New Roman" w:cs="Times New Roman"/>
          <w:sz w:val="24"/>
          <w:szCs w:val="24"/>
        </w:rPr>
        <w:t xml:space="preserve"> for the collection of taxes in terms of the Revenue Authority Act [</w:t>
      </w:r>
      <w:r w:rsidRPr="00775FEB">
        <w:rPr>
          <w:rFonts w:ascii="Times New Roman" w:hAnsi="Times New Roman" w:cs="Times New Roman"/>
          <w:i/>
          <w:iCs/>
          <w:sz w:val="24"/>
          <w:szCs w:val="24"/>
        </w:rPr>
        <w:t>Chapter 23:11</w:t>
      </w:r>
      <w:r w:rsidRPr="00775FEB">
        <w:rPr>
          <w:rFonts w:ascii="Times New Roman" w:hAnsi="Times New Roman" w:cs="Times New Roman"/>
          <w:sz w:val="24"/>
          <w:szCs w:val="24"/>
        </w:rPr>
        <w:t>]</w:t>
      </w:r>
      <w:r w:rsidR="00451EFC">
        <w:rPr>
          <w:rFonts w:ascii="Times New Roman" w:hAnsi="Times New Roman" w:cs="Times New Roman"/>
          <w:sz w:val="24"/>
          <w:szCs w:val="24"/>
        </w:rPr>
        <w:t>,</w:t>
      </w:r>
      <w:r w:rsidRPr="00775FEB">
        <w:rPr>
          <w:rFonts w:ascii="Times New Roman" w:hAnsi="Times New Roman" w:cs="Times New Roman"/>
          <w:sz w:val="24"/>
          <w:szCs w:val="24"/>
        </w:rPr>
        <w:t xml:space="preserve"> and the respondent</w:t>
      </w:r>
      <w:r w:rsidR="00DB6772">
        <w:rPr>
          <w:rFonts w:ascii="Times New Roman" w:hAnsi="Times New Roman" w:cs="Times New Roman"/>
          <w:sz w:val="24"/>
          <w:szCs w:val="24"/>
        </w:rPr>
        <w:t>,</w:t>
      </w:r>
      <w:r w:rsidRPr="00775FEB">
        <w:rPr>
          <w:rFonts w:ascii="Times New Roman" w:hAnsi="Times New Roman" w:cs="Times New Roman"/>
          <w:sz w:val="24"/>
          <w:szCs w:val="24"/>
        </w:rPr>
        <w:t xml:space="preserve"> which is a corporate entity incorporated in</w:t>
      </w:r>
      <w:r w:rsidR="007348E2" w:rsidRPr="00775FEB">
        <w:rPr>
          <w:rFonts w:ascii="Times New Roman" w:hAnsi="Times New Roman" w:cs="Times New Roman"/>
          <w:sz w:val="24"/>
          <w:szCs w:val="24"/>
        </w:rPr>
        <w:t xml:space="preserve"> terms of the laws of Zimbabwe.</w:t>
      </w:r>
      <w:r w:rsidR="00E44BE6">
        <w:rPr>
          <w:rFonts w:ascii="Times New Roman" w:hAnsi="Times New Roman" w:cs="Times New Roman"/>
          <w:sz w:val="24"/>
          <w:szCs w:val="24"/>
        </w:rPr>
        <w:t xml:space="preserve">  </w:t>
      </w:r>
      <w:r w:rsidRPr="00775FEB">
        <w:rPr>
          <w:rFonts w:ascii="Times New Roman" w:hAnsi="Times New Roman" w:cs="Times New Roman"/>
          <w:sz w:val="24"/>
          <w:szCs w:val="24"/>
        </w:rPr>
        <w:t xml:space="preserve">Sometime in May 2016, the appellant issued several amended tax assessments </w:t>
      </w:r>
      <w:r w:rsidR="000B33D5">
        <w:rPr>
          <w:rFonts w:ascii="Times New Roman" w:hAnsi="Times New Roman" w:cs="Times New Roman"/>
          <w:sz w:val="24"/>
          <w:szCs w:val="24"/>
        </w:rPr>
        <w:t>to</w:t>
      </w:r>
      <w:r w:rsidRPr="00775FEB">
        <w:rPr>
          <w:rFonts w:ascii="Times New Roman" w:hAnsi="Times New Roman" w:cs="Times New Roman"/>
          <w:sz w:val="24"/>
          <w:szCs w:val="24"/>
        </w:rPr>
        <w:t xml:space="preserve"> the respondent in respect of the tax years 20</w:t>
      </w:r>
      <w:r w:rsidR="00E44BE6">
        <w:rPr>
          <w:rFonts w:ascii="Times New Roman" w:hAnsi="Times New Roman" w:cs="Times New Roman"/>
          <w:sz w:val="24"/>
          <w:szCs w:val="24"/>
        </w:rPr>
        <w:t>09, 2010, 2011, 2012 and 2013.</w:t>
      </w:r>
      <w:r w:rsidR="0094477A">
        <w:rPr>
          <w:rFonts w:ascii="Times New Roman" w:hAnsi="Times New Roman" w:cs="Times New Roman"/>
          <w:sz w:val="24"/>
          <w:szCs w:val="24"/>
        </w:rPr>
        <w:t xml:space="preserve"> </w:t>
      </w:r>
      <w:r w:rsidRPr="00775FEB">
        <w:rPr>
          <w:rFonts w:ascii="Times New Roman" w:hAnsi="Times New Roman" w:cs="Times New Roman"/>
          <w:sz w:val="24"/>
          <w:szCs w:val="24"/>
        </w:rPr>
        <w:t xml:space="preserve">It claimed to have discovered several anomalies that amounted to misrepresentation regarding the self-assessment declarations initially submitted by the respondent. </w:t>
      </w:r>
      <w:r w:rsidR="00E63A19">
        <w:rPr>
          <w:rFonts w:ascii="Times New Roman" w:hAnsi="Times New Roman" w:cs="Times New Roman"/>
          <w:sz w:val="24"/>
          <w:szCs w:val="24"/>
        </w:rPr>
        <w:t xml:space="preserve"> </w:t>
      </w:r>
      <w:r w:rsidRPr="00775FEB">
        <w:rPr>
          <w:rFonts w:ascii="Times New Roman" w:hAnsi="Times New Roman" w:cs="Times New Roman"/>
          <w:sz w:val="24"/>
          <w:szCs w:val="24"/>
        </w:rPr>
        <w:t>This was disputed by the respondent</w:t>
      </w:r>
      <w:r w:rsidR="008D3360" w:rsidRPr="00775FEB">
        <w:rPr>
          <w:rFonts w:ascii="Times New Roman" w:hAnsi="Times New Roman" w:cs="Times New Roman"/>
          <w:sz w:val="24"/>
          <w:szCs w:val="24"/>
        </w:rPr>
        <w:t>,</w:t>
      </w:r>
      <w:r w:rsidRPr="00775FEB">
        <w:rPr>
          <w:rFonts w:ascii="Times New Roman" w:hAnsi="Times New Roman" w:cs="Times New Roman"/>
          <w:sz w:val="24"/>
          <w:szCs w:val="24"/>
        </w:rPr>
        <w:t xml:space="preserve"> with the matter finally spilling into the Special Court for Income Tax Appeals.</w:t>
      </w:r>
    </w:p>
    <w:p w14:paraId="75D2A685" w14:textId="77777777" w:rsidR="008C6899" w:rsidRDefault="008C6899" w:rsidP="008C6899">
      <w:pPr>
        <w:spacing w:after="0" w:line="240" w:lineRule="auto"/>
        <w:ind w:firstLine="1440"/>
        <w:jc w:val="both"/>
        <w:rPr>
          <w:rFonts w:ascii="Times New Roman" w:hAnsi="Times New Roman" w:cs="Times New Roman"/>
          <w:sz w:val="24"/>
          <w:szCs w:val="24"/>
        </w:rPr>
      </w:pPr>
    </w:p>
    <w:p w14:paraId="6DF87FB5" w14:textId="77777777" w:rsidR="008C6899" w:rsidRDefault="00E63624" w:rsidP="00E63A19">
      <w:pPr>
        <w:spacing w:line="480" w:lineRule="auto"/>
        <w:ind w:firstLine="1440"/>
        <w:jc w:val="both"/>
        <w:rPr>
          <w:rFonts w:ascii="Times New Roman" w:hAnsi="Times New Roman" w:cs="Times New Roman"/>
          <w:sz w:val="24"/>
          <w:szCs w:val="24"/>
        </w:rPr>
      </w:pPr>
      <w:r w:rsidRPr="00775FEB">
        <w:rPr>
          <w:rFonts w:ascii="Times New Roman" w:hAnsi="Times New Roman" w:cs="Times New Roman"/>
          <w:sz w:val="24"/>
          <w:szCs w:val="24"/>
        </w:rPr>
        <w:t xml:space="preserve"> The</w:t>
      </w:r>
      <w:r w:rsidR="001C1241" w:rsidRPr="00775FEB">
        <w:rPr>
          <w:rFonts w:ascii="Times New Roman" w:hAnsi="Times New Roman" w:cs="Times New Roman"/>
          <w:sz w:val="24"/>
          <w:szCs w:val="24"/>
        </w:rPr>
        <w:t xml:space="preserve"> Special Court for Income Tax Appeals</w:t>
      </w:r>
      <w:r w:rsidRPr="00775FEB">
        <w:rPr>
          <w:rFonts w:ascii="Times New Roman" w:hAnsi="Times New Roman" w:cs="Times New Roman"/>
          <w:sz w:val="24"/>
          <w:szCs w:val="24"/>
        </w:rPr>
        <w:t xml:space="preserve"> upheld the determination of the appellant’s Commissioner to the obje</w:t>
      </w:r>
      <w:r w:rsidR="007348E2" w:rsidRPr="00775FEB">
        <w:rPr>
          <w:rFonts w:ascii="Times New Roman" w:hAnsi="Times New Roman" w:cs="Times New Roman"/>
          <w:sz w:val="24"/>
          <w:szCs w:val="24"/>
        </w:rPr>
        <w:t>ctions filed by the respondent.</w:t>
      </w:r>
      <w:r w:rsidRPr="00775FEB">
        <w:rPr>
          <w:rFonts w:ascii="Times New Roman" w:hAnsi="Times New Roman" w:cs="Times New Roman"/>
          <w:sz w:val="24"/>
          <w:szCs w:val="24"/>
        </w:rPr>
        <w:t xml:space="preserve"> This prompted an appeal to this Court under which the revised assessments issued by the app</w:t>
      </w:r>
      <w:r w:rsidR="007348E2" w:rsidRPr="00775FEB">
        <w:rPr>
          <w:rFonts w:ascii="Times New Roman" w:hAnsi="Times New Roman" w:cs="Times New Roman"/>
          <w:sz w:val="24"/>
          <w:szCs w:val="24"/>
        </w:rPr>
        <w:t>ellant were held to be invalid.</w:t>
      </w:r>
      <w:r w:rsidR="00E44BE6">
        <w:rPr>
          <w:rFonts w:ascii="Times New Roman" w:hAnsi="Times New Roman" w:cs="Times New Roman"/>
          <w:sz w:val="24"/>
          <w:szCs w:val="24"/>
        </w:rPr>
        <w:t xml:space="preserve">  </w:t>
      </w:r>
      <w:r w:rsidRPr="00775FEB">
        <w:rPr>
          <w:rFonts w:ascii="Times New Roman" w:hAnsi="Times New Roman" w:cs="Times New Roman"/>
          <w:sz w:val="24"/>
          <w:szCs w:val="24"/>
        </w:rPr>
        <w:t>This Court</w:t>
      </w:r>
      <w:r w:rsidR="00500164">
        <w:rPr>
          <w:rFonts w:ascii="Times New Roman" w:hAnsi="Times New Roman" w:cs="Times New Roman"/>
          <w:sz w:val="24"/>
          <w:szCs w:val="24"/>
        </w:rPr>
        <w:t xml:space="preserve">, in </w:t>
      </w:r>
      <w:r w:rsidR="00500164" w:rsidRPr="00093B51">
        <w:rPr>
          <w:rFonts w:ascii="Times New Roman" w:hAnsi="Times New Roman" w:cs="Times New Roman"/>
          <w:i/>
          <w:iCs/>
          <w:sz w:val="24"/>
          <w:szCs w:val="24"/>
        </w:rPr>
        <w:t>Nestle Zimbabwe v ZIMRA</w:t>
      </w:r>
      <w:r w:rsidR="00500164">
        <w:rPr>
          <w:rFonts w:ascii="Times New Roman" w:hAnsi="Times New Roman" w:cs="Times New Roman"/>
          <w:sz w:val="24"/>
          <w:szCs w:val="24"/>
        </w:rPr>
        <w:t xml:space="preserve"> SC 148/21</w:t>
      </w:r>
      <w:r w:rsidRPr="00775FEB">
        <w:rPr>
          <w:rFonts w:ascii="Times New Roman" w:hAnsi="Times New Roman" w:cs="Times New Roman"/>
          <w:sz w:val="24"/>
          <w:szCs w:val="24"/>
        </w:rPr>
        <w:t xml:space="preserve"> reasoned that the revised assessments issued by the appellant did not conform to the requirements of s 2 of the Income Ta</w:t>
      </w:r>
      <w:r w:rsidR="007348E2" w:rsidRPr="00775FEB">
        <w:rPr>
          <w:rFonts w:ascii="Times New Roman" w:hAnsi="Times New Roman" w:cs="Times New Roman"/>
          <w:sz w:val="24"/>
          <w:szCs w:val="24"/>
        </w:rPr>
        <w:t>x Act</w:t>
      </w:r>
      <w:r w:rsidR="000B2683">
        <w:rPr>
          <w:rFonts w:ascii="Times New Roman" w:hAnsi="Times New Roman" w:cs="Times New Roman"/>
          <w:sz w:val="24"/>
          <w:szCs w:val="24"/>
        </w:rPr>
        <w:t xml:space="preserve"> [</w:t>
      </w:r>
      <w:r w:rsidR="000B2683" w:rsidRPr="00915078">
        <w:rPr>
          <w:rFonts w:ascii="Times New Roman" w:hAnsi="Times New Roman" w:cs="Times New Roman"/>
          <w:i/>
          <w:iCs/>
          <w:sz w:val="24"/>
          <w:szCs w:val="24"/>
        </w:rPr>
        <w:t>Chapter 23:06</w:t>
      </w:r>
      <w:r w:rsidR="000B2683">
        <w:rPr>
          <w:rFonts w:ascii="Times New Roman" w:hAnsi="Times New Roman" w:cs="Times New Roman"/>
          <w:sz w:val="24"/>
          <w:szCs w:val="24"/>
        </w:rPr>
        <w:t>]</w:t>
      </w:r>
      <w:r w:rsidR="007348E2" w:rsidRPr="00775FEB">
        <w:rPr>
          <w:rFonts w:ascii="Times New Roman" w:hAnsi="Times New Roman" w:cs="Times New Roman"/>
          <w:sz w:val="24"/>
          <w:szCs w:val="24"/>
        </w:rPr>
        <w:t>.</w:t>
      </w:r>
      <w:r w:rsidR="00E44BE6">
        <w:rPr>
          <w:rFonts w:ascii="Times New Roman" w:hAnsi="Times New Roman" w:cs="Times New Roman"/>
          <w:sz w:val="24"/>
          <w:szCs w:val="24"/>
        </w:rPr>
        <w:t xml:space="preserve">  </w:t>
      </w:r>
      <w:r w:rsidRPr="00775FEB">
        <w:rPr>
          <w:rFonts w:ascii="Times New Roman" w:hAnsi="Times New Roman" w:cs="Times New Roman"/>
          <w:sz w:val="24"/>
          <w:szCs w:val="24"/>
        </w:rPr>
        <w:t>Tax assessments for 2009, 2010</w:t>
      </w:r>
      <w:r w:rsidR="009B4EEA">
        <w:rPr>
          <w:rFonts w:ascii="Times New Roman" w:hAnsi="Times New Roman" w:cs="Times New Roman"/>
          <w:sz w:val="24"/>
          <w:szCs w:val="24"/>
        </w:rPr>
        <w:t>,</w:t>
      </w:r>
      <w:r w:rsidRPr="00775FEB">
        <w:rPr>
          <w:rFonts w:ascii="Times New Roman" w:hAnsi="Times New Roman" w:cs="Times New Roman"/>
          <w:sz w:val="24"/>
          <w:szCs w:val="24"/>
        </w:rPr>
        <w:t xml:space="preserve"> 2011</w:t>
      </w:r>
      <w:r w:rsidR="009B4EEA">
        <w:rPr>
          <w:rFonts w:ascii="Times New Roman" w:hAnsi="Times New Roman" w:cs="Times New Roman"/>
          <w:sz w:val="24"/>
          <w:szCs w:val="24"/>
        </w:rPr>
        <w:t>, 2012 and 2013</w:t>
      </w:r>
      <w:r w:rsidRPr="00775FEB">
        <w:rPr>
          <w:rFonts w:ascii="Times New Roman" w:hAnsi="Times New Roman" w:cs="Times New Roman"/>
          <w:sz w:val="24"/>
          <w:szCs w:val="24"/>
        </w:rPr>
        <w:t xml:space="preserve"> were specifically invalidated for being made subject to audit when such an endorsement was not provided for under s 51 of the Income Tax Act.  Accordingly, the entire proceedings were set aside because t</w:t>
      </w:r>
      <w:r w:rsidR="00E44BE6">
        <w:rPr>
          <w:rFonts w:ascii="Times New Roman" w:hAnsi="Times New Roman" w:cs="Times New Roman"/>
          <w:sz w:val="24"/>
          <w:szCs w:val="24"/>
        </w:rPr>
        <w:t xml:space="preserve">hey were premised on a nullity. </w:t>
      </w:r>
    </w:p>
    <w:p w14:paraId="3D17D136" w14:textId="71482A87" w:rsidR="00AC76F9" w:rsidRDefault="00E44BE6" w:rsidP="008C6899">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p>
    <w:p w14:paraId="502DB338" w14:textId="512CF15E" w:rsidR="00E63624" w:rsidRDefault="00E63624" w:rsidP="00E63A19">
      <w:pPr>
        <w:spacing w:line="480" w:lineRule="auto"/>
        <w:ind w:firstLine="1440"/>
        <w:jc w:val="both"/>
        <w:rPr>
          <w:rFonts w:ascii="Times New Roman" w:hAnsi="Times New Roman" w:cs="Times New Roman"/>
          <w:sz w:val="24"/>
          <w:szCs w:val="24"/>
        </w:rPr>
      </w:pPr>
      <w:r w:rsidRPr="00775FEB">
        <w:rPr>
          <w:rFonts w:ascii="Times New Roman" w:hAnsi="Times New Roman" w:cs="Times New Roman"/>
          <w:sz w:val="24"/>
          <w:szCs w:val="24"/>
        </w:rPr>
        <w:t>Thereafter, in January 2022, the appellant proceeded to issue novel assessments that were purportedly in compl</w:t>
      </w:r>
      <w:r w:rsidR="00E44BE6">
        <w:rPr>
          <w:rFonts w:ascii="Times New Roman" w:hAnsi="Times New Roman" w:cs="Times New Roman"/>
          <w:sz w:val="24"/>
          <w:szCs w:val="24"/>
        </w:rPr>
        <w:t xml:space="preserve">iance with the Income Tax Act.  </w:t>
      </w:r>
      <w:r w:rsidRPr="00775FEB">
        <w:rPr>
          <w:rFonts w:ascii="Times New Roman" w:hAnsi="Times New Roman" w:cs="Times New Roman"/>
          <w:sz w:val="24"/>
          <w:szCs w:val="24"/>
        </w:rPr>
        <w:t>The appellant attempted to pacify the</w:t>
      </w:r>
      <w:r w:rsidR="00115EF7" w:rsidRPr="00775FEB">
        <w:rPr>
          <w:rFonts w:ascii="Times New Roman" w:hAnsi="Times New Roman" w:cs="Times New Roman"/>
          <w:sz w:val="24"/>
          <w:szCs w:val="24"/>
        </w:rPr>
        <w:t xml:space="preserve"> respondent</w:t>
      </w:r>
      <w:r w:rsidRPr="00775FEB">
        <w:rPr>
          <w:rFonts w:ascii="Times New Roman" w:hAnsi="Times New Roman" w:cs="Times New Roman"/>
          <w:sz w:val="24"/>
          <w:szCs w:val="24"/>
        </w:rPr>
        <w:t xml:space="preserve"> by clarifying that there was no obligation to pay any further tax since the respondent had previously been making regular payments as per the null</w:t>
      </w:r>
      <w:r w:rsidR="007051E5" w:rsidRPr="00775FEB">
        <w:rPr>
          <w:rFonts w:ascii="Times New Roman" w:hAnsi="Times New Roman" w:cs="Times New Roman"/>
          <w:sz w:val="24"/>
          <w:szCs w:val="24"/>
        </w:rPr>
        <w:t>ified</w:t>
      </w:r>
      <w:r w:rsidRPr="00775FEB">
        <w:rPr>
          <w:rFonts w:ascii="Times New Roman" w:hAnsi="Times New Roman" w:cs="Times New Roman"/>
          <w:sz w:val="24"/>
          <w:szCs w:val="24"/>
        </w:rPr>
        <w:t xml:space="preserve"> assessments. </w:t>
      </w:r>
      <w:r w:rsidR="00F7601E">
        <w:rPr>
          <w:rFonts w:ascii="Times New Roman" w:hAnsi="Times New Roman" w:cs="Times New Roman"/>
          <w:sz w:val="24"/>
          <w:szCs w:val="24"/>
        </w:rPr>
        <w:t>This it did by addressing a letter dated 17 January 202</w:t>
      </w:r>
      <w:r w:rsidR="00D74E8B">
        <w:rPr>
          <w:rFonts w:ascii="Times New Roman" w:hAnsi="Times New Roman" w:cs="Times New Roman"/>
          <w:sz w:val="24"/>
          <w:szCs w:val="24"/>
        </w:rPr>
        <w:t>2</w:t>
      </w:r>
      <w:r w:rsidR="00F7601E">
        <w:rPr>
          <w:rFonts w:ascii="Times New Roman" w:hAnsi="Times New Roman" w:cs="Times New Roman"/>
          <w:sz w:val="24"/>
          <w:szCs w:val="24"/>
        </w:rPr>
        <w:t xml:space="preserve"> which reads as follows:</w:t>
      </w:r>
    </w:p>
    <w:p w14:paraId="7A8D9734" w14:textId="60E81A1B" w:rsidR="00F7601E" w:rsidRDefault="00F7601E" w:rsidP="00552317">
      <w:pPr>
        <w:spacing w:line="240" w:lineRule="auto"/>
        <w:ind w:left="720" w:right="1247"/>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the Supreme Court judgment in the case </w:t>
      </w:r>
      <w:r w:rsidRPr="00EA0F1F">
        <w:rPr>
          <w:rFonts w:ascii="Times New Roman" w:hAnsi="Times New Roman" w:cs="Times New Roman"/>
          <w:i/>
          <w:iCs/>
          <w:sz w:val="24"/>
          <w:szCs w:val="24"/>
        </w:rPr>
        <w:t>Nestle v ZIMRA</w:t>
      </w:r>
      <w:r>
        <w:rPr>
          <w:rFonts w:ascii="Times New Roman" w:hAnsi="Times New Roman" w:cs="Times New Roman"/>
          <w:sz w:val="24"/>
          <w:szCs w:val="24"/>
        </w:rPr>
        <w:t xml:space="preserve"> of 2021 kindly </w:t>
      </w:r>
      <w:r w:rsidR="005B55DE">
        <w:rPr>
          <w:rFonts w:ascii="Times New Roman" w:hAnsi="Times New Roman" w:cs="Times New Roman"/>
          <w:sz w:val="24"/>
          <w:szCs w:val="24"/>
        </w:rPr>
        <w:t xml:space="preserve">  </w:t>
      </w:r>
      <w:r>
        <w:rPr>
          <w:rFonts w:ascii="Times New Roman" w:hAnsi="Times New Roman" w:cs="Times New Roman"/>
          <w:sz w:val="24"/>
          <w:szCs w:val="24"/>
        </w:rPr>
        <w:t>find attached assessments which comply with the relevant provisions of the Income Tax Act [</w:t>
      </w:r>
      <w:r w:rsidRPr="003914D1">
        <w:rPr>
          <w:rFonts w:ascii="Times New Roman" w:hAnsi="Times New Roman" w:cs="Times New Roman"/>
          <w:i/>
          <w:iCs/>
          <w:sz w:val="24"/>
          <w:szCs w:val="24"/>
        </w:rPr>
        <w:t>Chapter 23:06</w:t>
      </w:r>
      <w:r>
        <w:rPr>
          <w:rFonts w:ascii="Times New Roman" w:hAnsi="Times New Roman" w:cs="Times New Roman"/>
          <w:sz w:val="24"/>
          <w:szCs w:val="24"/>
        </w:rPr>
        <w:t>].</w:t>
      </w:r>
    </w:p>
    <w:p w14:paraId="7B019427" w14:textId="5A0C0F1A" w:rsidR="00F7601E" w:rsidRDefault="00F7601E" w:rsidP="00552317">
      <w:pPr>
        <w:spacing w:line="240" w:lineRule="auto"/>
        <w:ind w:left="720" w:right="1247"/>
        <w:jc w:val="both"/>
        <w:rPr>
          <w:rFonts w:ascii="Times New Roman" w:hAnsi="Times New Roman" w:cs="Times New Roman"/>
          <w:sz w:val="24"/>
          <w:szCs w:val="24"/>
        </w:rPr>
      </w:pPr>
      <w:r>
        <w:rPr>
          <w:rFonts w:ascii="Times New Roman" w:hAnsi="Times New Roman" w:cs="Times New Roman"/>
          <w:sz w:val="24"/>
          <w:szCs w:val="24"/>
        </w:rPr>
        <w:t>These assessments replace the ones issued to you on 31 May 2016. Considering that the tax was paid already on the assessed amounts, there is no obligation to pay on the newly issued assessments.</w:t>
      </w:r>
    </w:p>
    <w:p w14:paraId="1BAC4073" w14:textId="6FF35550" w:rsidR="00F7601E" w:rsidRDefault="00F7601E" w:rsidP="00552317">
      <w:pPr>
        <w:spacing w:line="240" w:lineRule="auto"/>
        <w:ind w:left="720" w:right="1247"/>
        <w:jc w:val="both"/>
        <w:rPr>
          <w:rFonts w:ascii="Times New Roman" w:hAnsi="Times New Roman" w:cs="Times New Roman"/>
          <w:sz w:val="24"/>
          <w:szCs w:val="24"/>
        </w:rPr>
      </w:pPr>
      <w:r>
        <w:rPr>
          <w:rFonts w:ascii="Times New Roman" w:hAnsi="Times New Roman" w:cs="Times New Roman"/>
          <w:sz w:val="24"/>
          <w:szCs w:val="24"/>
        </w:rPr>
        <w:t xml:space="preserve">I hope this settles the issue that </w:t>
      </w:r>
      <w:r w:rsidR="00DB5F6A">
        <w:rPr>
          <w:rFonts w:ascii="Times New Roman" w:hAnsi="Times New Roman" w:cs="Times New Roman"/>
          <w:sz w:val="24"/>
          <w:szCs w:val="24"/>
        </w:rPr>
        <w:t xml:space="preserve">had been in contention for some </w:t>
      </w:r>
      <w:r>
        <w:rPr>
          <w:rFonts w:ascii="Times New Roman" w:hAnsi="Times New Roman" w:cs="Times New Roman"/>
          <w:sz w:val="24"/>
          <w:szCs w:val="24"/>
        </w:rPr>
        <w:t>years now.”</w:t>
      </w:r>
    </w:p>
    <w:p w14:paraId="1403E1C0" w14:textId="77777777" w:rsidR="00FA3280" w:rsidRDefault="00FA3280" w:rsidP="00FA3280">
      <w:pPr>
        <w:spacing w:after="0" w:line="240" w:lineRule="auto"/>
        <w:ind w:left="720" w:right="1247"/>
        <w:jc w:val="both"/>
        <w:rPr>
          <w:rFonts w:ascii="Times New Roman" w:hAnsi="Times New Roman" w:cs="Times New Roman"/>
          <w:sz w:val="24"/>
          <w:szCs w:val="24"/>
        </w:rPr>
      </w:pPr>
    </w:p>
    <w:p w14:paraId="66571F0E" w14:textId="77777777" w:rsidR="00E44BE6" w:rsidRPr="00775FEB" w:rsidRDefault="00E44BE6" w:rsidP="00E44BE6">
      <w:pPr>
        <w:spacing w:after="0" w:line="240" w:lineRule="auto"/>
        <w:ind w:firstLine="1134"/>
        <w:jc w:val="both"/>
        <w:rPr>
          <w:rFonts w:ascii="Times New Roman" w:hAnsi="Times New Roman" w:cs="Times New Roman"/>
          <w:sz w:val="24"/>
          <w:szCs w:val="24"/>
        </w:rPr>
      </w:pPr>
    </w:p>
    <w:p w14:paraId="04413F7E" w14:textId="67DAF3FB" w:rsidR="00E63624" w:rsidRDefault="00E63624" w:rsidP="00E63A19">
      <w:pPr>
        <w:spacing w:line="480" w:lineRule="auto"/>
        <w:ind w:firstLine="1440"/>
        <w:jc w:val="both"/>
        <w:rPr>
          <w:rFonts w:ascii="Times New Roman" w:hAnsi="Times New Roman" w:cs="Times New Roman"/>
          <w:sz w:val="24"/>
          <w:szCs w:val="24"/>
        </w:rPr>
      </w:pPr>
      <w:r w:rsidRPr="00775FEB">
        <w:rPr>
          <w:rFonts w:ascii="Times New Roman" w:hAnsi="Times New Roman" w:cs="Times New Roman"/>
          <w:sz w:val="24"/>
          <w:szCs w:val="24"/>
        </w:rPr>
        <w:t>Conversely, the respondent queried the legal basis upon which the replacement assessments were</w:t>
      </w:r>
      <w:r w:rsidR="00D90B1D">
        <w:rPr>
          <w:rFonts w:ascii="Times New Roman" w:hAnsi="Times New Roman" w:cs="Times New Roman"/>
          <w:sz w:val="24"/>
          <w:szCs w:val="24"/>
        </w:rPr>
        <w:t xml:space="preserve"> </w:t>
      </w:r>
      <w:r w:rsidRPr="00775FEB">
        <w:rPr>
          <w:rFonts w:ascii="Times New Roman" w:hAnsi="Times New Roman" w:cs="Times New Roman"/>
          <w:sz w:val="24"/>
          <w:szCs w:val="24"/>
        </w:rPr>
        <w:t xml:space="preserve">issued in light of the decision </w:t>
      </w:r>
      <w:r w:rsidR="00D35F49">
        <w:rPr>
          <w:rFonts w:ascii="Times New Roman" w:hAnsi="Times New Roman" w:cs="Times New Roman"/>
          <w:sz w:val="24"/>
          <w:szCs w:val="24"/>
        </w:rPr>
        <w:t xml:space="preserve">of this Court under SC 148/21.  </w:t>
      </w:r>
      <w:r w:rsidRPr="00775FEB">
        <w:rPr>
          <w:rFonts w:ascii="Times New Roman" w:hAnsi="Times New Roman" w:cs="Times New Roman"/>
          <w:sz w:val="24"/>
          <w:szCs w:val="24"/>
        </w:rPr>
        <w:t>In response, the appellant submitted that this Court only set aside the notices of assessment as opposed to the actual assessments defined</w:t>
      </w:r>
      <w:r w:rsidR="007348E2" w:rsidRPr="00775FEB">
        <w:rPr>
          <w:rFonts w:ascii="Times New Roman" w:hAnsi="Times New Roman" w:cs="Times New Roman"/>
          <w:sz w:val="24"/>
          <w:szCs w:val="24"/>
        </w:rPr>
        <w:t xml:space="preserve"> in s 2 of the Income Tax Act.</w:t>
      </w:r>
      <w:r w:rsidR="00D35F49">
        <w:rPr>
          <w:rFonts w:ascii="Times New Roman" w:hAnsi="Times New Roman" w:cs="Times New Roman"/>
          <w:sz w:val="24"/>
          <w:szCs w:val="24"/>
        </w:rPr>
        <w:t xml:space="preserve">  </w:t>
      </w:r>
      <w:r w:rsidRPr="00775FEB">
        <w:rPr>
          <w:rFonts w:ascii="Times New Roman" w:hAnsi="Times New Roman" w:cs="Times New Roman"/>
          <w:sz w:val="24"/>
          <w:szCs w:val="24"/>
        </w:rPr>
        <w:t xml:space="preserve">This sparked a series of exchanges between the parties. The appellant remained resolute in its stance that it was entitled to issue </w:t>
      </w:r>
      <w:r w:rsidR="00D35F49">
        <w:rPr>
          <w:rFonts w:ascii="Times New Roman" w:hAnsi="Times New Roman" w:cs="Times New Roman"/>
          <w:sz w:val="24"/>
          <w:szCs w:val="24"/>
        </w:rPr>
        <w:t xml:space="preserve">novel “notices of assessments”.  </w:t>
      </w:r>
      <w:r w:rsidRPr="00775FEB">
        <w:rPr>
          <w:rFonts w:ascii="Times New Roman" w:hAnsi="Times New Roman" w:cs="Times New Roman"/>
          <w:sz w:val="24"/>
          <w:szCs w:val="24"/>
        </w:rPr>
        <w:t xml:space="preserve">The impasse resulted in the respondent applying for declaratory relief in the court </w:t>
      </w:r>
      <w:r w:rsidRPr="00775FEB">
        <w:rPr>
          <w:rFonts w:ascii="Times New Roman" w:hAnsi="Times New Roman" w:cs="Times New Roman"/>
          <w:i/>
          <w:sz w:val="24"/>
          <w:szCs w:val="24"/>
        </w:rPr>
        <w:t>a quo</w:t>
      </w:r>
      <w:r w:rsidR="00D35F49">
        <w:rPr>
          <w:rFonts w:ascii="Times New Roman" w:hAnsi="Times New Roman" w:cs="Times New Roman"/>
          <w:sz w:val="24"/>
          <w:szCs w:val="24"/>
        </w:rPr>
        <w:t xml:space="preserve">.  </w:t>
      </w:r>
      <w:r w:rsidRPr="00775FEB">
        <w:rPr>
          <w:rFonts w:ascii="Times New Roman" w:hAnsi="Times New Roman" w:cs="Times New Roman"/>
          <w:sz w:val="24"/>
          <w:szCs w:val="24"/>
        </w:rPr>
        <w:t>In its founding affidavit, the respondent averred that the replacement assessments issued were merely a scheme devised to avoid reimbursing amounts paid in resp</w:t>
      </w:r>
      <w:r w:rsidR="00D35F49">
        <w:rPr>
          <w:rFonts w:ascii="Times New Roman" w:hAnsi="Times New Roman" w:cs="Times New Roman"/>
          <w:sz w:val="24"/>
          <w:szCs w:val="24"/>
        </w:rPr>
        <w:t xml:space="preserve">ect of the invalid assessments.  </w:t>
      </w:r>
      <w:r w:rsidRPr="00775FEB">
        <w:rPr>
          <w:rFonts w:ascii="Times New Roman" w:hAnsi="Times New Roman" w:cs="Times New Roman"/>
          <w:sz w:val="24"/>
          <w:szCs w:val="24"/>
        </w:rPr>
        <w:t xml:space="preserve">Thus, the respondent sought a declaration to the effect that the replacement assessments were invalid and unlawful. </w:t>
      </w:r>
      <w:r w:rsidR="00D35F49">
        <w:rPr>
          <w:rFonts w:ascii="Times New Roman" w:hAnsi="Times New Roman" w:cs="Times New Roman"/>
          <w:sz w:val="24"/>
          <w:szCs w:val="24"/>
        </w:rPr>
        <w:t xml:space="preserve"> </w:t>
      </w:r>
      <w:r w:rsidRPr="00775FEB">
        <w:rPr>
          <w:rFonts w:ascii="Times New Roman" w:hAnsi="Times New Roman" w:cs="Times New Roman"/>
          <w:sz w:val="24"/>
          <w:szCs w:val="24"/>
        </w:rPr>
        <w:t xml:space="preserve">It was contended that the appellant could only have issued any additional assessments in the matter by dint of s 47 of the Income Tax Act which was not applicable in the present circumstances. </w:t>
      </w:r>
      <w:r w:rsidR="00D35F49">
        <w:rPr>
          <w:rFonts w:ascii="Times New Roman" w:hAnsi="Times New Roman" w:cs="Times New Roman"/>
          <w:sz w:val="24"/>
          <w:szCs w:val="24"/>
        </w:rPr>
        <w:t xml:space="preserve"> </w:t>
      </w:r>
      <w:r w:rsidRPr="00775FEB">
        <w:rPr>
          <w:rFonts w:ascii="Times New Roman" w:hAnsi="Times New Roman" w:cs="Times New Roman"/>
          <w:sz w:val="24"/>
          <w:szCs w:val="24"/>
        </w:rPr>
        <w:t xml:space="preserve">The respondent submitted that the stipulated six-year window for issuing </w:t>
      </w:r>
      <w:r w:rsidR="00DA1A8C">
        <w:rPr>
          <w:rFonts w:ascii="Times New Roman" w:hAnsi="Times New Roman" w:cs="Times New Roman"/>
          <w:sz w:val="24"/>
          <w:szCs w:val="24"/>
        </w:rPr>
        <w:t xml:space="preserve">of </w:t>
      </w:r>
      <w:r w:rsidRPr="00775FEB">
        <w:rPr>
          <w:rFonts w:ascii="Times New Roman" w:hAnsi="Times New Roman" w:cs="Times New Roman"/>
          <w:sz w:val="24"/>
          <w:szCs w:val="24"/>
        </w:rPr>
        <w:t>revised assessments</w:t>
      </w:r>
      <w:r w:rsidR="00DA1A8C">
        <w:rPr>
          <w:rFonts w:ascii="Times New Roman" w:hAnsi="Times New Roman" w:cs="Times New Roman"/>
          <w:sz w:val="24"/>
          <w:szCs w:val="24"/>
        </w:rPr>
        <w:t xml:space="preserve"> had prescribed</w:t>
      </w:r>
      <w:r w:rsidRPr="00775FEB">
        <w:rPr>
          <w:rFonts w:ascii="Times New Roman" w:hAnsi="Times New Roman" w:cs="Times New Roman"/>
          <w:sz w:val="24"/>
          <w:szCs w:val="24"/>
        </w:rPr>
        <w:t xml:space="preserve">. </w:t>
      </w:r>
    </w:p>
    <w:p w14:paraId="20CB28FD" w14:textId="77777777" w:rsidR="00E44BE6" w:rsidRPr="00775FEB" w:rsidRDefault="00E44BE6" w:rsidP="00E44BE6">
      <w:pPr>
        <w:tabs>
          <w:tab w:val="left" w:pos="1134"/>
        </w:tabs>
        <w:spacing w:after="0" w:line="240" w:lineRule="auto"/>
        <w:ind w:firstLine="720"/>
        <w:jc w:val="both"/>
        <w:rPr>
          <w:rFonts w:ascii="Times New Roman" w:hAnsi="Times New Roman" w:cs="Times New Roman"/>
          <w:sz w:val="24"/>
          <w:szCs w:val="24"/>
        </w:rPr>
      </w:pPr>
    </w:p>
    <w:p w14:paraId="562D7793" w14:textId="5E67F6AD" w:rsidR="00E63624" w:rsidRDefault="00D35F49" w:rsidP="00D35F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63624" w:rsidRPr="00775FEB">
        <w:rPr>
          <w:rFonts w:ascii="Times New Roman" w:hAnsi="Times New Roman" w:cs="Times New Roman"/>
          <w:sz w:val="24"/>
          <w:szCs w:val="24"/>
        </w:rPr>
        <w:t>In addition, the</w:t>
      </w:r>
      <w:r w:rsidR="00594B13" w:rsidRPr="00775FEB">
        <w:rPr>
          <w:rFonts w:ascii="Times New Roman" w:hAnsi="Times New Roman" w:cs="Times New Roman"/>
          <w:sz w:val="24"/>
          <w:szCs w:val="24"/>
        </w:rPr>
        <w:t xml:space="preserve"> respondent contended that the notices of assessment were</w:t>
      </w:r>
      <w:r w:rsidR="00E63624" w:rsidRPr="00775FEB">
        <w:rPr>
          <w:rFonts w:ascii="Times New Roman" w:hAnsi="Times New Roman" w:cs="Times New Roman"/>
          <w:sz w:val="24"/>
          <w:szCs w:val="24"/>
        </w:rPr>
        <w:t xml:space="preserve"> inconsistent with the judgment under SC 148/21 and in breac</w:t>
      </w:r>
      <w:r>
        <w:rPr>
          <w:rFonts w:ascii="Times New Roman" w:hAnsi="Times New Roman" w:cs="Times New Roman"/>
          <w:sz w:val="24"/>
          <w:szCs w:val="24"/>
        </w:rPr>
        <w:t xml:space="preserve">h of the principle of legality.  </w:t>
      </w:r>
      <w:r w:rsidR="00E63624" w:rsidRPr="00775FEB">
        <w:rPr>
          <w:rFonts w:ascii="Times New Roman" w:hAnsi="Times New Roman" w:cs="Times New Roman"/>
          <w:sz w:val="24"/>
          <w:szCs w:val="24"/>
        </w:rPr>
        <w:t>The appellant opposed the applic</w:t>
      </w:r>
      <w:r w:rsidR="007348E2" w:rsidRPr="00775FEB">
        <w:rPr>
          <w:rFonts w:ascii="Times New Roman" w:hAnsi="Times New Roman" w:cs="Times New Roman"/>
          <w:sz w:val="24"/>
          <w:szCs w:val="24"/>
        </w:rPr>
        <w:t>ation.</w:t>
      </w:r>
      <w:r>
        <w:rPr>
          <w:rFonts w:ascii="Times New Roman" w:hAnsi="Times New Roman" w:cs="Times New Roman"/>
          <w:sz w:val="24"/>
          <w:szCs w:val="24"/>
        </w:rPr>
        <w:t xml:space="preserve">  </w:t>
      </w:r>
      <w:r w:rsidR="00E63624" w:rsidRPr="00775FEB">
        <w:rPr>
          <w:rFonts w:ascii="Times New Roman" w:hAnsi="Times New Roman" w:cs="Times New Roman"/>
          <w:sz w:val="24"/>
          <w:szCs w:val="24"/>
        </w:rPr>
        <w:t xml:space="preserve">It proceeded to detail the procedure for issuing revised assessments in terms of the Income Tax Act. </w:t>
      </w:r>
      <w:r>
        <w:rPr>
          <w:rFonts w:ascii="Times New Roman" w:hAnsi="Times New Roman" w:cs="Times New Roman"/>
          <w:sz w:val="24"/>
          <w:szCs w:val="24"/>
        </w:rPr>
        <w:t xml:space="preserve">  </w:t>
      </w:r>
      <w:r w:rsidR="00E63624" w:rsidRPr="00775FEB">
        <w:rPr>
          <w:rFonts w:ascii="Times New Roman" w:hAnsi="Times New Roman" w:cs="Times New Roman"/>
          <w:sz w:val="24"/>
          <w:szCs w:val="24"/>
        </w:rPr>
        <w:t xml:space="preserve">However, the appellant submitted that where there </w:t>
      </w:r>
      <w:r w:rsidR="00E63624" w:rsidRPr="00775FEB">
        <w:rPr>
          <w:rFonts w:ascii="Times New Roman" w:hAnsi="Times New Roman" w:cs="Times New Roman"/>
          <w:sz w:val="24"/>
          <w:szCs w:val="24"/>
        </w:rPr>
        <w:lastRenderedPageBreak/>
        <w:t>is an invalidation of the notice of assessment, the determination of the taxable</w:t>
      </w:r>
      <w:r w:rsidR="00E44BE6">
        <w:rPr>
          <w:rFonts w:ascii="Times New Roman" w:hAnsi="Times New Roman" w:cs="Times New Roman"/>
          <w:sz w:val="24"/>
          <w:szCs w:val="24"/>
        </w:rPr>
        <w:t xml:space="preserve"> </w:t>
      </w:r>
      <w:r>
        <w:rPr>
          <w:rFonts w:ascii="Times New Roman" w:hAnsi="Times New Roman" w:cs="Times New Roman"/>
          <w:sz w:val="24"/>
          <w:szCs w:val="24"/>
        </w:rPr>
        <w:t xml:space="preserve">income due remains unaffected.  </w:t>
      </w:r>
      <w:r w:rsidR="00E63624" w:rsidRPr="00775FEB">
        <w:rPr>
          <w:rFonts w:ascii="Times New Roman" w:hAnsi="Times New Roman" w:cs="Times New Roman"/>
          <w:sz w:val="24"/>
          <w:szCs w:val="24"/>
        </w:rPr>
        <w:t>The appellant attempted to distinguish</w:t>
      </w:r>
      <w:r w:rsidR="001E74B8">
        <w:rPr>
          <w:rFonts w:ascii="Times New Roman" w:hAnsi="Times New Roman" w:cs="Times New Roman"/>
          <w:sz w:val="24"/>
          <w:szCs w:val="24"/>
        </w:rPr>
        <w:t xml:space="preserve"> between</w:t>
      </w:r>
      <w:r w:rsidR="00E63624" w:rsidRPr="00775FEB">
        <w:rPr>
          <w:rFonts w:ascii="Times New Roman" w:hAnsi="Times New Roman" w:cs="Times New Roman"/>
          <w:sz w:val="24"/>
          <w:szCs w:val="24"/>
        </w:rPr>
        <w:t xml:space="preserve"> a notice of assessment and an “assessment”. </w:t>
      </w:r>
      <w:r>
        <w:rPr>
          <w:rFonts w:ascii="Times New Roman" w:hAnsi="Times New Roman" w:cs="Times New Roman"/>
          <w:sz w:val="24"/>
          <w:szCs w:val="24"/>
        </w:rPr>
        <w:t xml:space="preserve"> </w:t>
      </w:r>
      <w:r w:rsidR="00E63624" w:rsidRPr="00775FEB">
        <w:rPr>
          <w:rFonts w:ascii="Times New Roman" w:hAnsi="Times New Roman" w:cs="Times New Roman"/>
          <w:sz w:val="24"/>
          <w:szCs w:val="24"/>
        </w:rPr>
        <w:t xml:space="preserve">It submitted that the latter was a culmination of an audit process whilst the former was a final document issued to the taxpayer which serves to formally communicate the outstanding tax liability. </w:t>
      </w:r>
      <w:r w:rsidR="00E44BE6">
        <w:rPr>
          <w:rFonts w:ascii="Times New Roman" w:hAnsi="Times New Roman" w:cs="Times New Roman"/>
          <w:sz w:val="24"/>
          <w:szCs w:val="24"/>
        </w:rPr>
        <w:t xml:space="preserve"> </w:t>
      </w:r>
      <w:r w:rsidR="00E63624" w:rsidRPr="00775FEB">
        <w:rPr>
          <w:rFonts w:ascii="Times New Roman" w:hAnsi="Times New Roman" w:cs="Times New Roman"/>
          <w:sz w:val="24"/>
          <w:szCs w:val="24"/>
        </w:rPr>
        <w:t>In interpreting the judgment under SC 148/21, the appellant submitted that this Court only set aside the notice of assessment as op</w:t>
      </w:r>
      <w:r>
        <w:rPr>
          <w:rFonts w:ascii="Times New Roman" w:hAnsi="Times New Roman" w:cs="Times New Roman"/>
          <w:sz w:val="24"/>
          <w:szCs w:val="24"/>
        </w:rPr>
        <w:t xml:space="preserve">posed to the actual assessment.  </w:t>
      </w:r>
      <w:r w:rsidR="00E63624" w:rsidRPr="00775FEB">
        <w:rPr>
          <w:rFonts w:ascii="Times New Roman" w:hAnsi="Times New Roman" w:cs="Times New Roman"/>
          <w:sz w:val="24"/>
          <w:szCs w:val="24"/>
        </w:rPr>
        <w:t>The crux of its argument was that the assessments could only be set aside on a consideration of their merits which was purp</w:t>
      </w:r>
      <w:r w:rsidR="00E44BE6">
        <w:rPr>
          <w:rFonts w:ascii="Times New Roman" w:hAnsi="Times New Roman" w:cs="Times New Roman"/>
          <w:sz w:val="24"/>
          <w:szCs w:val="24"/>
        </w:rPr>
        <w:t xml:space="preserve">ortedly not done by this Court.  </w:t>
      </w:r>
      <w:r w:rsidR="00E63624" w:rsidRPr="00775FEB">
        <w:rPr>
          <w:rFonts w:ascii="Times New Roman" w:hAnsi="Times New Roman" w:cs="Times New Roman"/>
          <w:sz w:val="24"/>
          <w:szCs w:val="24"/>
        </w:rPr>
        <w:t>Further, the appellant insisted that the replacement assessments remained valid and did not contradict t</w:t>
      </w:r>
      <w:r w:rsidR="00E44BE6">
        <w:rPr>
          <w:rFonts w:ascii="Times New Roman" w:hAnsi="Times New Roman" w:cs="Times New Roman"/>
          <w:sz w:val="24"/>
          <w:szCs w:val="24"/>
        </w:rPr>
        <w:t xml:space="preserve">he jurisprudence of this Court.  </w:t>
      </w:r>
      <w:r w:rsidR="00E63624" w:rsidRPr="00775FEB">
        <w:rPr>
          <w:rFonts w:ascii="Times New Roman" w:hAnsi="Times New Roman" w:cs="Times New Roman"/>
          <w:sz w:val="24"/>
          <w:szCs w:val="24"/>
        </w:rPr>
        <w:t>The appellant also averred that the respondent had misrepresented its tax liability in res</w:t>
      </w:r>
      <w:r w:rsidR="00E44BE6">
        <w:rPr>
          <w:rFonts w:ascii="Times New Roman" w:hAnsi="Times New Roman" w:cs="Times New Roman"/>
          <w:sz w:val="24"/>
          <w:szCs w:val="24"/>
        </w:rPr>
        <w:t xml:space="preserve">pect of the relevant tax years.  </w:t>
      </w:r>
      <w:r w:rsidR="00E63624" w:rsidRPr="00775FEB">
        <w:rPr>
          <w:rFonts w:ascii="Times New Roman" w:hAnsi="Times New Roman" w:cs="Times New Roman"/>
          <w:sz w:val="24"/>
          <w:szCs w:val="24"/>
        </w:rPr>
        <w:t>On the issue of prescription, the appellant submitted it was inapplicable save for the tax year 2009 since the revised as</w:t>
      </w:r>
      <w:r w:rsidR="00C84DF5" w:rsidRPr="00775FEB">
        <w:rPr>
          <w:rFonts w:ascii="Times New Roman" w:hAnsi="Times New Roman" w:cs="Times New Roman"/>
          <w:sz w:val="24"/>
          <w:szCs w:val="24"/>
        </w:rPr>
        <w:t>sessments were issued in 2016.</w:t>
      </w:r>
      <w:r w:rsidR="00E44BE6">
        <w:rPr>
          <w:rFonts w:ascii="Times New Roman" w:hAnsi="Times New Roman" w:cs="Times New Roman"/>
          <w:sz w:val="24"/>
          <w:szCs w:val="24"/>
        </w:rPr>
        <w:t xml:space="preserve">  </w:t>
      </w:r>
      <w:r w:rsidR="00E63624" w:rsidRPr="00775FEB">
        <w:rPr>
          <w:rFonts w:ascii="Times New Roman" w:hAnsi="Times New Roman" w:cs="Times New Roman"/>
          <w:sz w:val="24"/>
          <w:szCs w:val="24"/>
        </w:rPr>
        <w:t xml:space="preserve">Notwithstanding, it asserted that it was entitled to reopen the assessment for the tax year 2009 due to the respondent’s misrepresentation. </w:t>
      </w:r>
    </w:p>
    <w:p w14:paraId="0E1C68C4" w14:textId="77777777" w:rsidR="00E44BE6" w:rsidRPr="00775FEB" w:rsidRDefault="00E44BE6" w:rsidP="00CC5472">
      <w:pPr>
        <w:spacing w:after="0" w:line="240" w:lineRule="auto"/>
        <w:ind w:firstLine="720"/>
        <w:jc w:val="both"/>
        <w:rPr>
          <w:rFonts w:ascii="Times New Roman" w:hAnsi="Times New Roman" w:cs="Times New Roman"/>
          <w:sz w:val="24"/>
          <w:szCs w:val="24"/>
        </w:rPr>
      </w:pPr>
    </w:p>
    <w:p w14:paraId="29512216" w14:textId="7DE70310" w:rsidR="00ED2B96" w:rsidRDefault="00E44BE6" w:rsidP="00D35F49">
      <w:pPr>
        <w:tabs>
          <w:tab w:val="left" w:pos="144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35F49">
        <w:rPr>
          <w:rFonts w:ascii="Times New Roman" w:hAnsi="Times New Roman" w:cs="Times New Roman"/>
          <w:sz w:val="24"/>
          <w:szCs w:val="24"/>
        </w:rPr>
        <w:tab/>
      </w:r>
      <w:r w:rsidR="00E63624" w:rsidRPr="00775FEB">
        <w:rPr>
          <w:rFonts w:ascii="Times New Roman" w:hAnsi="Times New Roman" w:cs="Times New Roman"/>
          <w:sz w:val="24"/>
          <w:szCs w:val="24"/>
        </w:rPr>
        <w:t xml:space="preserve">The appellant also </w:t>
      </w:r>
      <w:r w:rsidR="002A1ACF" w:rsidRPr="00775FEB">
        <w:rPr>
          <w:rFonts w:ascii="Times New Roman" w:hAnsi="Times New Roman" w:cs="Times New Roman"/>
          <w:sz w:val="24"/>
          <w:szCs w:val="24"/>
        </w:rPr>
        <w:t>disp</w:t>
      </w:r>
      <w:r w:rsidR="00E63624" w:rsidRPr="00775FEB">
        <w:rPr>
          <w:rFonts w:ascii="Times New Roman" w:hAnsi="Times New Roman" w:cs="Times New Roman"/>
          <w:sz w:val="24"/>
          <w:szCs w:val="24"/>
        </w:rPr>
        <w:t xml:space="preserve">uted the </w:t>
      </w:r>
      <w:r w:rsidR="002A1ACF" w:rsidRPr="00775FEB">
        <w:rPr>
          <w:rFonts w:ascii="Times New Roman" w:hAnsi="Times New Roman" w:cs="Times New Roman"/>
          <w:sz w:val="24"/>
          <w:szCs w:val="24"/>
        </w:rPr>
        <w:t>allega</w:t>
      </w:r>
      <w:r w:rsidR="00E63624" w:rsidRPr="00775FEB">
        <w:rPr>
          <w:rFonts w:ascii="Times New Roman" w:hAnsi="Times New Roman" w:cs="Times New Roman"/>
          <w:sz w:val="24"/>
          <w:szCs w:val="24"/>
        </w:rPr>
        <w:t xml:space="preserve">tion that the replacement assessments were meant to avoid reimbursing the respondent. </w:t>
      </w:r>
      <w:r w:rsidR="00D35F49">
        <w:rPr>
          <w:rFonts w:ascii="Times New Roman" w:hAnsi="Times New Roman" w:cs="Times New Roman"/>
          <w:sz w:val="24"/>
          <w:szCs w:val="24"/>
        </w:rPr>
        <w:t xml:space="preserve"> </w:t>
      </w:r>
      <w:r w:rsidR="00E63624" w:rsidRPr="00775FEB">
        <w:rPr>
          <w:rFonts w:ascii="Times New Roman" w:hAnsi="Times New Roman" w:cs="Times New Roman"/>
          <w:sz w:val="24"/>
          <w:szCs w:val="24"/>
        </w:rPr>
        <w:t xml:space="preserve">It submitted that there was no legal basis for refunding taxpayers and that at any rate the credit was utilized on payment upon issuance of the replacement </w:t>
      </w:r>
      <w:r w:rsidR="00381281">
        <w:rPr>
          <w:rFonts w:ascii="Times New Roman" w:hAnsi="Times New Roman" w:cs="Times New Roman"/>
          <w:sz w:val="24"/>
          <w:szCs w:val="24"/>
        </w:rPr>
        <w:t>assessments in</w:t>
      </w:r>
      <w:r w:rsidR="00D35F49">
        <w:rPr>
          <w:rFonts w:ascii="Times New Roman" w:hAnsi="Times New Roman" w:cs="Times New Roman"/>
          <w:sz w:val="24"/>
          <w:szCs w:val="24"/>
        </w:rPr>
        <w:t xml:space="preserve"> January of 2022.  </w:t>
      </w:r>
      <w:r w:rsidR="00E63624" w:rsidRPr="00775FEB">
        <w:rPr>
          <w:rFonts w:ascii="Times New Roman" w:hAnsi="Times New Roman" w:cs="Times New Roman"/>
          <w:sz w:val="24"/>
          <w:szCs w:val="24"/>
        </w:rPr>
        <w:t>In replication, the respondent referenced correspondence from February 2022 as highlighting that it was the validity of the replacement assessments which wa</w:t>
      </w:r>
      <w:r w:rsidR="00D35F49">
        <w:rPr>
          <w:rFonts w:ascii="Times New Roman" w:hAnsi="Times New Roman" w:cs="Times New Roman"/>
          <w:sz w:val="24"/>
          <w:szCs w:val="24"/>
        </w:rPr>
        <w:t xml:space="preserve">s an issue between the parties.  </w:t>
      </w:r>
      <w:r w:rsidR="00E63624" w:rsidRPr="00775FEB">
        <w:rPr>
          <w:rFonts w:ascii="Times New Roman" w:hAnsi="Times New Roman" w:cs="Times New Roman"/>
          <w:sz w:val="24"/>
          <w:szCs w:val="24"/>
        </w:rPr>
        <w:t>It submitted that the distinction being drawn between a notice of assessment and assessment was merely a ploy to avo</w:t>
      </w:r>
      <w:r w:rsidR="00D35F49">
        <w:rPr>
          <w:rFonts w:ascii="Times New Roman" w:hAnsi="Times New Roman" w:cs="Times New Roman"/>
          <w:sz w:val="24"/>
          <w:szCs w:val="24"/>
        </w:rPr>
        <w:t xml:space="preserve">id reimbursing the paid amount.  </w:t>
      </w:r>
      <w:r w:rsidR="00E63624" w:rsidRPr="00775FEB">
        <w:rPr>
          <w:rFonts w:ascii="Times New Roman" w:hAnsi="Times New Roman" w:cs="Times New Roman"/>
          <w:sz w:val="24"/>
          <w:szCs w:val="24"/>
        </w:rPr>
        <w:t xml:space="preserve">The respondent also insisted that the issue of prescription was relevant since the appellant had issued novel assessments in 2022. </w:t>
      </w:r>
    </w:p>
    <w:p w14:paraId="28957E1C" w14:textId="77777777" w:rsidR="00ED2B96" w:rsidRPr="00381281" w:rsidRDefault="00ED2B96" w:rsidP="00775FEB">
      <w:pPr>
        <w:spacing w:line="360" w:lineRule="auto"/>
        <w:jc w:val="both"/>
        <w:rPr>
          <w:rFonts w:ascii="Times New Roman" w:hAnsi="Times New Roman" w:cs="Times New Roman"/>
          <w:b/>
          <w:sz w:val="24"/>
          <w:szCs w:val="24"/>
          <w:u w:val="single"/>
        </w:rPr>
      </w:pPr>
      <w:r w:rsidRPr="00381281">
        <w:rPr>
          <w:rFonts w:ascii="Times New Roman" w:hAnsi="Times New Roman" w:cs="Times New Roman"/>
          <w:b/>
          <w:sz w:val="24"/>
          <w:szCs w:val="24"/>
          <w:u w:val="single"/>
        </w:rPr>
        <w:lastRenderedPageBreak/>
        <w:t xml:space="preserve">PROCEEDINGS BEFORE THE COURT </w:t>
      </w:r>
      <w:r w:rsidRPr="00381281">
        <w:rPr>
          <w:rFonts w:ascii="Times New Roman" w:hAnsi="Times New Roman" w:cs="Times New Roman"/>
          <w:b/>
          <w:i/>
          <w:sz w:val="24"/>
          <w:szCs w:val="24"/>
          <w:u w:val="single"/>
        </w:rPr>
        <w:t>A QUO</w:t>
      </w:r>
    </w:p>
    <w:p w14:paraId="0A13C307" w14:textId="14FC1C86" w:rsidR="009E267F" w:rsidRPr="00775FEB" w:rsidRDefault="001D07E7" w:rsidP="00CC5472">
      <w:pPr>
        <w:tabs>
          <w:tab w:val="left" w:pos="1440"/>
        </w:tabs>
        <w:spacing w:after="0" w:line="480" w:lineRule="auto"/>
        <w:ind w:firstLine="851"/>
        <w:jc w:val="both"/>
        <w:rPr>
          <w:rFonts w:ascii="Times New Roman" w:eastAsia="Calibri" w:hAnsi="Times New Roman" w:cs="Times New Roman"/>
          <w:sz w:val="24"/>
          <w:szCs w:val="24"/>
          <w:lang w:val="en-ZW"/>
        </w:rPr>
      </w:pPr>
      <w:r>
        <w:rPr>
          <w:rFonts w:ascii="Times New Roman" w:hAnsi="Times New Roman" w:cs="Times New Roman"/>
          <w:sz w:val="24"/>
          <w:szCs w:val="24"/>
        </w:rPr>
        <w:t xml:space="preserve">     </w:t>
      </w:r>
      <w:r w:rsidR="00D35F49">
        <w:rPr>
          <w:rFonts w:ascii="Times New Roman" w:hAnsi="Times New Roman" w:cs="Times New Roman"/>
          <w:sz w:val="24"/>
          <w:szCs w:val="24"/>
        </w:rPr>
        <w:tab/>
      </w:r>
      <w:r w:rsidR="00E63624" w:rsidRPr="00775FEB">
        <w:rPr>
          <w:rFonts w:ascii="Times New Roman" w:hAnsi="Times New Roman" w:cs="Times New Roman"/>
          <w:sz w:val="24"/>
          <w:szCs w:val="24"/>
        </w:rPr>
        <w:t xml:space="preserve">The court </w:t>
      </w:r>
      <w:r w:rsidR="00E63624" w:rsidRPr="00775FEB">
        <w:rPr>
          <w:rFonts w:ascii="Times New Roman" w:hAnsi="Times New Roman" w:cs="Times New Roman"/>
          <w:i/>
          <w:sz w:val="24"/>
          <w:szCs w:val="24"/>
        </w:rPr>
        <w:t xml:space="preserve">a quo </w:t>
      </w:r>
      <w:r w:rsidR="00E63624" w:rsidRPr="00775FEB">
        <w:rPr>
          <w:rFonts w:ascii="Times New Roman" w:hAnsi="Times New Roman" w:cs="Times New Roman"/>
          <w:sz w:val="24"/>
          <w:szCs w:val="24"/>
        </w:rPr>
        <w:t>granted the declarat</w:t>
      </w:r>
      <w:r w:rsidR="004F6DED">
        <w:rPr>
          <w:rFonts w:ascii="Times New Roman" w:hAnsi="Times New Roman" w:cs="Times New Roman"/>
          <w:sz w:val="24"/>
          <w:szCs w:val="24"/>
        </w:rPr>
        <w:t>u</w:t>
      </w:r>
      <w:r w:rsidR="00E63624" w:rsidRPr="00775FEB">
        <w:rPr>
          <w:rFonts w:ascii="Times New Roman" w:hAnsi="Times New Roman" w:cs="Times New Roman"/>
          <w:sz w:val="24"/>
          <w:szCs w:val="24"/>
        </w:rPr>
        <w:t xml:space="preserve">r sought by the respondent. In its disposition, the court </w:t>
      </w:r>
      <w:r w:rsidR="00E63624" w:rsidRPr="00775FEB">
        <w:rPr>
          <w:rFonts w:ascii="Times New Roman" w:hAnsi="Times New Roman" w:cs="Times New Roman"/>
          <w:i/>
          <w:sz w:val="24"/>
          <w:szCs w:val="24"/>
        </w:rPr>
        <w:t>a quo</w:t>
      </w:r>
      <w:r w:rsidR="00E63624" w:rsidRPr="00775FEB">
        <w:rPr>
          <w:rFonts w:ascii="Times New Roman" w:hAnsi="Times New Roman" w:cs="Times New Roman"/>
          <w:sz w:val="24"/>
          <w:szCs w:val="24"/>
        </w:rPr>
        <w:t xml:space="preserve"> ruled that the appellant could not issue the replacement notices of assessments since the 2016 revised assessments were invalidated and set aside by this Court. </w:t>
      </w:r>
      <w:r w:rsidR="00D35F49">
        <w:rPr>
          <w:rFonts w:ascii="Times New Roman" w:hAnsi="Times New Roman" w:cs="Times New Roman"/>
          <w:sz w:val="24"/>
          <w:szCs w:val="24"/>
        </w:rPr>
        <w:t xml:space="preserve"> </w:t>
      </w:r>
      <w:r w:rsidR="00E63624" w:rsidRPr="00775FEB">
        <w:rPr>
          <w:rFonts w:ascii="Times New Roman" w:hAnsi="Times New Roman" w:cs="Times New Roman"/>
          <w:sz w:val="24"/>
          <w:szCs w:val="24"/>
        </w:rPr>
        <w:t>It reasoned that it could not review the decision of this Court and that the appellant could not circumvent the import of the judgment under SC 148/21.</w:t>
      </w:r>
      <w:r w:rsidR="00C84DF5" w:rsidRPr="00775FEB">
        <w:rPr>
          <w:rFonts w:ascii="Times New Roman" w:hAnsi="Times New Roman" w:cs="Times New Roman"/>
          <w:sz w:val="24"/>
          <w:szCs w:val="24"/>
        </w:rPr>
        <w:t xml:space="preserve"> </w:t>
      </w:r>
      <w:r>
        <w:rPr>
          <w:rFonts w:ascii="Times New Roman" w:hAnsi="Times New Roman" w:cs="Times New Roman"/>
          <w:sz w:val="24"/>
          <w:szCs w:val="24"/>
        </w:rPr>
        <w:t xml:space="preserve"> </w:t>
      </w:r>
      <w:r w:rsidR="00C84DF5" w:rsidRPr="00775FEB">
        <w:rPr>
          <w:rFonts w:ascii="Times New Roman" w:hAnsi="Times New Roman" w:cs="Times New Roman"/>
          <w:sz w:val="24"/>
          <w:szCs w:val="24"/>
        </w:rPr>
        <w:t xml:space="preserve">Irked by the determination of the court </w:t>
      </w:r>
      <w:r w:rsidR="00C84DF5" w:rsidRPr="001D07E7">
        <w:rPr>
          <w:rFonts w:ascii="Times New Roman" w:hAnsi="Times New Roman" w:cs="Times New Roman"/>
          <w:i/>
          <w:sz w:val="24"/>
          <w:szCs w:val="24"/>
        </w:rPr>
        <w:t>a quo</w:t>
      </w:r>
      <w:r w:rsidR="00C84DF5" w:rsidRPr="00775FEB">
        <w:rPr>
          <w:rFonts w:ascii="Times New Roman" w:hAnsi="Times New Roman" w:cs="Times New Roman"/>
          <w:sz w:val="24"/>
          <w:szCs w:val="24"/>
        </w:rPr>
        <w:t xml:space="preserve">, the appellant filed the instant appeal on the </w:t>
      </w:r>
      <w:r w:rsidR="004E0E9F">
        <w:rPr>
          <w:rFonts w:ascii="Times New Roman" w:hAnsi="Times New Roman" w:cs="Times New Roman"/>
          <w:sz w:val="24"/>
          <w:szCs w:val="24"/>
        </w:rPr>
        <w:t>following</w:t>
      </w:r>
      <w:r w:rsidR="00C84DF5" w:rsidRPr="00775FEB">
        <w:rPr>
          <w:rFonts w:ascii="Times New Roman" w:hAnsi="Times New Roman" w:cs="Times New Roman"/>
          <w:sz w:val="24"/>
          <w:szCs w:val="24"/>
        </w:rPr>
        <w:t xml:space="preserve"> grounds:</w:t>
      </w:r>
    </w:p>
    <w:p w14:paraId="332DA8A1" w14:textId="12360FC9" w:rsidR="007348E2" w:rsidRPr="00775FEB" w:rsidRDefault="007348E2" w:rsidP="00D35F49">
      <w:pPr>
        <w:pStyle w:val="ListParagraph"/>
        <w:numPr>
          <w:ilvl w:val="0"/>
          <w:numId w:val="20"/>
        </w:numPr>
        <w:spacing w:after="0" w:line="480" w:lineRule="auto"/>
        <w:ind w:left="1080"/>
        <w:jc w:val="both"/>
        <w:rPr>
          <w:rFonts w:ascii="Times New Roman" w:hAnsi="Times New Roman" w:cs="Times New Roman"/>
          <w:sz w:val="24"/>
          <w:szCs w:val="24"/>
          <w:lang w:val="en-GB"/>
        </w:rPr>
      </w:pPr>
      <w:r w:rsidRPr="00775FEB">
        <w:rPr>
          <w:rFonts w:ascii="Times New Roman" w:hAnsi="Times New Roman" w:cs="Times New Roman"/>
          <w:sz w:val="24"/>
          <w:szCs w:val="24"/>
          <w:lang w:val="en-GB"/>
        </w:rPr>
        <w:t xml:space="preserve">The court </w:t>
      </w:r>
      <w:r w:rsidRPr="001D07E7">
        <w:rPr>
          <w:rFonts w:ascii="Times New Roman" w:hAnsi="Times New Roman" w:cs="Times New Roman"/>
          <w:i/>
          <w:sz w:val="24"/>
          <w:szCs w:val="24"/>
          <w:lang w:val="en-GB"/>
        </w:rPr>
        <w:t>a quo</w:t>
      </w:r>
      <w:r w:rsidRPr="00775FEB">
        <w:rPr>
          <w:rFonts w:ascii="Times New Roman" w:hAnsi="Times New Roman" w:cs="Times New Roman"/>
          <w:sz w:val="24"/>
          <w:szCs w:val="24"/>
          <w:lang w:val="en-GB"/>
        </w:rPr>
        <w:t xml:space="preserve"> erred in law in failing to find that the appellant could lawfully issue fresh notices of </w:t>
      </w:r>
      <w:r w:rsidR="001D07E7">
        <w:rPr>
          <w:rFonts w:ascii="Times New Roman" w:hAnsi="Times New Roman" w:cs="Times New Roman"/>
          <w:sz w:val="24"/>
          <w:szCs w:val="24"/>
          <w:lang w:val="en-GB"/>
        </w:rPr>
        <w:t xml:space="preserve">assessment, in terms of s </w:t>
      </w:r>
      <w:r w:rsidRPr="00775FEB">
        <w:rPr>
          <w:rFonts w:ascii="Times New Roman" w:hAnsi="Times New Roman" w:cs="Times New Roman"/>
          <w:sz w:val="24"/>
          <w:szCs w:val="24"/>
          <w:lang w:val="en-GB"/>
        </w:rPr>
        <w:t>51 of the Income Tax Act [</w:t>
      </w:r>
      <w:r w:rsidRPr="00775FEB">
        <w:rPr>
          <w:rFonts w:ascii="Times New Roman" w:hAnsi="Times New Roman" w:cs="Times New Roman"/>
          <w:i/>
          <w:iCs/>
          <w:sz w:val="24"/>
          <w:szCs w:val="24"/>
          <w:lang w:val="en-GB"/>
        </w:rPr>
        <w:t>Chapter 23:06</w:t>
      </w:r>
      <w:r w:rsidRPr="00775FEB">
        <w:rPr>
          <w:rFonts w:ascii="Times New Roman" w:hAnsi="Times New Roman" w:cs="Times New Roman"/>
          <w:sz w:val="24"/>
          <w:szCs w:val="24"/>
          <w:lang w:val="en-GB"/>
        </w:rPr>
        <w:t xml:space="preserve">], to collect assessed taxes for </w:t>
      </w:r>
      <w:r w:rsidR="001D07E7">
        <w:rPr>
          <w:rFonts w:ascii="Times New Roman" w:hAnsi="Times New Roman" w:cs="Times New Roman"/>
          <w:sz w:val="24"/>
          <w:szCs w:val="24"/>
          <w:lang w:val="en-GB"/>
        </w:rPr>
        <w:t>period 2009 to 2013 after 2016 n</w:t>
      </w:r>
      <w:r w:rsidRPr="00775FEB">
        <w:rPr>
          <w:rFonts w:ascii="Times New Roman" w:hAnsi="Times New Roman" w:cs="Times New Roman"/>
          <w:sz w:val="24"/>
          <w:szCs w:val="24"/>
          <w:lang w:val="en-GB"/>
        </w:rPr>
        <w:t>otices of assessment had been held to be invalid by the Supreme Court.</w:t>
      </w:r>
    </w:p>
    <w:p w14:paraId="79AAEE18" w14:textId="26CF052E" w:rsidR="007348E2" w:rsidRPr="00775FEB" w:rsidRDefault="007348E2" w:rsidP="00D35F49">
      <w:pPr>
        <w:pStyle w:val="ListParagraph"/>
        <w:numPr>
          <w:ilvl w:val="0"/>
          <w:numId w:val="20"/>
        </w:numPr>
        <w:spacing w:line="480" w:lineRule="auto"/>
        <w:ind w:left="1080"/>
        <w:jc w:val="both"/>
        <w:rPr>
          <w:rFonts w:ascii="Times New Roman" w:hAnsi="Times New Roman" w:cs="Times New Roman"/>
          <w:sz w:val="24"/>
          <w:szCs w:val="24"/>
          <w:lang w:val="en-GB"/>
        </w:rPr>
      </w:pPr>
      <w:r w:rsidRPr="00775FEB">
        <w:rPr>
          <w:rFonts w:ascii="Times New Roman" w:hAnsi="Times New Roman" w:cs="Times New Roman"/>
          <w:sz w:val="24"/>
          <w:szCs w:val="24"/>
          <w:lang w:val="en-GB"/>
        </w:rPr>
        <w:t xml:space="preserve">The court </w:t>
      </w:r>
      <w:r w:rsidRPr="001D07E7">
        <w:rPr>
          <w:rFonts w:ascii="Times New Roman" w:hAnsi="Times New Roman" w:cs="Times New Roman"/>
          <w:i/>
          <w:sz w:val="24"/>
          <w:szCs w:val="24"/>
          <w:lang w:val="en-GB"/>
        </w:rPr>
        <w:t>a quo</w:t>
      </w:r>
      <w:r w:rsidRPr="00775FEB">
        <w:rPr>
          <w:rFonts w:ascii="Times New Roman" w:hAnsi="Times New Roman" w:cs="Times New Roman"/>
          <w:sz w:val="24"/>
          <w:szCs w:val="24"/>
          <w:lang w:val="en-GB"/>
        </w:rPr>
        <w:t xml:space="preserve"> erred in law in failing to make a distinction between an assessment and a notice </w:t>
      </w:r>
      <w:r w:rsidR="00676729">
        <w:rPr>
          <w:rFonts w:ascii="Times New Roman" w:hAnsi="Times New Roman" w:cs="Times New Roman"/>
          <w:sz w:val="24"/>
          <w:szCs w:val="24"/>
          <w:lang w:val="en-GB"/>
        </w:rPr>
        <w:t>o</w:t>
      </w:r>
      <w:r w:rsidRPr="00775FEB">
        <w:rPr>
          <w:rFonts w:ascii="Times New Roman" w:hAnsi="Times New Roman" w:cs="Times New Roman"/>
          <w:sz w:val="24"/>
          <w:szCs w:val="24"/>
          <w:lang w:val="en-GB"/>
        </w:rPr>
        <w:t>f assessment as contemplated</w:t>
      </w:r>
      <w:r w:rsidR="001D07E7">
        <w:rPr>
          <w:rFonts w:ascii="Times New Roman" w:hAnsi="Times New Roman" w:cs="Times New Roman"/>
          <w:sz w:val="24"/>
          <w:szCs w:val="24"/>
          <w:lang w:val="en-GB"/>
        </w:rPr>
        <w:t xml:space="preserve"> by an interpretation of s</w:t>
      </w:r>
      <w:r w:rsidRPr="00775FEB">
        <w:rPr>
          <w:rFonts w:ascii="Times New Roman" w:hAnsi="Times New Roman" w:cs="Times New Roman"/>
          <w:sz w:val="24"/>
          <w:szCs w:val="24"/>
          <w:lang w:val="en-GB"/>
        </w:rPr>
        <w:t xml:space="preserve"> 2, 37A, 47 and 51 of the Income Tax Act [</w:t>
      </w:r>
      <w:r w:rsidRPr="00775FEB">
        <w:rPr>
          <w:rFonts w:ascii="Times New Roman" w:hAnsi="Times New Roman" w:cs="Times New Roman"/>
          <w:i/>
          <w:iCs/>
          <w:sz w:val="24"/>
          <w:szCs w:val="24"/>
          <w:lang w:val="en-GB"/>
        </w:rPr>
        <w:t>Chapter 23:06</w:t>
      </w:r>
      <w:r w:rsidRPr="00775FEB">
        <w:rPr>
          <w:rFonts w:ascii="Times New Roman" w:hAnsi="Times New Roman" w:cs="Times New Roman"/>
          <w:sz w:val="24"/>
          <w:szCs w:val="24"/>
          <w:lang w:val="en-GB"/>
        </w:rPr>
        <w:t xml:space="preserve">] and in so doing failed to determine the issue before it. </w:t>
      </w:r>
    </w:p>
    <w:p w14:paraId="2D7D051B" w14:textId="6F3AA080" w:rsidR="007348E2" w:rsidRPr="00775FEB" w:rsidRDefault="007348E2" w:rsidP="00D35F49">
      <w:pPr>
        <w:pStyle w:val="ListParagraph"/>
        <w:numPr>
          <w:ilvl w:val="0"/>
          <w:numId w:val="20"/>
        </w:numPr>
        <w:spacing w:line="480" w:lineRule="auto"/>
        <w:ind w:left="1170" w:hanging="450"/>
        <w:jc w:val="both"/>
        <w:rPr>
          <w:rFonts w:ascii="Times New Roman" w:hAnsi="Times New Roman" w:cs="Times New Roman"/>
          <w:sz w:val="24"/>
          <w:szCs w:val="24"/>
          <w:lang w:val="en-GB"/>
        </w:rPr>
      </w:pPr>
      <w:r w:rsidRPr="00775FEB">
        <w:rPr>
          <w:rFonts w:ascii="Times New Roman" w:hAnsi="Times New Roman" w:cs="Times New Roman"/>
          <w:sz w:val="24"/>
          <w:szCs w:val="24"/>
          <w:lang w:val="en-GB"/>
        </w:rPr>
        <w:t xml:space="preserve">The court </w:t>
      </w:r>
      <w:r w:rsidRPr="001D07E7">
        <w:rPr>
          <w:rFonts w:ascii="Times New Roman" w:hAnsi="Times New Roman" w:cs="Times New Roman"/>
          <w:i/>
          <w:sz w:val="24"/>
          <w:szCs w:val="24"/>
          <w:lang w:val="en-GB"/>
        </w:rPr>
        <w:t>a quo</w:t>
      </w:r>
      <w:r w:rsidRPr="00775FEB">
        <w:rPr>
          <w:rFonts w:ascii="Times New Roman" w:hAnsi="Times New Roman" w:cs="Times New Roman"/>
          <w:sz w:val="24"/>
          <w:szCs w:val="24"/>
          <w:lang w:val="en-GB"/>
        </w:rPr>
        <w:t xml:space="preserve"> consequently erred in finding as it did or must </w:t>
      </w:r>
      <w:r w:rsidR="00374551">
        <w:rPr>
          <w:rFonts w:ascii="Times New Roman" w:hAnsi="Times New Roman" w:cs="Times New Roman"/>
          <w:sz w:val="24"/>
          <w:szCs w:val="24"/>
          <w:lang w:val="en-GB"/>
        </w:rPr>
        <w:t>b</w:t>
      </w:r>
      <w:r w:rsidRPr="00775FEB">
        <w:rPr>
          <w:rFonts w:ascii="Times New Roman" w:hAnsi="Times New Roman" w:cs="Times New Roman"/>
          <w:sz w:val="24"/>
          <w:szCs w:val="24"/>
          <w:lang w:val="en-GB"/>
        </w:rPr>
        <w:t>e taken to have done that the notices of assessment for the income tax period 2009 to 2013, issued in 2022 had no legal basis and were invalid and improperly issued by the appellant.</w:t>
      </w:r>
    </w:p>
    <w:p w14:paraId="3039B659" w14:textId="4E2DC592" w:rsidR="007348E2" w:rsidRPr="00775FEB" w:rsidRDefault="007348E2" w:rsidP="00D35F49">
      <w:pPr>
        <w:pStyle w:val="ListParagraph"/>
        <w:numPr>
          <w:ilvl w:val="0"/>
          <w:numId w:val="20"/>
        </w:numPr>
        <w:spacing w:line="480" w:lineRule="auto"/>
        <w:ind w:left="1170" w:hanging="450"/>
        <w:jc w:val="both"/>
        <w:rPr>
          <w:rFonts w:ascii="Times New Roman" w:hAnsi="Times New Roman" w:cs="Times New Roman"/>
          <w:sz w:val="24"/>
          <w:szCs w:val="24"/>
          <w:lang w:val="en-GB"/>
        </w:rPr>
      </w:pPr>
      <w:r w:rsidRPr="00775FEB">
        <w:rPr>
          <w:rFonts w:ascii="Times New Roman" w:hAnsi="Times New Roman" w:cs="Times New Roman"/>
          <w:sz w:val="24"/>
          <w:szCs w:val="24"/>
          <w:lang w:val="en-GB"/>
        </w:rPr>
        <w:t xml:space="preserve">The court </w:t>
      </w:r>
      <w:r w:rsidRPr="001D07E7">
        <w:rPr>
          <w:rFonts w:ascii="Times New Roman" w:hAnsi="Times New Roman" w:cs="Times New Roman"/>
          <w:i/>
          <w:sz w:val="24"/>
          <w:szCs w:val="24"/>
          <w:lang w:val="en-GB"/>
        </w:rPr>
        <w:t>a quo</w:t>
      </w:r>
      <w:r w:rsidRPr="00775FEB">
        <w:rPr>
          <w:rFonts w:ascii="Times New Roman" w:hAnsi="Times New Roman" w:cs="Times New Roman"/>
          <w:sz w:val="24"/>
          <w:szCs w:val="24"/>
          <w:lang w:val="en-GB"/>
        </w:rPr>
        <w:t xml:space="preserve"> erred in finding, as it must be taken to have done that the additional tax assessments, done by the appellant on the respondent in 2016, were declared null and void by the Supreme Court under judgment SC </w:t>
      </w:r>
      <w:r w:rsidR="00F12B9B">
        <w:rPr>
          <w:rFonts w:ascii="Times New Roman" w:hAnsi="Times New Roman" w:cs="Times New Roman"/>
          <w:sz w:val="24"/>
          <w:szCs w:val="24"/>
          <w:lang w:val="en-GB"/>
        </w:rPr>
        <w:t>148/</w:t>
      </w:r>
      <w:r w:rsidRPr="00775FEB">
        <w:rPr>
          <w:rFonts w:ascii="Times New Roman" w:hAnsi="Times New Roman" w:cs="Times New Roman"/>
          <w:sz w:val="24"/>
          <w:szCs w:val="24"/>
          <w:lang w:val="en-GB"/>
        </w:rPr>
        <w:t>21, when the Supreme Court did not make any substantive determination on the assessments themselves but on the validity of the notices of assessment issued by the appellant.</w:t>
      </w:r>
    </w:p>
    <w:p w14:paraId="5A7D978C" w14:textId="77777777" w:rsidR="00DC76A5" w:rsidRDefault="007348E2" w:rsidP="00D35F49">
      <w:pPr>
        <w:pStyle w:val="ListParagraph"/>
        <w:numPr>
          <w:ilvl w:val="0"/>
          <w:numId w:val="20"/>
        </w:numPr>
        <w:spacing w:line="480" w:lineRule="auto"/>
        <w:ind w:left="1170" w:hanging="450"/>
        <w:jc w:val="both"/>
        <w:rPr>
          <w:rFonts w:ascii="Times New Roman" w:hAnsi="Times New Roman" w:cs="Times New Roman"/>
          <w:sz w:val="24"/>
          <w:szCs w:val="24"/>
          <w:lang w:val="en-GB"/>
        </w:rPr>
      </w:pPr>
      <w:r w:rsidRPr="00775FEB">
        <w:rPr>
          <w:rFonts w:ascii="Times New Roman" w:hAnsi="Times New Roman" w:cs="Times New Roman"/>
          <w:sz w:val="24"/>
          <w:szCs w:val="24"/>
          <w:lang w:val="en-GB"/>
        </w:rPr>
        <w:lastRenderedPageBreak/>
        <w:t xml:space="preserve"> The court </w:t>
      </w:r>
      <w:r w:rsidRPr="00F12B9B">
        <w:rPr>
          <w:rFonts w:ascii="Times New Roman" w:hAnsi="Times New Roman" w:cs="Times New Roman"/>
          <w:i/>
          <w:sz w:val="24"/>
          <w:szCs w:val="24"/>
          <w:lang w:val="en-GB"/>
        </w:rPr>
        <w:t>a quo</w:t>
      </w:r>
      <w:r w:rsidRPr="00775FEB">
        <w:rPr>
          <w:rFonts w:ascii="Times New Roman" w:hAnsi="Times New Roman" w:cs="Times New Roman"/>
          <w:sz w:val="24"/>
          <w:szCs w:val="24"/>
          <w:lang w:val="en-GB"/>
        </w:rPr>
        <w:t xml:space="preserve"> erred in placing reliance on the Supreme Court decision un</w:t>
      </w:r>
      <w:r w:rsidR="00F12B9B">
        <w:rPr>
          <w:rFonts w:ascii="Times New Roman" w:hAnsi="Times New Roman" w:cs="Times New Roman"/>
          <w:sz w:val="24"/>
          <w:szCs w:val="24"/>
          <w:lang w:val="en-GB"/>
        </w:rPr>
        <w:t>der SC                     148/</w:t>
      </w:r>
      <w:r w:rsidRPr="00775FEB">
        <w:rPr>
          <w:rFonts w:ascii="Times New Roman" w:hAnsi="Times New Roman" w:cs="Times New Roman"/>
          <w:sz w:val="24"/>
          <w:szCs w:val="24"/>
          <w:lang w:val="en-GB"/>
        </w:rPr>
        <w:t xml:space="preserve">21 when that judgment did not conclusively determine the issue that was before the court </w:t>
      </w:r>
      <w:r w:rsidRPr="00F12B9B">
        <w:rPr>
          <w:rFonts w:ascii="Times New Roman" w:hAnsi="Times New Roman" w:cs="Times New Roman"/>
          <w:i/>
          <w:sz w:val="24"/>
          <w:szCs w:val="24"/>
          <w:lang w:val="en-GB"/>
        </w:rPr>
        <w:t>a quo</w:t>
      </w:r>
      <w:r w:rsidRPr="00775FEB">
        <w:rPr>
          <w:rFonts w:ascii="Times New Roman" w:hAnsi="Times New Roman" w:cs="Times New Roman"/>
          <w:sz w:val="24"/>
          <w:szCs w:val="24"/>
          <w:lang w:val="en-GB"/>
        </w:rPr>
        <w:t>, being whether or not there is a distinction between a notice of assessment and an assessment in terms of the Income Tax Act and consequently, whether the appellant could issue fresh and valid notices of assessment in the circumstances.</w:t>
      </w:r>
      <w:r w:rsidR="00D20183" w:rsidRPr="00775FEB">
        <w:rPr>
          <w:rFonts w:ascii="Times New Roman" w:hAnsi="Times New Roman" w:cs="Times New Roman"/>
          <w:sz w:val="24"/>
          <w:szCs w:val="24"/>
          <w:lang w:val="en-GB"/>
        </w:rPr>
        <w:t>”</w:t>
      </w:r>
      <w:r w:rsidR="003E3ABF" w:rsidRPr="00775FEB">
        <w:rPr>
          <w:rFonts w:ascii="Times New Roman" w:hAnsi="Times New Roman" w:cs="Times New Roman"/>
          <w:sz w:val="24"/>
          <w:szCs w:val="24"/>
          <w:lang w:val="en-GB"/>
        </w:rPr>
        <w:tab/>
      </w:r>
    </w:p>
    <w:p w14:paraId="3115507F" w14:textId="1F2BCD86" w:rsidR="00E63624" w:rsidRPr="00775FEB" w:rsidRDefault="003E3ABF" w:rsidP="00DC76A5">
      <w:pPr>
        <w:pStyle w:val="ListParagraph"/>
        <w:spacing w:after="0" w:line="240" w:lineRule="auto"/>
        <w:ind w:left="1170"/>
        <w:jc w:val="both"/>
        <w:rPr>
          <w:rFonts w:ascii="Times New Roman" w:hAnsi="Times New Roman" w:cs="Times New Roman"/>
          <w:sz w:val="24"/>
          <w:szCs w:val="24"/>
          <w:lang w:val="en-GB"/>
        </w:rPr>
      </w:pPr>
      <w:r w:rsidRPr="00775FEB">
        <w:rPr>
          <w:rFonts w:ascii="Times New Roman" w:hAnsi="Times New Roman" w:cs="Times New Roman"/>
          <w:sz w:val="24"/>
          <w:szCs w:val="24"/>
          <w:lang w:val="en-GB"/>
        </w:rPr>
        <w:tab/>
      </w:r>
      <w:r w:rsidRPr="00775FEB">
        <w:rPr>
          <w:rFonts w:ascii="Times New Roman" w:hAnsi="Times New Roman" w:cs="Times New Roman"/>
          <w:sz w:val="24"/>
          <w:szCs w:val="24"/>
          <w:lang w:val="en-GB"/>
        </w:rPr>
        <w:tab/>
      </w:r>
    </w:p>
    <w:p w14:paraId="19BDDBA6" w14:textId="77777777" w:rsidR="006C6587" w:rsidRPr="00F12B9B" w:rsidRDefault="00FF0A68" w:rsidP="00F12B9B">
      <w:pPr>
        <w:spacing w:after="0" w:line="480" w:lineRule="auto"/>
        <w:ind w:left="-5" w:hanging="10"/>
        <w:jc w:val="both"/>
        <w:rPr>
          <w:rFonts w:ascii="Times New Roman" w:hAnsi="Times New Roman" w:cs="Times New Roman"/>
          <w:b/>
          <w:sz w:val="24"/>
          <w:szCs w:val="24"/>
          <w:u w:val="single"/>
        </w:rPr>
      </w:pPr>
      <w:r w:rsidRPr="00F12B9B">
        <w:rPr>
          <w:rFonts w:ascii="Times New Roman" w:hAnsi="Times New Roman" w:cs="Times New Roman"/>
          <w:b/>
          <w:sz w:val="24"/>
          <w:szCs w:val="24"/>
          <w:u w:val="single"/>
        </w:rPr>
        <w:t>RE</w:t>
      </w:r>
      <w:r w:rsidR="006C6587" w:rsidRPr="00F12B9B">
        <w:rPr>
          <w:rFonts w:ascii="Times New Roman" w:hAnsi="Times New Roman" w:cs="Times New Roman"/>
          <w:b/>
          <w:sz w:val="24"/>
          <w:szCs w:val="24"/>
          <w:u w:val="single"/>
        </w:rPr>
        <w:t xml:space="preserve">SPONDENT’S SUBMISSIONS </w:t>
      </w:r>
    </w:p>
    <w:p w14:paraId="23A03C09" w14:textId="1F40DA28" w:rsidR="006C6587" w:rsidRDefault="002B3861" w:rsidP="00CA5CEF">
      <w:pPr>
        <w:spacing w:after="173" w:line="480" w:lineRule="auto"/>
        <w:ind w:left="10" w:firstLine="1430"/>
        <w:jc w:val="both"/>
        <w:rPr>
          <w:rFonts w:ascii="Times New Roman" w:eastAsia="Calibri" w:hAnsi="Times New Roman" w:cs="Times New Roman"/>
          <w:sz w:val="24"/>
          <w:szCs w:val="24"/>
          <w:lang w:val="en-GB"/>
        </w:rPr>
      </w:pPr>
      <w:r w:rsidRPr="00775FEB">
        <w:rPr>
          <w:rFonts w:ascii="Times New Roman" w:eastAsia="Calibri" w:hAnsi="Times New Roman" w:cs="Times New Roman"/>
          <w:sz w:val="24"/>
          <w:szCs w:val="24"/>
          <w:lang w:val="en-ZW"/>
        </w:rPr>
        <w:t xml:space="preserve">Mr </w:t>
      </w:r>
      <w:r w:rsidRPr="00775FEB">
        <w:rPr>
          <w:rFonts w:ascii="Times New Roman" w:eastAsia="Calibri" w:hAnsi="Times New Roman" w:cs="Times New Roman"/>
          <w:i/>
          <w:iCs/>
          <w:sz w:val="24"/>
          <w:szCs w:val="24"/>
          <w:lang w:val="en-ZW"/>
        </w:rPr>
        <w:t>Tshuma</w:t>
      </w:r>
      <w:r w:rsidRPr="00775FEB">
        <w:rPr>
          <w:rFonts w:ascii="Times New Roman" w:eastAsia="Calibri" w:hAnsi="Times New Roman" w:cs="Times New Roman"/>
          <w:sz w:val="24"/>
          <w:szCs w:val="24"/>
          <w:lang w:val="en-ZW"/>
        </w:rPr>
        <w:t>,</w:t>
      </w:r>
      <w:r w:rsidR="00791EF3" w:rsidRPr="00775FEB">
        <w:rPr>
          <w:rFonts w:ascii="Times New Roman" w:eastAsia="Calibri" w:hAnsi="Times New Roman" w:cs="Times New Roman"/>
          <w:sz w:val="24"/>
          <w:szCs w:val="24"/>
          <w:lang w:val="en-ZW"/>
        </w:rPr>
        <w:t xml:space="preserve"> counsel for the respondent</w:t>
      </w:r>
      <w:r w:rsidR="00E03171">
        <w:rPr>
          <w:rFonts w:ascii="Times New Roman" w:eastAsia="Calibri" w:hAnsi="Times New Roman" w:cs="Times New Roman"/>
          <w:sz w:val="24"/>
          <w:szCs w:val="24"/>
          <w:lang w:val="en-ZW"/>
        </w:rPr>
        <w:t>,</w:t>
      </w:r>
      <w:r w:rsidR="00791EF3" w:rsidRPr="00775FEB">
        <w:rPr>
          <w:rFonts w:ascii="Times New Roman" w:eastAsia="Calibri" w:hAnsi="Times New Roman" w:cs="Times New Roman"/>
          <w:sz w:val="24"/>
          <w:szCs w:val="24"/>
          <w:lang w:val="en-ZW"/>
        </w:rPr>
        <w:t xml:space="preserve"> raised two points </w:t>
      </w:r>
      <w:r w:rsidR="00791EF3" w:rsidRPr="00775FEB">
        <w:rPr>
          <w:rFonts w:ascii="Times New Roman" w:eastAsia="Calibri" w:hAnsi="Times New Roman" w:cs="Times New Roman"/>
          <w:i/>
          <w:sz w:val="24"/>
          <w:szCs w:val="24"/>
          <w:lang w:val="en-ZW"/>
        </w:rPr>
        <w:t>in limine</w:t>
      </w:r>
      <w:r w:rsidR="00F12B9B">
        <w:rPr>
          <w:rFonts w:ascii="Times New Roman" w:eastAsia="Calibri" w:hAnsi="Times New Roman" w:cs="Times New Roman"/>
          <w:sz w:val="24"/>
          <w:szCs w:val="24"/>
          <w:lang w:val="en-ZW"/>
        </w:rPr>
        <w:t xml:space="preserve">.  </w:t>
      </w:r>
      <w:r w:rsidR="00791EF3" w:rsidRPr="00775FEB">
        <w:rPr>
          <w:rFonts w:ascii="Times New Roman" w:eastAsia="Calibri" w:hAnsi="Times New Roman" w:cs="Times New Roman"/>
          <w:sz w:val="24"/>
          <w:szCs w:val="24"/>
          <w:lang w:val="en-ZW"/>
        </w:rPr>
        <w:t xml:space="preserve">The first </w:t>
      </w:r>
      <w:r w:rsidR="00620942">
        <w:rPr>
          <w:rFonts w:ascii="Times New Roman" w:eastAsia="Calibri" w:hAnsi="Times New Roman" w:cs="Times New Roman"/>
          <w:sz w:val="24"/>
          <w:szCs w:val="24"/>
          <w:lang w:val="en-ZW"/>
        </w:rPr>
        <w:t>point</w:t>
      </w:r>
      <w:r w:rsidR="00791EF3" w:rsidRPr="00775FEB">
        <w:rPr>
          <w:rFonts w:ascii="Times New Roman" w:eastAsia="Calibri" w:hAnsi="Times New Roman" w:cs="Times New Roman"/>
          <w:sz w:val="24"/>
          <w:szCs w:val="24"/>
          <w:lang w:val="en-ZW"/>
        </w:rPr>
        <w:t xml:space="preserve"> was that the document purpo</w:t>
      </w:r>
      <w:r w:rsidR="00F26C9A" w:rsidRPr="00775FEB">
        <w:rPr>
          <w:rFonts w:ascii="Times New Roman" w:eastAsia="Calibri" w:hAnsi="Times New Roman" w:cs="Times New Roman"/>
          <w:sz w:val="24"/>
          <w:szCs w:val="24"/>
          <w:lang w:val="en-ZW"/>
        </w:rPr>
        <w:t>r</w:t>
      </w:r>
      <w:r w:rsidR="00791EF3" w:rsidRPr="00775FEB">
        <w:rPr>
          <w:rFonts w:ascii="Times New Roman" w:eastAsia="Calibri" w:hAnsi="Times New Roman" w:cs="Times New Roman"/>
          <w:sz w:val="24"/>
          <w:szCs w:val="24"/>
          <w:lang w:val="en-ZW"/>
        </w:rPr>
        <w:t>ting to be the notice of as</w:t>
      </w:r>
      <w:r w:rsidR="00CA5CEF">
        <w:rPr>
          <w:rFonts w:ascii="Times New Roman" w:eastAsia="Calibri" w:hAnsi="Times New Roman" w:cs="Times New Roman"/>
          <w:sz w:val="24"/>
          <w:szCs w:val="24"/>
          <w:lang w:val="en-ZW"/>
        </w:rPr>
        <w:t xml:space="preserve">sessment was fatally defective.  </w:t>
      </w:r>
      <w:r w:rsidR="00791EF3" w:rsidRPr="00775FEB">
        <w:rPr>
          <w:rFonts w:ascii="Times New Roman" w:eastAsia="Calibri" w:hAnsi="Times New Roman" w:cs="Times New Roman"/>
          <w:sz w:val="24"/>
          <w:szCs w:val="24"/>
          <w:lang w:val="en-ZW"/>
        </w:rPr>
        <w:t xml:space="preserve">Counsel submitted that there was an amount referred to as gross tax when there is no such </w:t>
      </w:r>
      <w:r w:rsidR="00D20183" w:rsidRPr="00775FEB">
        <w:rPr>
          <w:rFonts w:ascii="Times New Roman" w:eastAsia="Calibri" w:hAnsi="Times New Roman" w:cs="Times New Roman"/>
          <w:sz w:val="24"/>
          <w:szCs w:val="24"/>
          <w:lang w:val="en-ZW"/>
        </w:rPr>
        <w:t>term</w:t>
      </w:r>
      <w:r w:rsidR="00791EF3" w:rsidRPr="00775FEB">
        <w:rPr>
          <w:rFonts w:ascii="Times New Roman" w:eastAsia="Calibri" w:hAnsi="Times New Roman" w:cs="Times New Roman"/>
          <w:sz w:val="24"/>
          <w:szCs w:val="24"/>
          <w:lang w:val="en-ZW"/>
        </w:rPr>
        <w:t xml:space="preserve"> under </w:t>
      </w:r>
      <w:r w:rsidR="00D20183" w:rsidRPr="00775FEB">
        <w:rPr>
          <w:rFonts w:ascii="Times New Roman" w:eastAsia="Calibri" w:hAnsi="Times New Roman" w:cs="Times New Roman"/>
          <w:sz w:val="24"/>
          <w:szCs w:val="24"/>
          <w:lang w:val="en-ZW"/>
        </w:rPr>
        <w:t>the I</w:t>
      </w:r>
      <w:r w:rsidR="00791EF3" w:rsidRPr="00775FEB">
        <w:rPr>
          <w:rFonts w:ascii="Times New Roman" w:eastAsia="Calibri" w:hAnsi="Times New Roman" w:cs="Times New Roman"/>
          <w:sz w:val="24"/>
          <w:szCs w:val="24"/>
          <w:lang w:val="en-ZW"/>
        </w:rPr>
        <w:t xml:space="preserve">ncome </w:t>
      </w:r>
      <w:r w:rsidR="00D20183" w:rsidRPr="00775FEB">
        <w:rPr>
          <w:rFonts w:ascii="Times New Roman" w:eastAsia="Calibri" w:hAnsi="Times New Roman" w:cs="Times New Roman"/>
          <w:sz w:val="24"/>
          <w:szCs w:val="24"/>
          <w:lang w:val="en-ZW"/>
        </w:rPr>
        <w:t>T</w:t>
      </w:r>
      <w:r w:rsidR="00791EF3" w:rsidRPr="00775FEB">
        <w:rPr>
          <w:rFonts w:ascii="Times New Roman" w:eastAsia="Calibri" w:hAnsi="Times New Roman" w:cs="Times New Roman"/>
          <w:sz w:val="24"/>
          <w:szCs w:val="24"/>
          <w:lang w:val="en-ZW"/>
        </w:rPr>
        <w:t>ax</w:t>
      </w:r>
      <w:r w:rsidR="00D20183" w:rsidRPr="00775FEB">
        <w:rPr>
          <w:rFonts w:ascii="Times New Roman" w:eastAsia="Calibri" w:hAnsi="Times New Roman" w:cs="Times New Roman"/>
          <w:sz w:val="24"/>
          <w:szCs w:val="24"/>
          <w:lang w:val="en-ZW"/>
        </w:rPr>
        <w:t xml:space="preserve"> Act.</w:t>
      </w:r>
      <w:r w:rsidR="00CA5CEF">
        <w:rPr>
          <w:rFonts w:ascii="Times New Roman" w:eastAsia="Calibri" w:hAnsi="Times New Roman" w:cs="Times New Roman"/>
          <w:sz w:val="24"/>
          <w:szCs w:val="24"/>
          <w:lang w:val="en-ZW"/>
        </w:rPr>
        <w:t xml:space="preserve">  </w:t>
      </w:r>
      <w:r w:rsidR="00D20183" w:rsidRPr="00775FEB">
        <w:rPr>
          <w:rFonts w:ascii="Times New Roman" w:eastAsia="Calibri" w:hAnsi="Times New Roman" w:cs="Times New Roman"/>
          <w:sz w:val="24"/>
          <w:szCs w:val="24"/>
          <w:lang w:val="en-ZW"/>
        </w:rPr>
        <w:t xml:space="preserve">In addition, Mr </w:t>
      </w:r>
      <w:r w:rsidR="00D20183" w:rsidRPr="00F12B9B">
        <w:rPr>
          <w:rFonts w:ascii="Times New Roman" w:eastAsia="Calibri" w:hAnsi="Times New Roman" w:cs="Times New Roman"/>
          <w:i/>
          <w:sz w:val="24"/>
          <w:szCs w:val="24"/>
          <w:lang w:val="en-ZW"/>
        </w:rPr>
        <w:t>Tshuma</w:t>
      </w:r>
      <w:r w:rsidR="00F12B9B">
        <w:rPr>
          <w:rFonts w:ascii="Times New Roman" w:eastAsia="Calibri" w:hAnsi="Times New Roman" w:cs="Times New Roman"/>
          <w:sz w:val="24"/>
          <w:szCs w:val="24"/>
          <w:lang w:val="en-ZW"/>
        </w:rPr>
        <w:t xml:space="preserve"> submitted that s</w:t>
      </w:r>
      <w:r w:rsidR="00791EF3" w:rsidRPr="00775FEB">
        <w:rPr>
          <w:rFonts w:ascii="Times New Roman" w:eastAsia="Calibri" w:hAnsi="Times New Roman" w:cs="Times New Roman"/>
          <w:sz w:val="24"/>
          <w:szCs w:val="24"/>
          <w:lang w:val="en-ZW"/>
        </w:rPr>
        <w:t xml:space="preserve"> 8 of the</w:t>
      </w:r>
      <w:r w:rsidR="002418F4" w:rsidRPr="00775FEB">
        <w:rPr>
          <w:rFonts w:ascii="Times New Roman" w:eastAsia="Calibri" w:hAnsi="Times New Roman" w:cs="Times New Roman"/>
          <w:sz w:val="24"/>
          <w:szCs w:val="24"/>
          <w:lang w:val="en-ZW"/>
        </w:rPr>
        <w:t xml:space="preserve"> Income Tax</w:t>
      </w:r>
      <w:r w:rsidR="00791EF3" w:rsidRPr="00775FEB">
        <w:rPr>
          <w:rFonts w:ascii="Times New Roman" w:eastAsia="Calibri" w:hAnsi="Times New Roman" w:cs="Times New Roman"/>
          <w:sz w:val="24"/>
          <w:szCs w:val="24"/>
          <w:lang w:val="en-ZW"/>
        </w:rPr>
        <w:t xml:space="preserve"> Act only provides for </w:t>
      </w:r>
      <w:r w:rsidR="00F12B9B">
        <w:rPr>
          <w:rFonts w:ascii="Times New Roman" w:eastAsia="Calibri" w:hAnsi="Times New Roman" w:cs="Times New Roman"/>
          <w:sz w:val="24"/>
          <w:szCs w:val="24"/>
          <w:lang w:val="en-ZW"/>
        </w:rPr>
        <w:t>g</w:t>
      </w:r>
      <w:r w:rsidR="00CA5CEF">
        <w:rPr>
          <w:rFonts w:ascii="Times New Roman" w:eastAsia="Calibri" w:hAnsi="Times New Roman" w:cs="Times New Roman"/>
          <w:sz w:val="24"/>
          <w:szCs w:val="24"/>
          <w:lang w:val="en-ZW"/>
        </w:rPr>
        <w:t xml:space="preserve">ross income and not gross tax.  </w:t>
      </w:r>
      <w:r w:rsidR="00791EF3" w:rsidRPr="00775FEB">
        <w:rPr>
          <w:rFonts w:ascii="Times New Roman" w:eastAsia="Calibri" w:hAnsi="Times New Roman" w:cs="Times New Roman"/>
          <w:sz w:val="24"/>
          <w:szCs w:val="24"/>
          <w:lang w:val="en-ZW"/>
        </w:rPr>
        <w:t>As such</w:t>
      </w:r>
      <w:r w:rsidR="00FD2BA9" w:rsidRPr="00775FEB">
        <w:rPr>
          <w:rFonts w:ascii="Times New Roman" w:eastAsia="Calibri" w:hAnsi="Times New Roman" w:cs="Times New Roman"/>
          <w:sz w:val="24"/>
          <w:szCs w:val="24"/>
          <w:lang w:val="en-ZW"/>
        </w:rPr>
        <w:t>,</w:t>
      </w:r>
      <w:r w:rsidR="00791EF3" w:rsidRPr="00775FEB">
        <w:rPr>
          <w:rFonts w:ascii="Times New Roman" w:eastAsia="Calibri" w:hAnsi="Times New Roman" w:cs="Times New Roman"/>
          <w:sz w:val="24"/>
          <w:szCs w:val="24"/>
          <w:lang w:val="en-ZW"/>
        </w:rPr>
        <w:t xml:space="preserve"> the respondent did not know what it is the appellant was referring to as gross tax and</w:t>
      </w:r>
      <w:r w:rsidR="00C84DF5" w:rsidRPr="00775FEB">
        <w:rPr>
          <w:rFonts w:ascii="Times New Roman" w:eastAsia="Calibri" w:hAnsi="Times New Roman" w:cs="Times New Roman"/>
          <w:sz w:val="24"/>
          <w:szCs w:val="24"/>
          <w:lang w:val="en-ZW"/>
        </w:rPr>
        <w:t xml:space="preserve"> that</w:t>
      </w:r>
      <w:r w:rsidR="00791EF3" w:rsidRPr="00775FEB">
        <w:rPr>
          <w:rFonts w:ascii="Times New Roman" w:eastAsia="Calibri" w:hAnsi="Times New Roman" w:cs="Times New Roman"/>
          <w:sz w:val="24"/>
          <w:szCs w:val="24"/>
          <w:lang w:val="en-ZW"/>
        </w:rPr>
        <w:t xml:space="preserve"> the taxpayer cannot object to tax which cannot be ascertained. Mr </w:t>
      </w:r>
      <w:r w:rsidR="00791EF3" w:rsidRPr="00F12B9B">
        <w:rPr>
          <w:rFonts w:ascii="Times New Roman" w:eastAsia="Calibri" w:hAnsi="Times New Roman" w:cs="Times New Roman"/>
          <w:i/>
          <w:sz w:val="24"/>
          <w:szCs w:val="24"/>
          <w:lang w:val="en-ZW"/>
        </w:rPr>
        <w:t>Tshuma</w:t>
      </w:r>
      <w:r w:rsidR="00791EF3" w:rsidRPr="00775FEB">
        <w:rPr>
          <w:rFonts w:ascii="Times New Roman" w:eastAsia="Calibri" w:hAnsi="Times New Roman" w:cs="Times New Roman"/>
          <w:sz w:val="24"/>
          <w:szCs w:val="24"/>
          <w:lang w:val="en-ZW"/>
        </w:rPr>
        <w:t xml:space="preserve"> also submitted that the appellant cannot act outside the four corners of the enabling Act.</w:t>
      </w:r>
      <w:r w:rsidR="00B43ACF" w:rsidRPr="00B43ACF">
        <w:rPr>
          <w:rFonts w:ascii="Times New Roman" w:eastAsia="Calibri" w:hAnsi="Times New Roman" w:cs="Times New Roman"/>
          <w:sz w:val="24"/>
          <w:szCs w:val="24"/>
          <w:lang w:val="en-GB"/>
        </w:rPr>
        <w:t xml:space="preserve"> </w:t>
      </w:r>
      <w:r w:rsidR="00B43ACF" w:rsidRPr="00775FEB">
        <w:rPr>
          <w:rFonts w:ascii="Times New Roman" w:eastAsia="Calibri" w:hAnsi="Times New Roman" w:cs="Times New Roman"/>
          <w:sz w:val="24"/>
          <w:szCs w:val="24"/>
          <w:lang w:val="en-GB"/>
        </w:rPr>
        <w:t xml:space="preserve">He also submitted that every term in </w:t>
      </w:r>
      <w:r w:rsidR="00C33FAB">
        <w:rPr>
          <w:rFonts w:ascii="Times New Roman" w:eastAsia="Calibri" w:hAnsi="Times New Roman" w:cs="Times New Roman"/>
          <w:sz w:val="24"/>
          <w:szCs w:val="24"/>
          <w:lang w:val="en-GB"/>
        </w:rPr>
        <w:t>relation</w:t>
      </w:r>
      <w:r w:rsidR="00B43ACF" w:rsidRPr="00775FEB">
        <w:rPr>
          <w:rFonts w:ascii="Times New Roman" w:eastAsia="Calibri" w:hAnsi="Times New Roman" w:cs="Times New Roman"/>
          <w:sz w:val="24"/>
          <w:szCs w:val="24"/>
          <w:lang w:val="en-GB"/>
        </w:rPr>
        <w:t xml:space="preserve"> to income tax is defined either in terms of the </w:t>
      </w:r>
      <w:r w:rsidR="00B43ACF">
        <w:rPr>
          <w:rFonts w:ascii="Times New Roman" w:eastAsia="Calibri" w:hAnsi="Times New Roman" w:cs="Times New Roman"/>
          <w:sz w:val="24"/>
          <w:szCs w:val="24"/>
          <w:lang w:val="en-GB"/>
        </w:rPr>
        <w:t xml:space="preserve">Income Tax </w:t>
      </w:r>
      <w:r w:rsidR="00B43ACF" w:rsidRPr="00775FEB">
        <w:rPr>
          <w:rFonts w:ascii="Times New Roman" w:eastAsia="Calibri" w:hAnsi="Times New Roman" w:cs="Times New Roman"/>
          <w:sz w:val="24"/>
          <w:szCs w:val="24"/>
          <w:lang w:val="en-GB"/>
        </w:rPr>
        <w:t xml:space="preserve">Act or </w:t>
      </w:r>
      <w:r w:rsidR="00B43ACF">
        <w:rPr>
          <w:rFonts w:ascii="Times New Roman" w:eastAsia="Calibri" w:hAnsi="Times New Roman" w:cs="Times New Roman"/>
          <w:sz w:val="24"/>
          <w:szCs w:val="24"/>
          <w:lang w:val="en-GB"/>
        </w:rPr>
        <w:t xml:space="preserve">the </w:t>
      </w:r>
      <w:r w:rsidR="00B43ACF" w:rsidRPr="00775FEB">
        <w:rPr>
          <w:rFonts w:ascii="Times New Roman" w:eastAsia="Calibri" w:hAnsi="Times New Roman" w:cs="Times New Roman"/>
          <w:sz w:val="24"/>
          <w:szCs w:val="24"/>
          <w:lang w:val="en-GB"/>
        </w:rPr>
        <w:t>Finance Act</w:t>
      </w:r>
      <w:r w:rsidR="00B43ACF">
        <w:rPr>
          <w:rFonts w:ascii="Times New Roman" w:eastAsia="Calibri" w:hAnsi="Times New Roman" w:cs="Times New Roman"/>
          <w:sz w:val="24"/>
          <w:szCs w:val="24"/>
          <w:lang w:val="en-GB"/>
        </w:rPr>
        <w:t xml:space="preserve"> [</w:t>
      </w:r>
      <w:r w:rsidR="00B43ACF" w:rsidRPr="000E076C">
        <w:rPr>
          <w:rFonts w:ascii="Times New Roman" w:eastAsia="Calibri" w:hAnsi="Times New Roman" w:cs="Times New Roman"/>
          <w:i/>
          <w:iCs/>
          <w:sz w:val="24"/>
          <w:szCs w:val="24"/>
          <w:lang w:val="en-GB"/>
        </w:rPr>
        <w:t>Chapter 23:04</w:t>
      </w:r>
      <w:r w:rsidR="00B43ACF">
        <w:rPr>
          <w:rFonts w:ascii="Times New Roman" w:eastAsia="Calibri" w:hAnsi="Times New Roman" w:cs="Times New Roman"/>
          <w:sz w:val="24"/>
          <w:szCs w:val="24"/>
          <w:lang w:val="en-GB"/>
        </w:rPr>
        <w:t>]</w:t>
      </w:r>
      <w:r w:rsidR="00B43ACF" w:rsidRPr="00775FEB">
        <w:rPr>
          <w:rFonts w:ascii="Times New Roman" w:eastAsia="Calibri" w:hAnsi="Times New Roman" w:cs="Times New Roman"/>
          <w:sz w:val="24"/>
          <w:szCs w:val="24"/>
          <w:lang w:val="en-GB"/>
        </w:rPr>
        <w:t xml:space="preserve"> and</w:t>
      </w:r>
      <w:r w:rsidR="00B43ACF">
        <w:rPr>
          <w:rFonts w:ascii="Times New Roman" w:eastAsia="Calibri" w:hAnsi="Times New Roman" w:cs="Times New Roman"/>
          <w:sz w:val="24"/>
          <w:szCs w:val="24"/>
          <w:lang w:val="en-GB"/>
        </w:rPr>
        <w:t xml:space="preserve"> that</w:t>
      </w:r>
      <w:r w:rsidR="00B43ACF" w:rsidRPr="00775FEB">
        <w:rPr>
          <w:rFonts w:ascii="Times New Roman" w:eastAsia="Calibri" w:hAnsi="Times New Roman" w:cs="Times New Roman"/>
          <w:sz w:val="24"/>
          <w:szCs w:val="24"/>
          <w:lang w:val="en-GB"/>
        </w:rPr>
        <w:t xml:space="preserve"> as such</w:t>
      </w:r>
      <w:r w:rsidR="00B43ACF">
        <w:rPr>
          <w:rFonts w:ascii="Times New Roman" w:eastAsia="Calibri" w:hAnsi="Times New Roman" w:cs="Times New Roman"/>
          <w:sz w:val="24"/>
          <w:szCs w:val="24"/>
          <w:lang w:val="en-GB"/>
        </w:rPr>
        <w:t>,</w:t>
      </w:r>
      <w:r w:rsidR="00B43ACF" w:rsidRPr="00775FEB">
        <w:rPr>
          <w:rFonts w:ascii="Times New Roman" w:eastAsia="Calibri" w:hAnsi="Times New Roman" w:cs="Times New Roman"/>
          <w:sz w:val="24"/>
          <w:szCs w:val="24"/>
          <w:lang w:val="en-GB"/>
        </w:rPr>
        <w:t xml:space="preserve"> gross tax was not defined in any of them.</w:t>
      </w:r>
      <w:r w:rsidR="00C33FAB" w:rsidRPr="00C33FAB">
        <w:rPr>
          <w:rFonts w:ascii="Times New Roman" w:eastAsia="Calibri" w:hAnsi="Times New Roman" w:cs="Times New Roman"/>
          <w:sz w:val="24"/>
          <w:szCs w:val="24"/>
          <w:lang w:val="en-GB"/>
        </w:rPr>
        <w:t xml:space="preserve"> </w:t>
      </w:r>
      <w:r w:rsidR="00C33FAB">
        <w:rPr>
          <w:rFonts w:ascii="Times New Roman" w:eastAsia="Calibri" w:hAnsi="Times New Roman" w:cs="Times New Roman"/>
          <w:sz w:val="24"/>
          <w:szCs w:val="24"/>
          <w:lang w:val="en-GB"/>
        </w:rPr>
        <w:t>C</w:t>
      </w:r>
      <w:r w:rsidR="00C33FAB" w:rsidRPr="00775FEB">
        <w:rPr>
          <w:rFonts w:ascii="Times New Roman" w:eastAsia="Calibri" w:hAnsi="Times New Roman" w:cs="Times New Roman"/>
          <w:sz w:val="24"/>
          <w:szCs w:val="24"/>
          <w:lang w:val="en-GB"/>
        </w:rPr>
        <w:t xml:space="preserve">ounsel submitted that the previous assessments were invalidated on the basis that they did not meet </w:t>
      </w:r>
      <w:r w:rsidR="00C33FAB">
        <w:rPr>
          <w:rFonts w:ascii="Times New Roman" w:eastAsia="Calibri" w:hAnsi="Times New Roman" w:cs="Times New Roman"/>
          <w:sz w:val="24"/>
          <w:szCs w:val="24"/>
          <w:lang w:val="en-GB"/>
        </w:rPr>
        <w:t>the requirements of s 2 of the Income Tax Act</w:t>
      </w:r>
      <w:r w:rsidR="00C33FAB" w:rsidRPr="00775FEB">
        <w:rPr>
          <w:rFonts w:ascii="Times New Roman" w:eastAsia="Calibri" w:hAnsi="Times New Roman" w:cs="Times New Roman"/>
          <w:sz w:val="24"/>
          <w:szCs w:val="24"/>
          <w:lang w:val="en-GB"/>
        </w:rPr>
        <w:t xml:space="preserve">. </w:t>
      </w:r>
      <w:r w:rsidR="00C33FAB">
        <w:rPr>
          <w:rFonts w:ascii="Times New Roman" w:eastAsia="Calibri" w:hAnsi="Times New Roman" w:cs="Times New Roman"/>
          <w:sz w:val="24"/>
          <w:szCs w:val="24"/>
          <w:lang w:val="en-GB"/>
        </w:rPr>
        <w:t xml:space="preserve"> </w:t>
      </w:r>
      <w:r w:rsidR="00C33FAB" w:rsidRPr="00775FEB">
        <w:rPr>
          <w:rFonts w:ascii="Times New Roman" w:eastAsia="Calibri" w:hAnsi="Times New Roman" w:cs="Times New Roman"/>
          <w:sz w:val="24"/>
          <w:szCs w:val="24"/>
          <w:lang w:val="en-GB"/>
        </w:rPr>
        <w:t xml:space="preserve">Reference was then made to the </w:t>
      </w:r>
      <w:r w:rsidR="00982059">
        <w:rPr>
          <w:rFonts w:ascii="Times New Roman" w:eastAsia="Calibri" w:hAnsi="Times New Roman" w:cs="Times New Roman"/>
          <w:sz w:val="24"/>
          <w:szCs w:val="24"/>
          <w:lang w:val="en-GB"/>
        </w:rPr>
        <w:t>judgment in SC 148/21</w:t>
      </w:r>
      <w:r w:rsidR="00C33FAB" w:rsidRPr="00775FEB">
        <w:rPr>
          <w:rFonts w:ascii="Times New Roman" w:eastAsia="Calibri" w:hAnsi="Times New Roman" w:cs="Times New Roman"/>
          <w:sz w:val="24"/>
          <w:szCs w:val="24"/>
          <w:lang w:val="en-GB"/>
        </w:rPr>
        <w:t xml:space="preserve"> wherein the appellant conceded t</w:t>
      </w:r>
      <w:r w:rsidR="00C33FAB">
        <w:rPr>
          <w:rFonts w:ascii="Times New Roman" w:eastAsia="Calibri" w:hAnsi="Times New Roman" w:cs="Times New Roman"/>
          <w:sz w:val="24"/>
          <w:szCs w:val="24"/>
          <w:lang w:val="en-GB"/>
        </w:rPr>
        <w:t xml:space="preserve">he notices of assessment did not conform with s 2.  </w:t>
      </w:r>
    </w:p>
    <w:p w14:paraId="4E86582F" w14:textId="77777777" w:rsidR="00CC5472" w:rsidRDefault="00CC5472" w:rsidP="00CC5472">
      <w:pPr>
        <w:spacing w:after="0" w:line="240" w:lineRule="auto"/>
        <w:ind w:left="10" w:firstLine="1430"/>
        <w:jc w:val="both"/>
        <w:rPr>
          <w:rFonts w:ascii="Times New Roman" w:eastAsia="Calibri" w:hAnsi="Times New Roman" w:cs="Times New Roman"/>
          <w:sz w:val="24"/>
          <w:szCs w:val="24"/>
          <w:lang w:val="en-ZW"/>
        </w:rPr>
      </w:pPr>
    </w:p>
    <w:p w14:paraId="552BD8BF" w14:textId="0DF95271" w:rsidR="00791EF3" w:rsidRPr="00775FEB" w:rsidRDefault="00FD2BA9" w:rsidP="00CA5CEF">
      <w:pPr>
        <w:spacing w:after="173" w:line="480" w:lineRule="auto"/>
        <w:ind w:left="-5" w:firstLine="725"/>
        <w:jc w:val="both"/>
        <w:rPr>
          <w:rFonts w:ascii="Times New Roman" w:eastAsia="Calibri" w:hAnsi="Times New Roman" w:cs="Times New Roman"/>
          <w:sz w:val="24"/>
          <w:szCs w:val="24"/>
          <w:lang w:val="en-ZW"/>
        </w:rPr>
      </w:pPr>
      <w:r w:rsidRPr="00775FEB">
        <w:rPr>
          <w:rFonts w:ascii="Times New Roman" w:eastAsia="Calibri" w:hAnsi="Times New Roman" w:cs="Times New Roman"/>
          <w:sz w:val="24"/>
          <w:szCs w:val="24"/>
          <w:lang w:val="en-ZW"/>
        </w:rPr>
        <w:t xml:space="preserve">       </w:t>
      </w:r>
      <w:r w:rsidR="00CA5CEF">
        <w:rPr>
          <w:rFonts w:ascii="Times New Roman" w:eastAsia="Calibri" w:hAnsi="Times New Roman" w:cs="Times New Roman"/>
          <w:sz w:val="24"/>
          <w:szCs w:val="24"/>
          <w:lang w:val="en-ZW"/>
        </w:rPr>
        <w:tab/>
      </w:r>
      <w:r w:rsidR="00791EF3" w:rsidRPr="00775FEB">
        <w:rPr>
          <w:rFonts w:ascii="Times New Roman" w:eastAsia="Calibri" w:hAnsi="Times New Roman" w:cs="Times New Roman"/>
          <w:sz w:val="24"/>
          <w:szCs w:val="24"/>
          <w:lang w:val="en-ZW"/>
        </w:rPr>
        <w:t xml:space="preserve">The second point </w:t>
      </w:r>
      <w:r w:rsidR="00791EF3" w:rsidRPr="00775FEB">
        <w:rPr>
          <w:rFonts w:ascii="Times New Roman" w:eastAsia="Calibri" w:hAnsi="Times New Roman" w:cs="Times New Roman"/>
          <w:i/>
          <w:sz w:val="24"/>
          <w:szCs w:val="24"/>
          <w:lang w:val="en-ZW"/>
        </w:rPr>
        <w:t>in limine</w:t>
      </w:r>
      <w:r w:rsidR="00FA16A1">
        <w:rPr>
          <w:rFonts w:ascii="Times New Roman" w:eastAsia="Calibri" w:hAnsi="Times New Roman" w:cs="Times New Roman"/>
          <w:sz w:val="24"/>
          <w:szCs w:val="24"/>
          <w:lang w:val="en-ZW"/>
        </w:rPr>
        <w:t xml:space="preserve"> raised was on issue estoppel.  </w:t>
      </w:r>
      <w:r w:rsidR="00791EF3" w:rsidRPr="00775FEB">
        <w:rPr>
          <w:rFonts w:ascii="Times New Roman" w:eastAsia="Calibri" w:hAnsi="Times New Roman" w:cs="Times New Roman"/>
          <w:sz w:val="24"/>
          <w:szCs w:val="24"/>
          <w:lang w:val="en-ZW"/>
        </w:rPr>
        <w:t xml:space="preserve">Mr </w:t>
      </w:r>
      <w:r w:rsidR="00791EF3" w:rsidRPr="00F12B9B">
        <w:rPr>
          <w:rFonts w:ascii="Times New Roman" w:eastAsia="Calibri" w:hAnsi="Times New Roman" w:cs="Times New Roman"/>
          <w:i/>
          <w:sz w:val="24"/>
          <w:szCs w:val="24"/>
          <w:lang w:val="en-ZW"/>
        </w:rPr>
        <w:t>Tshuma</w:t>
      </w:r>
      <w:r w:rsidR="00791EF3" w:rsidRPr="00775FEB">
        <w:rPr>
          <w:rFonts w:ascii="Times New Roman" w:eastAsia="Calibri" w:hAnsi="Times New Roman" w:cs="Times New Roman"/>
          <w:sz w:val="24"/>
          <w:szCs w:val="24"/>
          <w:lang w:val="en-ZW"/>
        </w:rPr>
        <w:t xml:space="preserve"> submitted that in</w:t>
      </w:r>
      <w:r w:rsidR="00BB441D">
        <w:rPr>
          <w:rFonts w:ascii="Times New Roman" w:eastAsia="Calibri" w:hAnsi="Times New Roman" w:cs="Times New Roman"/>
          <w:sz w:val="24"/>
          <w:szCs w:val="24"/>
          <w:lang w:val="en-ZW"/>
        </w:rPr>
        <w:t xml:space="preserve"> SC </w:t>
      </w:r>
      <w:r w:rsidR="00791EF3" w:rsidRPr="00775FEB">
        <w:rPr>
          <w:rFonts w:ascii="Times New Roman" w:eastAsia="Calibri" w:hAnsi="Times New Roman" w:cs="Times New Roman"/>
          <w:sz w:val="24"/>
          <w:szCs w:val="24"/>
          <w:lang w:val="en-ZW"/>
        </w:rPr>
        <w:t xml:space="preserve">148/21, a concession was made by the appellant that the documents did not meet the </w:t>
      </w:r>
      <w:r w:rsidR="00791EF3" w:rsidRPr="00775FEB">
        <w:rPr>
          <w:rFonts w:ascii="Times New Roman" w:eastAsia="Calibri" w:hAnsi="Times New Roman" w:cs="Times New Roman"/>
          <w:sz w:val="24"/>
          <w:szCs w:val="24"/>
          <w:lang w:val="en-ZW"/>
        </w:rPr>
        <w:lastRenderedPageBreak/>
        <w:t>definitio</w:t>
      </w:r>
      <w:r w:rsidR="00F12B9B">
        <w:rPr>
          <w:rFonts w:ascii="Times New Roman" w:eastAsia="Calibri" w:hAnsi="Times New Roman" w:cs="Times New Roman"/>
          <w:sz w:val="24"/>
          <w:szCs w:val="24"/>
          <w:lang w:val="en-ZW"/>
        </w:rPr>
        <w:t xml:space="preserve">n of income tax as per s </w:t>
      </w:r>
      <w:r w:rsidR="00791EF3" w:rsidRPr="00775FEB">
        <w:rPr>
          <w:rFonts w:ascii="Times New Roman" w:eastAsia="Calibri" w:hAnsi="Times New Roman" w:cs="Times New Roman"/>
          <w:sz w:val="24"/>
          <w:szCs w:val="24"/>
          <w:lang w:val="en-ZW"/>
        </w:rPr>
        <w:t xml:space="preserve">2 of the Act. </w:t>
      </w:r>
      <w:r w:rsidR="00CA5CEF">
        <w:rPr>
          <w:rFonts w:ascii="Times New Roman" w:eastAsia="Calibri" w:hAnsi="Times New Roman" w:cs="Times New Roman"/>
          <w:sz w:val="24"/>
          <w:szCs w:val="24"/>
          <w:lang w:val="en-ZW"/>
        </w:rPr>
        <w:t xml:space="preserve"> </w:t>
      </w:r>
      <w:r w:rsidR="00F12B9B">
        <w:rPr>
          <w:rFonts w:ascii="Times New Roman" w:eastAsia="Calibri" w:hAnsi="Times New Roman" w:cs="Times New Roman"/>
          <w:sz w:val="24"/>
          <w:szCs w:val="24"/>
          <w:lang w:val="en-ZW"/>
        </w:rPr>
        <w:t>He submitted that the c</w:t>
      </w:r>
      <w:r w:rsidR="00791EF3" w:rsidRPr="00775FEB">
        <w:rPr>
          <w:rFonts w:ascii="Times New Roman" w:eastAsia="Calibri" w:hAnsi="Times New Roman" w:cs="Times New Roman"/>
          <w:sz w:val="24"/>
          <w:szCs w:val="24"/>
          <w:lang w:val="en-ZW"/>
        </w:rPr>
        <w:t>ourt in that matter found that the assessments were null and void and it inva</w:t>
      </w:r>
      <w:r w:rsidR="00F12B9B">
        <w:rPr>
          <w:rFonts w:ascii="Times New Roman" w:eastAsia="Calibri" w:hAnsi="Times New Roman" w:cs="Times New Roman"/>
          <w:sz w:val="24"/>
          <w:szCs w:val="24"/>
          <w:lang w:val="en-ZW"/>
        </w:rPr>
        <w:t xml:space="preserve">lidated them.  </w:t>
      </w:r>
      <w:r w:rsidR="00791EF3" w:rsidRPr="00775FEB">
        <w:rPr>
          <w:rFonts w:ascii="Times New Roman" w:eastAsia="Calibri" w:hAnsi="Times New Roman" w:cs="Times New Roman"/>
          <w:sz w:val="24"/>
          <w:szCs w:val="24"/>
          <w:lang w:val="en-ZW"/>
        </w:rPr>
        <w:t>It was the respondent’s submission that the appellant in the present m</w:t>
      </w:r>
      <w:r w:rsidR="00F12B9B">
        <w:rPr>
          <w:rFonts w:ascii="Times New Roman" w:eastAsia="Calibri" w:hAnsi="Times New Roman" w:cs="Times New Roman"/>
          <w:sz w:val="24"/>
          <w:szCs w:val="24"/>
          <w:lang w:val="en-ZW"/>
        </w:rPr>
        <w:t>atter was now calling upon the c</w:t>
      </w:r>
      <w:r w:rsidR="00791EF3" w:rsidRPr="00775FEB">
        <w:rPr>
          <w:rFonts w:ascii="Times New Roman" w:eastAsia="Calibri" w:hAnsi="Times New Roman" w:cs="Times New Roman"/>
          <w:sz w:val="24"/>
          <w:szCs w:val="24"/>
          <w:lang w:val="en-ZW"/>
        </w:rPr>
        <w:t>ourt to validate that which had already</w:t>
      </w:r>
      <w:r w:rsidR="004548A2" w:rsidRPr="00775FEB">
        <w:rPr>
          <w:rFonts w:ascii="Times New Roman" w:eastAsia="Calibri" w:hAnsi="Times New Roman" w:cs="Times New Roman"/>
          <w:sz w:val="24"/>
          <w:szCs w:val="24"/>
          <w:lang w:val="en-ZW"/>
        </w:rPr>
        <w:t xml:space="preserve"> been</w:t>
      </w:r>
      <w:r w:rsidR="00CA5CEF">
        <w:rPr>
          <w:rFonts w:ascii="Times New Roman" w:eastAsia="Calibri" w:hAnsi="Times New Roman" w:cs="Times New Roman"/>
          <w:sz w:val="24"/>
          <w:szCs w:val="24"/>
          <w:lang w:val="en-ZW"/>
        </w:rPr>
        <w:t xml:space="preserve"> invalidated.  </w:t>
      </w:r>
      <w:r w:rsidR="00791EF3" w:rsidRPr="00775FEB">
        <w:rPr>
          <w:rFonts w:ascii="Times New Roman" w:eastAsia="Calibri" w:hAnsi="Times New Roman" w:cs="Times New Roman"/>
          <w:sz w:val="24"/>
          <w:szCs w:val="24"/>
          <w:lang w:val="en-ZW"/>
        </w:rPr>
        <w:t xml:space="preserve">Counsel thus </w:t>
      </w:r>
      <w:r w:rsidRPr="00775FEB">
        <w:rPr>
          <w:rFonts w:ascii="Times New Roman" w:eastAsia="Calibri" w:hAnsi="Times New Roman" w:cs="Times New Roman"/>
          <w:sz w:val="24"/>
          <w:szCs w:val="24"/>
          <w:lang w:val="en-ZW"/>
        </w:rPr>
        <w:t>submitt</w:t>
      </w:r>
      <w:r w:rsidR="00791EF3" w:rsidRPr="00775FEB">
        <w:rPr>
          <w:rFonts w:ascii="Times New Roman" w:eastAsia="Calibri" w:hAnsi="Times New Roman" w:cs="Times New Roman"/>
          <w:sz w:val="24"/>
          <w:szCs w:val="24"/>
          <w:lang w:val="en-ZW"/>
        </w:rPr>
        <w:t>ed that the appellant was trying to bring back an issue that had already been determined by th</w:t>
      </w:r>
      <w:r w:rsidR="008B2FEA">
        <w:rPr>
          <w:rFonts w:ascii="Times New Roman" w:eastAsia="Calibri" w:hAnsi="Times New Roman" w:cs="Times New Roman"/>
          <w:sz w:val="24"/>
          <w:szCs w:val="24"/>
          <w:lang w:val="en-ZW"/>
        </w:rPr>
        <w:t>is</w:t>
      </w:r>
      <w:r w:rsidR="00791EF3" w:rsidRPr="00775FEB">
        <w:rPr>
          <w:rFonts w:ascii="Times New Roman" w:eastAsia="Calibri" w:hAnsi="Times New Roman" w:cs="Times New Roman"/>
          <w:sz w:val="24"/>
          <w:szCs w:val="24"/>
          <w:lang w:val="en-ZW"/>
        </w:rPr>
        <w:t xml:space="preserve"> Court.</w:t>
      </w:r>
    </w:p>
    <w:p w14:paraId="363455A4" w14:textId="77777777" w:rsidR="00F12B9B" w:rsidRDefault="00F12B9B" w:rsidP="00CA5CEF">
      <w:pPr>
        <w:spacing w:after="0" w:line="240" w:lineRule="auto"/>
        <w:ind w:left="-5" w:hanging="10"/>
        <w:jc w:val="both"/>
        <w:rPr>
          <w:rFonts w:ascii="Times New Roman" w:eastAsia="Calibri" w:hAnsi="Times New Roman" w:cs="Times New Roman"/>
          <w:b/>
          <w:sz w:val="24"/>
          <w:szCs w:val="24"/>
          <w:lang w:val="en-GB"/>
        </w:rPr>
      </w:pPr>
    </w:p>
    <w:p w14:paraId="0E26E910" w14:textId="77777777" w:rsidR="00C74205" w:rsidRPr="00F12B9B" w:rsidRDefault="00C74205" w:rsidP="00F12B9B">
      <w:pPr>
        <w:spacing w:after="0" w:line="480" w:lineRule="auto"/>
        <w:ind w:left="-5" w:hanging="10"/>
        <w:jc w:val="both"/>
        <w:rPr>
          <w:rFonts w:ascii="Times New Roman" w:eastAsia="Calibri" w:hAnsi="Times New Roman" w:cs="Times New Roman"/>
          <w:b/>
          <w:sz w:val="24"/>
          <w:szCs w:val="24"/>
          <w:u w:val="single"/>
          <w:lang w:val="en-GB"/>
        </w:rPr>
      </w:pPr>
      <w:r w:rsidRPr="00F12B9B">
        <w:rPr>
          <w:rFonts w:ascii="Times New Roman" w:eastAsia="Calibri" w:hAnsi="Times New Roman" w:cs="Times New Roman"/>
          <w:b/>
          <w:sz w:val="24"/>
          <w:szCs w:val="24"/>
          <w:u w:val="single"/>
          <w:lang w:val="en-GB"/>
        </w:rPr>
        <w:t>APPELLANT’S SUBMISSIONS</w:t>
      </w:r>
    </w:p>
    <w:p w14:paraId="05C7BDD8" w14:textId="0771AF5E" w:rsidR="00C74205" w:rsidRPr="00775FEB" w:rsidRDefault="00F12B9B" w:rsidP="00CA5CEF">
      <w:pPr>
        <w:spacing w:after="173" w:line="480" w:lineRule="auto"/>
        <w:ind w:left="-5" w:firstLine="856"/>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CA5CEF">
        <w:rPr>
          <w:rFonts w:ascii="Times New Roman" w:eastAsia="Calibri" w:hAnsi="Times New Roman" w:cs="Times New Roman"/>
          <w:sz w:val="24"/>
          <w:szCs w:val="24"/>
          <w:lang w:val="en-GB"/>
        </w:rPr>
        <w:tab/>
      </w:r>
      <w:r w:rsidR="009853DC">
        <w:rPr>
          <w:rFonts w:ascii="Times New Roman" w:eastAsia="Calibri" w:hAnsi="Times New Roman" w:cs="Times New Roman"/>
          <w:sz w:val="24"/>
          <w:szCs w:val="24"/>
          <w:lang w:val="en-GB"/>
        </w:rPr>
        <w:t xml:space="preserve">Mr </w:t>
      </w:r>
      <w:r w:rsidR="009853DC" w:rsidRPr="009853DC">
        <w:rPr>
          <w:rFonts w:ascii="Times New Roman" w:eastAsia="Calibri" w:hAnsi="Times New Roman" w:cs="Times New Roman"/>
          <w:i/>
          <w:iCs/>
          <w:sz w:val="24"/>
          <w:szCs w:val="24"/>
          <w:lang w:val="en-GB"/>
        </w:rPr>
        <w:t>Bhebhe</w:t>
      </w:r>
      <w:r w:rsidR="009853DC">
        <w:rPr>
          <w:rFonts w:ascii="Times New Roman" w:eastAsia="Calibri" w:hAnsi="Times New Roman" w:cs="Times New Roman"/>
          <w:sz w:val="24"/>
          <w:szCs w:val="24"/>
          <w:lang w:val="en-GB"/>
        </w:rPr>
        <w:t>, counsel for t</w:t>
      </w:r>
      <w:r w:rsidR="00C74205" w:rsidRPr="00775FEB">
        <w:rPr>
          <w:rFonts w:ascii="Times New Roman" w:eastAsia="Calibri" w:hAnsi="Times New Roman" w:cs="Times New Roman"/>
          <w:sz w:val="24"/>
          <w:szCs w:val="24"/>
          <w:lang w:val="en-GB"/>
        </w:rPr>
        <w:t>he appellant submitted that</w:t>
      </w:r>
      <w:r w:rsidR="009853DC">
        <w:rPr>
          <w:rFonts w:ascii="Times New Roman" w:eastAsia="Calibri" w:hAnsi="Times New Roman" w:cs="Times New Roman"/>
          <w:sz w:val="24"/>
          <w:szCs w:val="24"/>
          <w:lang w:val="en-GB"/>
        </w:rPr>
        <w:t xml:space="preserve"> the objection was invalid as it </w:t>
      </w:r>
      <w:r w:rsidR="00C74205" w:rsidRPr="00775FEB">
        <w:rPr>
          <w:rFonts w:ascii="Times New Roman" w:eastAsia="Calibri" w:hAnsi="Times New Roman" w:cs="Times New Roman"/>
          <w:sz w:val="24"/>
          <w:szCs w:val="24"/>
          <w:lang w:val="en-GB"/>
        </w:rPr>
        <w:t>was</w:t>
      </w:r>
      <w:r w:rsidR="009853DC">
        <w:rPr>
          <w:rFonts w:ascii="Times New Roman" w:eastAsia="Calibri" w:hAnsi="Times New Roman" w:cs="Times New Roman"/>
          <w:sz w:val="24"/>
          <w:szCs w:val="24"/>
          <w:lang w:val="en-GB"/>
        </w:rPr>
        <w:t xml:space="preserve"> not</w:t>
      </w:r>
      <w:r w:rsidR="00C74205" w:rsidRPr="00775FEB">
        <w:rPr>
          <w:rFonts w:ascii="Times New Roman" w:eastAsia="Calibri" w:hAnsi="Times New Roman" w:cs="Times New Roman"/>
          <w:sz w:val="24"/>
          <w:szCs w:val="24"/>
          <w:lang w:val="en-GB"/>
        </w:rPr>
        <w:t xml:space="preserve"> m</w:t>
      </w:r>
      <w:r>
        <w:rPr>
          <w:rFonts w:ascii="Times New Roman" w:eastAsia="Calibri" w:hAnsi="Times New Roman" w:cs="Times New Roman"/>
          <w:sz w:val="24"/>
          <w:szCs w:val="24"/>
          <w:lang w:val="en-GB"/>
        </w:rPr>
        <w:t xml:space="preserve">ade in terms of r </w:t>
      </w:r>
      <w:r w:rsidR="00F26C9A" w:rsidRPr="00775FEB">
        <w:rPr>
          <w:rFonts w:ascii="Times New Roman" w:eastAsia="Calibri" w:hAnsi="Times New Roman" w:cs="Times New Roman"/>
          <w:sz w:val="24"/>
          <w:szCs w:val="24"/>
          <w:lang w:val="en-GB"/>
        </w:rPr>
        <w:t>51 of the Supreme C</w:t>
      </w:r>
      <w:r w:rsidR="00C74205" w:rsidRPr="00775FEB">
        <w:rPr>
          <w:rFonts w:ascii="Times New Roman" w:eastAsia="Calibri" w:hAnsi="Times New Roman" w:cs="Times New Roman"/>
          <w:sz w:val="24"/>
          <w:szCs w:val="24"/>
          <w:lang w:val="en-GB"/>
        </w:rPr>
        <w:t>ourt Rules 2018</w:t>
      </w:r>
      <w:r w:rsidR="009853DC">
        <w:rPr>
          <w:rFonts w:ascii="Times New Roman" w:eastAsia="Calibri" w:hAnsi="Times New Roman" w:cs="Times New Roman"/>
          <w:sz w:val="24"/>
          <w:szCs w:val="24"/>
          <w:lang w:val="en-GB"/>
        </w:rPr>
        <w:t>. He</w:t>
      </w:r>
      <w:r w:rsidR="00C74205" w:rsidRPr="00775FEB">
        <w:rPr>
          <w:rFonts w:ascii="Times New Roman" w:eastAsia="Calibri" w:hAnsi="Times New Roman" w:cs="Times New Roman"/>
          <w:sz w:val="24"/>
          <w:szCs w:val="24"/>
          <w:lang w:val="en-GB"/>
        </w:rPr>
        <w:t xml:space="preserve"> further submitted that the </w:t>
      </w:r>
      <w:r w:rsidR="009853DC">
        <w:rPr>
          <w:rFonts w:ascii="Times New Roman" w:eastAsia="Calibri" w:hAnsi="Times New Roman" w:cs="Times New Roman"/>
          <w:sz w:val="24"/>
          <w:szCs w:val="24"/>
          <w:lang w:val="en-GB"/>
        </w:rPr>
        <w:t xml:space="preserve">first </w:t>
      </w:r>
      <w:r w:rsidR="006B56B9" w:rsidRPr="00775FEB">
        <w:rPr>
          <w:rFonts w:ascii="Times New Roman" w:eastAsia="Calibri" w:hAnsi="Times New Roman" w:cs="Times New Roman"/>
          <w:sz w:val="24"/>
          <w:szCs w:val="24"/>
          <w:lang w:val="en-GB"/>
        </w:rPr>
        <w:t xml:space="preserve">point </w:t>
      </w:r>
      <w:r w:rsidR="006B56B9">
        <w:rPr>
          <w:rFonts w:ascii="Times New Roman" w:eastAsia="Calibri" w:hAnsi="Times New Roman" w:cs="Times New Roman"/>
          <w:sz w:val="24"/>
          <w:szCs w:val="24"/>
          <w:lang w:val="en-GB"/>
        </w:rPr>
        <w:t>in</w:t>
      </w:r>
      <w:r w:rsidR="00C74205" w:rsidRPr="00775FEB">
        <w:rPr>
          <w:rFonts w:ascii="Times New Roman" w:eastAsia="Calibri" w:hAnsi="Times New Roman" w:cs="Times New Roman"/>
          <w:i/>
          <w:sz w:val="24"/>
          <w:szCs w:val="24"/>
          <w:lang w:val="en-GB"/>
        </w:rPr>
        <w:t xml:space="preserve"> limine</w:t>
      </w:r>
      <w:r w:rsidR="00C74205" w:rsidRPr="00775FEB">
        <w:rPr>
          <w:rFonts w:ascii="Times New Roman" w:eastAsia="Calibri" w:hAnsi="Times New Roman" w:cs="Times New Roman"/>
          <w:sz w:val="24"/>
          <w:szCs w:val="24"/>
          <w:lang w:val="en-GB"/>
        </w:rPr>
        <w:t xml:space="preserve"> addressed the root cause of the matter and as such</w:t>
      </w:r>
      <w:r w:rsidR="009853DC">
        <w:rPr>
          <w:rFonts w:ascii="Times New Roman" w:eastAsia="Calibri" w:hAnsi="Times New Roman" w:cs="Times New Roman"/>
          <w:sz w:val="24"/>
          <w:szCs w:val="24"/>
          <w:lang w:val="en-GB"/>
        </w:rPr>
        <w:t>,</w:t>
      </w:r>
      <w:r w:rsidR="00C74205" w:rsidRPr="00775FEB">
        <w:rPr>
          <w:rFonts w:ascii="Times New Roman" w:eastAsia="Calibri" w:hAnsi="Times New Roman" w:cs="Times New Roman"/>
          <w:sz w:val="24"/>
          <w:szCs w:val="24"/>
          <w:lang w:val="en-GB"/>
        </w:rPr>
        <w:t xml:space="preserve"> it should not have been raised as a preliminary point but should have been addressed in relation to the merits. </w:t>
      </w:r>
      <w:r w:rsidR="006963B9">
        <w:rPr>
          <w:rFonts w:ascii="Times New Roman" w:eastAsia="Calibri" w:hAnsi="Times New Roman" w:cs="Times New Roman"/>
          <w:sz w:val="24"/>
          <w:szCs w:val="24"/>
          <w:lang w:val="en-GB"/>
        </w:rPr>
        <w:t xml:space="preserve"> </w:t>
      </w:r>
      <w:r w:rsidR="00C74205" w:rsidRPr="00775FEB">
        <w:rPr>
          <w:rFonts w:ascii="Times New Roman" w:eastAsia="Calibri" w:hAnsi="Times New Roman" w:cs="Times New Roman"/>
          <w:sz w:val="24"/>
          <w:szCs w:val="24"/>
          <w:lang w:val="en-GB"/>
        </w:rPr>
        <w:t>It was the appellant’s submission that the validity of the notice of asse</w:t>
      </w:r>
      <w:r w:rsidR="006963B9">
        <w:rPr>
          <w:rFonts w:ascii="Times New Roman" w:eastAsia="Calibri" w:hAnsi="Times New Roman" w:cs="Times New Roman"/>
          <w:sz w:val="24"/>
          <w:szCs w:val="24"/>
          <w:lang w:val="en-GB"/>
        </w:rPr>
        <w:t>ssment was what was before the c</w:t>
      </w:r>
      <w:r w:rsidR="00C74205" w:rsidRPr="00775FEB">
        <w:rPr>
          <w:rFonts w:ascii="Times New Roman" w:eastAsia="Calibri" w:hAnsi="Times New Roman" w:cs="Times New Roman"/>
          <w:sz w:val="24"/>
          <w:szCs w:val="24"/>
          <w:lang w:val="en-GB"/>
        </w:rPr>
        <w:t xml:space="preserve">ourt for </w:t>
      </w:r>
      <w:r w:rsidR="00F26C9A" w:rsidRPr="00775FEB">
        <w:rPr>
          <w:rFonts w:ascii="Times New Roman" w:eastAsia="Calibri" w:hAnsi="Times New Roman" w:cs="Times New Roman"/>
          <w:sz w:val="24"/>
          <w:szCs w:val="24"/>
          <w:lang w:val="en-GB"/>
        </w:rPr>
        <w:t>de</w:t>
      </w:r>
      <w:r w:rsidR="00C74205" w:rsidRPr="00775FEB">
        <w:rPr>
          <w:rFonts w:ascii="Times New Roman" w:eastAsia="Calibri" w:hAnsi="Times New Roman" w:cs="Times New Roman"/>
          <w:sz w:val="24"/>
          <w:szCs w:val="24"/>
          <w:lang w:val="en-GB"/>
        </w:rPr>
        <w:t xml:space="preserve">termination and that it was addressed in the order sought by the respondent that the notice of assessment be deemed invalid and unlawful. </w:t>
      </w:r>
      <w:r w:rsidR="00CA5CEF">
        <w:rPr>
          <w:rFonts w:ascii="Times New Roman" w:eastAsia="Calibri" w:hAnsi="Times New Roman" w:cs="Times New Roman"/>
          <w:sz w:val="24"/>
          <w:szCs w:val="24"/>
          <w:lang w:val="en-GB"/>
        </w:rPr>
        <w:t xml:space="preserve"> </w:t>
      </w:r>
      <w:r w:rsidR="00C74205" w:rsidRPr="00775FEB">
        <w:rPr>
          <w:rFonts w:ascii="Times New Roman" w:eastAsia="Calibri" w:hAnsi="Times New Roman" w:cs="Times New Roman"/>
          <w:sz w:val="24"/>
          <w:szCs w:val="24"/>
          <w:lang w:val="en-GB"/>
        </w:rPr>
        <w:t xml:space="preserve">It was therefore the appellant’s </w:t>
      </w:r>
      <w:r w:rsidR="00381B84" w:rsidRPr="00775FEB">
        <w:rPr>
          <w:rFonts w:ascii="Times New Roman" w:eastAsia="Calibri" w:hAnsi="Times New Roman" w:cs="Times New Roman"/>
          <w:sz w:val="24"/>
          <w:szCs w:val="24"/>
          <w:lang w:val="en-GB"/>
        </w:rPr>
        <w:t>conten</w:t>
      </w:r>
      <w:r w:rsidR="00C74205" w:rsidRPr="00775FEB">
        <w:rPr>
          <w:rFonts w:ascii="Times New Roman" w:eastAsia="Calibri" w:hAnsi="Times New Roman" w:cs="Times New Roman"/>
          <w:sz w:val="24"/>
          <w:szCs w:val="24"/>
          <w:lang w:val="en-GB"/>
        </w:rPr>
        <w:t>tion that such a point was not a preliminary point</w:t>
      </w:r>
    </w:p>
    <w:p w14:paraId="0C010569" w14:textId="77777777" w:rsidR="006963B9" w:rsidRDefault="006963B9" w:rsidP="009F3148">
      <w:pPr>
        <w:spacing w:after="0" w:line="240" w:lineRule="auto"/>
        <w:ind w:left="-5" w:hanging="10"/>
        <w:jc w:val="both"/>
        <w:rPr>
          <w:rFonts w:ascii="Times New Roman" w:eastAsia="Calibri" w:hAnsi="Times New Roman" w:cs="Times New Roman"/>
          <w:sz w:val="24"/>
          <w:szCs w:val="24"/>
          <w:lang w:val="en-GB"/>
        </w:rPr>
      </w:pPr>
    </w:p>
    <w:p w14:paraId="5ACAAF54" w14:textId="52D14FFF" w:rsidR="00C74205" w:rsidRDefault="00C74205" w:rsidP="00CA5CEF">
      <w:pPr>
        <w:spacing w:after="173" w:line="480" w:lineRule="auto"/>
        <w:ind w:left="-5" w:firstLine="1445"/>
        <w:jc w:val="both"/>
        <w:rPr>
          <w:rFonts w:ascii="Times New Roman" w:eastAsia="Calibri" w:hAnsi="Times New Roman" w:cs="Times New Roman"/>
          <w:sz w:val="24"/>
          <w:szCs w:val="24"/>
          <w:lang w:val="en-GB"/>
        </w:rPr>
      </w:pPr>
      <w:r w:rsidRPr="00775FEB">
        <w:rPr>
          <w:rFonts w:ascii="Times New Roman" w:eastAsia="Calibri" w:hAnsi="Times New Roman" w:cs="Times New Roman"/>
          <w:sz w:val="24"/>
          <w:szCs w:val="24"/>
          <w:lang w:val="en-GB"/>
        </w:rPr>
        <w:t xml:space="preserve">On the second point </w:t>
      </w:r>
      <w:r w:rsidRPr="00775FEB">
        <w:rPr>
          <w:rFonts w:ascii="Times New Roman" w:eastAsia="Calibri" w:hAnsi="Times New Roman" w:cs="Times New Roman"/>
          <w:i/>
          <w:sz w:val="24"/>
          <w:szCs w:val="24"/>
          <w:lang w:val="en-GB"/>
        </w:rPr>
        <w:t>in limine</w:t>
      </w:r>
      <w:r w:rsidRPr="00775FEB">
        <w:rPr>
          <w:rFonts w:ascii="Times New Roman" w:eastAsia="Calibri" w:hAnsi="Times New Roman" w:cs="Times New Roman"/>
          <w:sz w:val="24"/>
          <w:szCs w:val="24"/>
          <w:lang w:val="en-GB"/>
        </w:rPr>
        <w:t xml:space="preserve"> counsel for the appellant submitted that the point also </w:t>
      </w:r>
      <w:r w:rsidR="005676AA">
        <w:rPr>
          <w:rFonts w:ascii="Times New Roman" w:eastAsia="Calibri" w:hAnsi="Times New Roman" w:cs="Times New Roman"/>
          <w:sz w:val="24"/>
          <w:szCs w:val="24"/>
          <w:lang w:val="en-GB"/>
        </w:rPr>
        <w:t>goes to</w:t>
      </w:r>
      <w:r w:rsidRPr="00775FEB">
        <w:rPr>
          <w:rFonts w:ascii="Times New Roman" w:eastAsia="Calibri" w:hAnsi="Times New Roman" w:cs="Times New Roman"/>
          <w:sz w:val="24"/>
          <w:szCs w:val="24"/>
          <w:lang w:val="en-GB"/>
        </w:rPr>
        <w:t xml:space="preserve"> the root of the matter and as such should not have been raised as a preliminary matter. It was also submitted that both preliminary points formed part of the notice of appeal and the appellant should be allowed to motivate its appeal. </w:t>
      </w:r>
      <w:r w:rsidR="002A072A">
        <w:rPr>
          <w:rFonts w:ascii="Times New Roman" w:eastAsia="Calibri" w:hAnsi="Times New Roman" w:cs="Times New Roman"/>
          <w:sz w:val="24"/>
          <w:szCs w:val="24"/>
          <w:lang w:val="en-GB"/>
        </w:rPr>
        <w:t xml:space="preserve"> </w:t>
      </w:r>
      <w:r w:rsidRPr="00775FEB">
        <w:rPr>
          <w:rFonts w:ascii="Times New Roman" w:eastAsia="Calibri" w:hAnsi="Times New Roman" w:cs="Times New Roman"/>
          <w:sz w:val="24"/>
          <w:szCs w:val="24"/>
          <w:lang w:val="en-GB"/>
        </w:rPr>
        <w:t>Counsel also submitted that issue estoppel did not apply as the present appeal was not based on the same subject matter that the Nestle case (</w:t>
      </w:r>
      <w:r w:rsidRPr="002A072A">
        <w:rPr>
          <w:rFonts w:ascii="Times New Roman" w:eastAsia="Calibri" w:hAnsi="Times New Roman" w:cs="Times New Roman"/>
          <w:i/>
          <w:sz w:val="24"/>
          <w:szCs w:val="24"/>
          <w:lang w:val="en-GB"/>
        </w:rPr>
        <w:t>supra</w:t>
      </w:r>
      <w:r w:rsidR="002A072A">
        <w:rPr>
          <w:rFonts w:ascii="Times New Roman" w:eastAsia="Calibri" w:hAnsi="Times New Roman" w:cs="Times New Roman"/>
          <w:sz w:val="24"/>
          <w:szCs w:val="24"/>
          <w:lang w:val="en-GB"/>
        </w:rPr>
        <w:t xml:space="preserve">) was based on.  </w:t>
      </w:r>
      <w:r w:rsidRPr="00775FEB">
        <w:rPr>
          <w:rFonts w:ascii="Times New Roman" w:eastAsia="Calibri" w:hAnsi="Times New Roman" w:cs="Times New Roman"/>
          <w:sz w:val="24"/>
          <w:szCs w:val="24"/>
          <w:lang w:val="en-GB"/>
        </w:rPr>
        <w:t>The appellant also submitted that the inclusion of the words gross tax was to give more detail to the taxpayer in relation to how the tax</w:t>
      </w:r>
      <w:r w:rsidR="00D906EB">
        <w:rPr>
          <w:rFonts w:ascii="Times New Roman" w:eastAsia="Calibri" w:hAnsi="Times New Roman" w:cs="Times New Roman"/>
          <w:sz w:val="24"/>
          <w:szCs w:val="24"/>
          <w:lang w:val="en-GB"/>
        </w:rPr>
        <w:t xml:space="preserve"> to</w:t>
      </w:r>
      <w:r w:rsidRPr="00775FEB">
        <w:rPr>
          <w:rFonts w:ascii="Times New Roman" w:eastAsia="Calibri" w:hAnsi="Times New Roman" w:cs="Times New Roman"/>
          <w:sz w:val="24"/>
          <w:szCs w:val="24"/>
          <w:lang w:val="en-GB"/>
        </w:rPr>
        <w:t xml:space="preserve"> be paid was </w:t>
      </w:r>
      <w:r w:rsidR="002A072A">
        <w:rPr>
          <w:rFonts w:ascii="Times New Roman" w:eastAsia="Calibri" w:hAnsi="Times New Roman" w:cs="Times New Roman"/>
          <w:sz w:val="24"/>
          <w:szCs w:val="24"/>
          <w:lang w:val="en-GB"/>
        </w:rPr>
        <w:t xml:space="preserve">arrived at.  </w:t>
      </w:r>
      <w:r w:rsidR="00C40FC6" w:rsidRPr="00775FEB">
        <w:rPr>
          <w:rFonts w:ascii="Times New Roman" w:eastAsia="Calibri" w:hAnsi="Times New Roman" w:cs="Times New Roman"/>
          <w:sz w:val="24"/>
          <w:szCs w:val="24"/>
          <w:lang w:val="en-GB"/>
        </w:rPr>
        <w:t xml:space="preserve">The appellant also submitted that when a court is asked to render a notice of assessment invalid, it must only </w:t>
      </w:r>
      <w:r w:rsidR="00C40FC6" w:rsidRPr="00775FEB">
        <w:rPr>
          <w:rFonts w:ascii="Times New Roman" w:eastAsia="Calibri" w:hAnsi="Times New Roman" w:cs="Times New Roman"/>
          <w:sz w:val="24"/>
          <w:szCs w:val="24"/>
          <w:lang w:val="en-GB"/>
        </w:rPr>
        <w:lastRenderedPageBreak/>
        <w:t>consider (i) whether all the requirements in terms of the Act are available</w:t>
      </w:r>
      <w:r w:rsidR="009853DC">
        <w:rPr>
          <w:rFonts w:ascii="Times New Roman" w:eastAsia="Calibri" w:hAnsi="Times New Roman" w:cs="Times New Roman"/>
          <w:sz w:val="24"/>
          <w:szCs w:val="24"/>
          <w:lang w:val="en-GB"/>
        </w:rPr>
        <w:t xml:space="preserve"> and</w:t>
      </w:r>
      <w:r w:rsidR="00C40FC6" w:rsidRPr="00775FEB">
        <w:rPr>
          <w:rFonts w:ascii="Times New Roman" w:eastAsia="Calibri" w:hAnsi="Times New Roman" w:cs="Times New Roman"/>
          <w:sz w:val="24"/>
          <w:szCs w:val="24"/>
          <w:lang w:val="en-GB"/>
        </w:rPr>
        <w:t xml:space="preserve"> (ii) if the inclusion of any terms is prejudicial to the taxpayer.</w:t>
      </w:r>
    </w:p>
    <w:p w14:paraId="051EFCCE" w14:textId="77777777" w:rsidR="007C3F3E" w:rsidRDefault="007C3F3E" w:rsidP="00CA5CEF">
      <w:pPr>
        <w:spacing w:after="0" w:line="240" w:lineRule="auto"/>
        <w:jc w:val="both"/>
        <w:rPr>
          <w:rFonts w:ascii="Times New Roman" w:hAnsi="Times New Roman" w:cs="Times New Roman"/>
          <w:b/>
          <w:sz w:val="24"/>
          <w:szCs w:val="24"/>
        </w:rPr>
      </w:pPr>
    </w:p>
    <w:p w14:paraId="54EBE613" w14:textId="77777777" w:rsidR="00FF0A68" w:rsidRPr="00BA15C3" w:rsidRDefault="00FF0A68" w:rsidP="00BA15C3">
      <w:pPr>
        <w:spacing w:after="0" w:line="480" w:lineRule="auto"/>
        <w:ind w:left="-5" w:hanging="10"/>
        <w:jc w:val="both"/>
        <w:rPr>
          <w:rFonts w:ascii="Times New Roman" w:hAnsi="Times New Roman" w:cs="Times New Roman"/>
          <w:b/>
          <w:sz w:val="24"/>
          <w:szCs w:val="24"/>
          <w:u w:val="single"/>
        </w:rPr>
      </w:pPr>
      <w:r w:rsidRPr="00BA15C3">
        <w:rPr>
          <w:rFonts w:ascii="Times New Roman" w:hAnsi="Times New Roman" w:cs="Times New Roman"/>
          <w:b/>
          <w:sz w:val="24"/>
          <w:szCs w:val="24"/>
          <w:u w:val="single"/>
        </w:rPr>
        <w:t>APPLICATION OF THE LAW</w:t>
      </w:r>
    </w:p>
    <w:p w14:paraId="11C07239" w14:textId="500FC6C7" w:rsidR="006A09F8" w:rsidRDefault="00540985" w:rsidP="00910103">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ZW"/>
        </w:rPr>
        <w:t>Although the</w:t>
      </w:r>
      <w:r w:rsidR="00421A60" w:rsidRPr="00775FEB">
        <w:rPr>
          <w:rFonts w:ascii="Times New Roman" w:hAnsi="Times New Roman" w:cs="Times New Roman"/>
          <w:sz w:val="24"/>
          <w:szCs w:val="24"/>
          <w:lang w:val="en-ZW"/>
        </w:rPr>
        <w:t xml:space="preserve"> respondent raised two objections</w:t>
      </w:r>
      <w:r>
        <w:rPr>
          <w:rFonts w:ascii="Times New Roman" w:hAnsi="Times New Roman" w:cs="Times New Roman"/>
          <w:sz w:val="24"/>
          <w:szCs w:val="24"/>
          <w:lang w:val="en-ZW"/>
        </w:rPr>
        <w:t>, we are of the view that the second objection on issue estoppel is dispositive of this matter</w:t>
      </w:r>
      <w:r w:rsidR="007C3F3E">
        <w:rPr>
          <w:rFonts w:ascii="Times New Roman" w:hAnsi="Times New Roman" w:cs="Times New Roman"/>
          <w:sz w:val="24"/>
          <w:szCs w:val="24"/>
        </w:rPr>
        <w:t>.</w:t>
      </w:r>
      <w:r w:rsidR="00910103" w:rsidRPr="00910103">
        <w:rPr>
          <w:rFonts w:ascii="Times New Roman" w:hAnsi="Times New Roman" w:cs="Times New Roman"/>
          <w:sz w:val="24"/>
          <w:szCs w:val="24"/>
        </w:rPr>
        <w:t xml:space="preserve"> </w:t>
      </w:r>
      <w:r w:rsidR="00910103" w:rsidRPr="00775FEB">
        <w:rPr>
          <w:rFonts w:ascii="Times New Roman" w:hAnsi="Times New Roman" w:cs="Times New Roman"/>
          <w:sz w:val="24"/>
          <w:szCs w:val="24"/>
        </w:rPr>
        <w:t xml:space="preserve">The appellant contends that issue estoppel did not apply as the present appeal was not based on the same subject matter in </w:t>
      </w:r>
      <w:r w:rsidR="00910103" w:rsidRPr="00775FEB">
        <w:rPr>
          <w:rFonts w:ascii="Times New Roman" w:hAnsi="Times New Roman" w:cs="Times New Roman"/>
          <w:i/>
          <w:sz w:val="24"/>
          <w:szCs w:val="24"/>
        </w:rPr>
        <w:t xml:space="preserve">Nestle </w:t>
      </w:r>
      <w:r w:rsidR="00910103" w:rsidRPr="00E223DB">
        <w:rPr>
          <w:rFonts w:ascii="Times New Roman" w:hAnsi="Times New Roman" w:cs="Times New Roman"/>
          <w:sz w:val="24"/>
          <w:szCs w:val="24"/>
        </w:rPr>
        <w:t>v</w:t>
      </w:r>
      <w:r w:rsidR="00910103" w:rsidRPr="00775FEB">
        <w:rPr>
          <w:rFonts w:ascii="Times New Roman" w:hAnsi="Times New Roman" w:cs="Times New Roman"/>
          <w:i/>
          <w:sz w:val="24"/>
          <w:szCs w:val="24"/>
        </w:rPr>
        <w:t xml:space="preserve"> ZIMRA SC </w:t>
      </w:r>
      <w:r w:rsidR="00910103" w:rsidRPr="00E223DB">
        <w:rPr>
          <w:rFonts w:ascii="Times New Roman" w:hAnsi="Times New Roman" w:cs="Times New Roman"/>
          <w:sz w:val="24"/>
          <w:szCs w:val="24"/>
        </w:rPr>
        <w:t>148/21</w:t>
      </w:r>
      <w:r w:rsidR="00910103">
        <w:rPr>
          <w:rFonts w:ascii="Times New Roman" w:hAnsi="Times New Roman" w:cs="Times New Roman"/>
          <w:i/>
          <w:sz w:val="24"/>
          <w:szCs w:val="24"/>
        </w:rPr>
        <w:t xml:space="preserve">.  </w:t>
      </w:r>
      <w:r w:rsidR="00910103">
        <w:rPr>
          <w:rFonts w:ascii="Times New Roman" w:hAnsi="Times New Roman" w:cs="Times New Roman"/>
          <w:sz w:val="24"/>
          <w:szCs w:val="24"/>
        </w:rPr>
        <w:t>On the other hand</w:t>
      </w:r>
      <w:r w:rsidR="00910103" w:rsidRPr="00775FEB">
        <w:rPr>
          <w:rFonts w:ascii="Times New Roman" w:hAnsi="Times New Roman" w:cs="Times New Roman"/>
          <w:sz w:val="24"/>
          <w:szCs w:val="24"/>
        </w:rPr>
        <w:t>, counsel for the respondent submitted that the appellant was attempting to bring back an issue that ha</w:t>
      </w:r>
      <w:r w:rsidR="00066A0E">
        <w:rPr>
          <w:rFonts w:ascii="Times New Roman" w:hAnsi="Times New Roman" w:cs="Times New Roman"/>
          <w:sz w:val="24"/>
          <w:szCs w:val="24"/>
        </w:rPr>
        <w:t>s</w:t>
      </w:r>
      <w:r w:rsidR="00910103" w:rsidRPr="00775FEB">
        <w:rPr>
          <w:rFonts w:ascii="Times New Roman" w:hAnsi="Times New Roman" w:cs="Times New Roman"/>
          <w:sz w:val="24"/>
          <w:szCs w:val="24"/>
        </w:rPr>
        <w:t xml:space="preserve"> already been determined by th</w:t>
      </w:r>
      <w:r w:rsidR="00910103">
        <w:rPr>
          <w:rFonts w:ascii="Times New Roman" w:hAnsi="Times New Roman" w:cs="Times New Roman"/>
          <w:sz w:val="24"/>
          <w:szCs w:val="24"/>
        </w:rPr>
        <w:t>is</w:t>
      </w:r>
      <w:r w:rsidR="00910103" w:rsidRPr="00775FEB">
        <w:rPr>
          <w:rFonts w:ascii="Times New Roman" w:hAnsi="Times New Roman" w:cs="Times New Roman"/>
          <w:sz w:val="24"/>
          <w:szCs w:val="24"/>
        </w:rPr>
        <w:t xml:space="preserve"> </w:t>
      </w:r>
      <w:r w:rsidR="000C0FA2">
        <w:rPr>
          <w:rFonts w:ascii="Times New Roman" w:hAnsi="Times New Roman" w:cs="Times New Roman"/>
          <w:sz w:val="24"/>
          <w:szCs w:val="24"/>
        </w:rPr>
        <w:t>C</w:t>
      </w:r>
      <w:r w:rsidR="00910103" w:rsidRPr="00775FEB">
        <w:rPr>
          <w:rFonts w:ascii="Times New Roman" w:hAnsi="Times New Roman" w:cs="Times New Roman"/>
          <w:sz w:val="24"/>
          <w:szCs w:val="24"/>
        </w:rPr>
        <w:t>ourt.</w:t>
      </w:r>
      <w:r w:rsidR="00910103" w:rsidRPr="00775FEB">
        <w:rPr>
          <w:rFonts w:ascii="Times New Roman" w:hAnsi="Times New Roman" w:cs="Times New Roman"/>
          <w:sz w:val="24"/>
          <w:szCs w:val="24"/>
          <w:lang w:val="en-GB"/>
        </w:rPr>
        <w:t xml:space="preserve"> </w:t>
      </w:r>
    </w:p>
    <w:p w14:paraId="12F193BB" w14:textId="77777777" w:rsidR="00496C9A" w:rsidRDefault="00496C9A" w:rsidP="00496C9A">
      <w:pPr>
        <w:spacing w:after="0" w:line="240" w:lineRule="auto"/>
        <w:ind w:firstLine="1440"/>
        <w:jc w:val="both"/>
        <w:rPr>
          <w:rFonts w:ascii="Times New Roman" w:hAnsi="Times New Roman" w:cs="Times New Roman"/>
          <w:sz w:val="24"/>
          <w:szCs w:val="24"/>
          <w:lang w:val="en-GB"/>
        </w:rPr>
      </w:pPr>
    </w:p>
    <w:p w14:paraId="29FCA00D" w14:textId="347CF400" w:rsidR="00910103" w:rsidRPr="00775FEB" w:rsidRDefault="006A09F8" w:rsidP="0091010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lang w:val="en-GB"/>
        </w:rPr>
        <w:t>We are of the view that</w:t>
      </w:r>
      <w:r w:rsidR="00910103" w:rsidRPr="00775FEB">
        <w:rPr>
          <w:rFonts w:ascii="Times New Roman" w:hAnsi="Times New Roman" w:cs="Times New Roman"/>
          <w:sz w:val="24"/>
          <w:szCs w:val="24"/>
          <w:lang w:val="en-GB"/>
        </w:rPr>
        <w:t xml:space="preserve"> the matter was already determined in </w:t>
      </w:r>
      <w:r w:rsidR="00910103" w:rsidRPr="00E223DB">
        <w:rPr>
          <w:rFonts w:ascii="Times New Roman" w:hAnsi="Times New Roman" w:cs="Times New Roman"/>
          <w:sz w:val="24"/>
          <w:szCs w:val="24"/>
        </w:rPr>
        <w:t>S</w:t>
      </w:r>
      <w:r>
        <w:rPr>
          <w:rFonts w:ascii="Times New Roman" w:hAnsi="Times New Roman" w:cs="Times New Roman"/>
          <w:sz w:val="24"/>
          <w:szCs w:val="24"/>
        </w:rPr>
        <w:t>C</w:t>
      </w:r>
      <w:r w:rsidR="00910103" w:rsidRPr="00E223DB">
        <w:rPr>
          <w:rFonts w:ascii="Times New Roman" w:hAnsi="Times New Roman" w:cs="Times New Roman"/>
          <w:sz w:val="24"/>
          <w:szCs w:val="24"/>
        </w:rPr>
        <w:t>148</w:t>
      </w:r>
      <w:r w:rsidR="008121DB">
        <w:rPr>
          <w:rFonts w:ascii="Times New Roman" w:hAnsi="Times New Roman" w:cs="Times New Roman"/>
          <w:sz w:val="24"/>
          <w:szCs w:val="24"/>
        </w:rPr>
        <w:t>/</w:t>
      </w:r>
      <w:r w:rsidR="00910103" w:rsidRPr="00E223DB">
        <w:rPr>
          <w:rFonts w:ascii="Times New Roman" w:hAnsi="Times New Roman" w:cs="Times New Roman"/>
          <w:sz w:val="24"/>
          <w:szCs w:val="24"/>
        </w:rPr>
        <w:t>21</w:t>
      </w:r>
      <w:r w:rsidR="00910103" w:rsidRPr="00775FEB">
        <w:rPr>
          <w:rFonts w:ascii="Times New Roman" w:hAnsi="Times New Roman" w:cs="Times New Roman"/>
          <w:i/>
          <w:sz w:val="24"/>
          <w:szCs w:val="24"/>
        </w:rPr>
        <w:t xml:space="preserve"> </w:t>
      </w:r>
      <w:r w:rsidR="00910103" w:rsidRPr="00775FEB">
        <w:rPr>
          <w:rFonts w:ascii="Times New Roman" w:hAnsi="Times New Roman" w:cs="Times New Roman"/>
          <w:sz w:val="24"/>
          <w:szCs w:val="24"/>
        </w:rPr>
        <w:t xml:space="preserve">wherein the court </w:t>
      </w:r>
      <w:r w:rsidR="0093632D">
        <w:rPr>
          <w:rFonts w:ascii="Times New Roman" w:hAnsi="Times New Roman" w:cs="Times New Roman"/>
          <w:sz w:val="24"/>
          <w:szCs w:val="24"/>
        </w:rPr>
        <w:t>state</w:t>
      </w:r>
      <w:r w:rsidR="00910103" w:rsidRPr="00775FEB">
        <w:rPr>
          <w:rFonts w:ascii="Times New Roman" w:hAnsi="Times New Roman" w:cs="Times New Roman"/>
          <w:sz w:val="24"/>
          <w:szCs w:val="24"/>
        </w:rPr>
        <w:t>d the following:</w:t>
      </w:r>
    </w:p>
    <w:p w14:paraId="5B94E0B9" w14:textId="77777777" w:rsidR="00910103" w:rsidRDefault="00910103" w:rsidP="00C15182">
      <w:pPr>
        <w:spacing w:after="0" w:line="240" w:lineRule="auto"/>
        <w:ind w:left="720" w:right="1361"/>
        <w:jc w:val="both"/>
        <w:rPr>
          <w:rFonts w:ascii="Times New Roman" w:hAnsi="Times New Roman" w:cs="Times New Roman"/>
          <w:sz w:val="24"/>
          <w:szCs w:val="24"/>
        </w:rPr>
      </w:pPr>
      <w:r w:rsidRPr="00775FEB">
        <w:rPr>
          <w:rFonts w:ascii="Times New Roman" w:hAnsi="Times New Roman" w:cs="Times New Roman"/>
          <w:sz w:val="24"/>
          <w:szCs w:val="24"/>
        </w:rPr>
        <w:t>“Given the principles upon which tax law subsists such as strict adherence to fiscal legislation and the principle of certainty, the consequences of the invalidity of an assessment are fairly obvious. The moment an assessment fails to comply with the law, it is a nullity</w:t>
      </w:r>
      <w:r>
        <w:rPr>
          <w:rFonts w:ascii="Times New Roman" w:hAnsi="Times New Roman" w:cs="Times New Roman"/>
          <w:sz w:val="24"/>
          <w:szCs w:val="24"/>
        </w:rPr>
        <w:t>.</w:t>
      </w:r>
      <w:r w:rsidRPr="00775FEB">
        <w:rPr>
          <w:rFonts w:ascii="Times New Roman" w:hAnsi="Times New Roman" w:cs="Times New Roman"/>
          <w:sz w:val="24"/>
          <w:szCs w:val="24"/>
        </w:rPr>
        <w:t>”</w:t>
      </w:r>
    </w:p>
    <w:p w14:paraId="11368414" w14:textId="77777777" w:rsidR="00BA15C3" w:rsidRPr="00775FEB" w:rsidRDefault="00BA15C3" w:rsidP="00C15182">
      <w:pPr>
        <w:spacing w:after="173" w:line="480" w:lineRule="auto"/>
        <w:ind w:right="1361"/>
        <w:jc w:val="both"/>
        <w:rPr>
          <w:rFonts w:ascii="Times New Roman" w:hAnsi="Times New Roman" w:cs="Times New Roman"/>
          <w:sz w:val="24"/>
          <w:szCs w:val="24"/>
        </w:rPr>
      </w:pPr>
    </w:p>
    <w:p w14:paraId="2394EAF3" w14:textId="64A23D88" w:rsidR="00E223DB" w:rsidRDefault="00777D59" w:rsidP="002A40BD">
      <w:pPr>
        <w:spacing w:after="173" w:line="480" w:lineRule="auto"/>
        <w:ind w:firstLine="1440"/>
        <w:jc w:val="both"/>
        <w:rPr>
          <w:rFonts w:ascii="Times New Roman" w:hAnsi="Times New Roman" w:cs="Times New Roman"/>
          <w:sz w:val="24"/>
          <w:szCs w:val="24"/>
        </w:rPr>
      </w:pPr>
      <w:r w:rsidRPr="00775FEB">
        <w:rPr>
          <w:rFonts w:ascii="Times New Roman" w:hAnsi="Times New Roman" w:cs="Times New Roman"/>
          <w:sz w:val="24"/>
          <w:szCs w:val="24"/>
        </w:rPr>
        <w:t xml:space="preserve">The </w:t>
      </w:r>
      <w:r w:rsidRPr="00BA15C3">
        <w:rPr>
          <w:rFonts w:ascii="Times New Roman" w:hAnsi="Times New Roman" w:cs="Times New Roman"/>
          <w:sz w:val="24"/>
          <w:szCs w:val="24"/>
        </w:rPr>
        <w:t xml:space="preserve">ratio </w:t>
      </w:r>
      <w:r w:rsidRPr="00775FEB">
        <w:rPr>
          <w:rFonts w:ascii="Times New Roman" w:hAnsi="Times New Roman" w:cs="Times New Roman"/>
          <w:i/>
          <w:sz w:val="24"/>
          <w:szCs w:val="24"/>
        </w:rPr>
        <w:t>decidendi</w:t>
      </w:r>
      <w:r w:rsidRPr="00775FEB">
        <w:rPr>
          <w:rFonts w:ascii="Times New Roman" w:hAnsi="Times New Roman" w:cs="Times New Roman"/>
          <w:sz w:val="24"/>
          <w:szCs w:val="24"/>
        </w:rPr>
        <w:t xml:space="preserve"> </w:t>
      </w:r>
      <w:r w:rsidR="008B511E">
        <w:rPr>
          <w:rFonts w:ascii="Times New Roman" w:hAnsi="Times New Roman" w:cs="Times New Roman"/>
          <w:sz w:val="24"/>
          <w:szCs w:val="24"/>
        </w:rPr>
        <w:t xml:space="preserve">in the above judgment </w:t>
      </w:r>
      <w:r w:rsidRPr="00775FEB">
        <w:rPr>
          <w:rFonts w:ascii="Times New Roman" w:hAnsi="Times New Roman" w:cs="Times New Roman"/>
          <w:sz w:val="24"/>
          <w:szCs w:val="24"/>
        </w:rPr>
        <w:t>is evident, the assessments issued by the appel</w:t>
      </w:r>
      <w:r w:rsidR="00BA15C3">
        <w:rPr>
          <w:rFonts w:ascii="Times New Roman" w:hAnsi="Times New Roman" w:cs="Times New Roman"/>
          <w:sz w:val="24"/>
          <w:szCs w:val="24"/>
        </w:rPr>
        <w:t xml:space="preserve">lant were held to be a nullity.  </w:t>
      </w:r>
      <w:r w:rsidRPr="00775FEB">
        <w:rPr>
          <w:rFonts w:ascii="Times New Roman" w:hAnsi="Times New Roman" w:cs="Times New Roman"/>
          <w:sz w:val="24"/>
          <w:szCs w:val="24"/>
        </w:rPr>
        <w:t xml:space="preserve">There was no distinction </w:t>
      </w:r>
      <w:r w:rsidR="008B511E">
        <w:rPr>
          <w:rFonts w:ascii="Times New Roman" w:hAnsi="Times New Roman" w:cs="Times New Roman"/>
          <w:sz w:val="24"/>
          <w:szCs w:val="24"/>
        </w:rPr>
        <w:t>made</w:t>
      </w:r>
      <w:r w:rsidRPr="00775FEB">
        <w:rPr>
          <w:rFonts w:ascii="Times New Roman" w:hAnsi="Times New Roman" w:cs="Times New Roman"/>
          <w:sz w:val="24"/>
          <w:szCs w:val="24"/>
        </w:rPr>
        <w:t xml:space="preserve"> between a notice of assessment and an assessment</w:t>
      </w:r>
      <w:r w:rsidR="00162D19">
        <w:rPr>
          <w:rFonts w:ascii="Times New Roman" w:hAnsi="Times New Roman" w:cs="Times New Roman"/>
          <w:sz w:val="24"/>
          <w:szCs w:val="24"/>
        </w:rPr>
        <w:t xml:space="preserve"> in the judgment</w:t>
      </w:r>
      <w:r w:rsidRPr="00775FEB">
        <w:rPr>
          <w:rFonts w:ascii="Times New Roman" w:hAnsi="Times New Roman" w:cs="Times New Roman"/>
          <w:sz w:val="24"/>
          <w:szCs w:val="24"/>
        </w:rPr>
        <w:t xml:space="preserve">. </w:t>
      </w:r>
      <w:r w:rsidR="00316771">
        <w:rPr>
          <w:rFonts w:ascii="Times New Roman" w:hAnsi="Times New Roman" w:cs="Times New Roman"/>
          <w:sz w:val="24"/>
          <w:szCs w:val="24"/>
        </w:rPr>
        <w:t xml:space="preserve"> </w:t>
      </w:r>
      <w:r w:rsidR="00162D19">
        <w:rPr>
          <w:rFonts w:ascii="Times New Roman" w:hAnsi="Times New Roman" w:cs="Times New Roman"/>
          <w:sz w:val="24"/>
          <w:szCs w:val="24"/>
        </w:rPr>
        <w:t>T</w:t>
      </w:r>
      <w:r w:rsidRPr="00775FEB">
        <w:rPr>
          <w:rFonts w:ascii="Times New Roman" w:hAnsi="Times New Roman" w:cs="Times New Roman"/>
          <w:sz w:val="24"/>
          <w:szCs w:val="24"/>
        </w:rPr>
        <w:t>he present ap</w:t>
      </w:r>
      <w:r w:rsidR="00B73F60" w:rsidRPr="00775FEB">
        <w:rPr>
          <w:rFonts w:ascii="Times New Roman" w:hAnsi="Times New Roman" w:cs="Times New Roman"/>
          <w:sz w:val="24"/>
          <w:szCs w:val="24"/>
        </w:rPr>
        <w:t>peal a</w:t>
      </w:r>
      <w:r w:rsidR="00162D19">
        <w:rPr>
          <w:rFonts w:ascii="Times New Roman" w:hAnsi="Times New Roman" w:cs="Times New Roman"/>
          <w:sz w:val="24"/>
          <w:szCs w:val="24"/>
        </w:rPr>
        <w:t>mounts</w:t>
      </w:r>
      <w:r w:rsidR="00B73F60" w:rsidRPr="00775FEB">
        <w:rPr>
          <w:rFonts w:ascii="Times New Roman" w:hAnsi="Times New Roman" w:cs="Times New Roman"/>
          <w:sz w:val="24"/>
          <w:szCs w:val="24"/>
        </w:rPr>
        <w:t xml:space="preserve"> to a review of a judg</w:t>
      </w:r>
      <w:r w:rsidRPr="00775FEB">
        <w:rPr>
          <w:rFonts w:ascii="Times New Roman" w:hAnsi="Times New Roman" w:cs="Times New Roman"/>
          <w:sz w:val="24"/>
          <w:szCs w:val="24"/>
        </w:rPr>
        <w:t>ment of this Court since the “replacement notices of assessment” issued in January 2022 are anchored on assessments that were hel</w:t>
      </w:r>
      <w:r w:rsidR="000C56EF" w:rsidRPr="00775FEB">
        <w:rPr>
          <w:rFonts w:ascii="Times New Roman" w:hAnsi="Times New Roman" w:cs="Times New Roman"/>
          <w:sz w:val="24"/>
          <w:szCs w:val="24"/>
        </w:rPr>
        <w:t>d to be a nullity.</w:t>
      </w:r>
      <w:r w:rsidR="00BA15C3">
        <w:rPr>
          <w:rFonts w:ascii="Times New Roman" w:hAnsi="Times New Roman" w:cs="Times New Roman"/>
          <w:sz w:val="24"/>
          <w:szCs w:val="24"/>
        </w:rPr>
        <w:t xml:space="preserve"> </w:t>
      </w:r>
      <w:r w:rsidR="000C56EF" w:rsidRPr="00775FEB">
        <w:rPr>
          <w:rFonts w:ascii="Times New Roman" w:hAnsi="Times New Roman" w:cs="Times New Roman"/>
          <w:sz w:val="24"/>
          <w:szCs w:val="24"/>
        </w:rPr>
        <w:t xml:space="preserve"> </w:t>
      </w:r>
    </w:p>
    <w:p w14:paraId="5011A022" w14:textId="77777777" w:rsidR="00C350F7" w:rsidRPr="00775FEB" w:rsidRDefault="00C350F7" w:rsidP="00C350F7">
      <w:pPr>
        <w:spacing w:after="0" w:line="240" w:lineRule="auto"/>
        <w:ind w:firstLine="1440"/>
        <w:jc w:val="both"/>
        <w:rPr>
          <w:rFonts w:ascii="Times New Roman" w:hAnsi="Times New Roman" w:cs="Times New Roman"/>
          <w:sz w:val="24"/>
          <w:szCs w:val="24"/>
        </w:rPr>
      </w:pPr>
    </w:p>
    <w:p w14:paraId="2DF392CF" w14:textId="7BF4F328" w:rsidR="00C42E86" w:rsidRPr="00775FEB" w:rsidRDefault="00D23B46" w:rsidP="007B39C0">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rPr>
        <w:t>In addition</w:t>
      </w:r>
      <w:r w:rsidR="007D7FE4" w:rsidRPr="00775FEB">
        <w:rPr>
          <w:rFonts w:ascii="Times New Roman" w:hAnsi="Times New Roman" w:cs="Times New Roman"/>
          <w:sz w:val="24"/>
          <w:szCs w:val="24"/>
        </w:rPr>
        <w:t>, a reading of the judgment</w:t>
      </w:r>
      <w:r w:rsidR="00AF0EC3">
        <w:rPr>
          <w:rFonts w:ascii="Times New Roman" w:hAnsi="Times New Roman" w:cs="Times New Roman"/>
          <w:sz w:val="24"/>
          <w:szCs w:val="24"/>
        </w:rPr>
        <w:t xml:space="preserve"> in SC 148/21</w:t>
      </w:r>
      <w:r w:rsidR="007D7FE4" w:rsidRPr="00775FEB">
        <w:rPr>
          <w:rFonts w:ascii="Times New Roman" w:hAnsi="Times New Roman" w:cs="Times New Roman"/>
          <w:sz w:val="24"/>
          <w:szCs w:val="24"/>
        </w:rPr>
        <w:t xml:space="preserve"> reveals the court’s clear intention without ambiguity</w:t>
      </w:r>
      <w:r w:rsidR="00E223DB">
        <w:rPr>
          <w:rFonts w:ascii="Times New Roman" w:hAnsi="Times New Roman" w:cs="Times New Roman"/>
          <w:sz w:val="24"/>
          <w:szCs w:val="24"/>
        </w:rPr>
        <w:t xml:space="preserve"> whereby </w:t>
      </w:r>
      <w:r>
        <w:rPr>
          <w:rFonts w:ascii="Times New Roman" w:hAnsi="Times New Roman" w:cs="Times New Roman"/>
          <w:sz w:val="24"/>
          <w:szCs w:val="24"/>
        </w:rPr>
        <w:t>i</w:t>
      </w:r>
      <w:r w:rsidR="00922059" w:rsidRPr="00775FEB">
        <w:rPr>
          <w:rFonts w:ascii="Times New Roman" w:hAnsi="Times New Roman" w:cs="Times New Roman"/>
          <w:sz w:val="24"/>
          <w:szCs w:val="24"/>
        </w:rPr>
        <w:t xml:space="preserve">t found that the </w:t>
      </w:r>
      <w:r w:rsidR="00E223DB">
        <w:rPr>
          <w:rFonts w:ascii="Times New Roman" w:hAnsi="Times New Roman" w:cs="Times New Roman"/>
          <w:sz w:val="24"/>
          <w:szCs w:val="24"/>
        </w:rPr>
        <w:t xml:space="preserve">assessments were null and void.  </w:t>
      </w:r>
      <w:r w:rsidR="00C70E05" w:rsidRPr="00775FEB">
        <w:rPr>
          <w:rFonts w:ascii="Times New Roman" w:hAnsi="Times New Roman" w:cs="Times New Roman"/>
          <w:sz w:val="24"/>
          <w:szCs w:val="24"/>
        </w:rPr>
        <w:t>Therefore,</w:t>
      </w:r>
      <w:r w:rsidR="00922059" w:rsidRPr="00775FEB">
        <w:rPr>
          <w:rFonts w:ascii="Times New Roman" w:hAnsi="Times New Roman" w:cs="Times New Roman"/>
          <w:sz w:val="24"/>
          <w:szCs w:val="24"/>
        </w:rPr>
        <w:t xml:space="preserve"> the appellant’s submission that the </w:t>
      </w:r>
      <w:r w:rsidR="0013160F">
        <w:rPr>
          <w:rFonts w:ascii="Times New Roman" w:hAnsi="Times New Roman" w:cs="Times New Roman"/>
          <w:sz w:val="24"/>
          <w:szCs w:val="24"/>
        </w:rPr>
        <w:t>replacements be</w:t>
      </w:r>
      <w:r w:rsidR="009009BD">
        <w:rPr>
          <w:rFonts w:ascii="Times New Roman" w:hAnsi="Times New Roman" w:cs="Times New Roman"/>
          <w:sz w:val="24"/>
          <w:szCs w:val="24"/>
        </w:rPr>
        <w:t xml:space="preserve"> </w:t>
      </w:r>
      <w:r w:rsidR="00922059" w:rsidRPr="00775FEB">
        <w:rPr>
          <w:rFonts w:ascii="Times New Roman" w:hAnsi="Times New Roman" w:cs="Times New Roman"/>
          <w:sz w:val="24"/>
          <w:szCs w:val="24"/>
        </w:rPr>
        <w:t>valid</w:t>
      </w:r>
      <w:r w:rsidR="009009BD">
        <w:rPr>
          <w:rFonts w:ascii="Times New Roman" w:hAnsi="Times New Roman" w:cs="Times New Roman"/>
          <w:sz w:val="24"/>
          <w:szCs w:val="24"/>
        </w:rPr>
        <w:t>ated</w:t>
      </w:r>
      <w:r w:rsidR="00922059" w:rsidRPr="00775FEB">
        <w:rPr>
          <w:rFonts w:ascii="Times New Roman" w:hAnsi="Times New Roman" w:cs="Times New Roman"/>
          <w:sz w:val="24"/>
          <w:szCs w:val="24"/>
        </w:rPr>
        <w:t xml:space="preserve"> is devoid of merit.</w:t>
      </w:r>
      <w:r w:rsidR="00922059" w:rsidRPr="00775FEB">
        <w:rPr>
          <w:rFonts w:ascii="Times New Roman" w:hAnsi="Times New Roman" w:cs="Times New Roman"/>
          <w:sz w:val="24"/>
          <w:szCs w:val="24"/>
          <w:lang w:val="en-GB"/>
        </w:rPr>
        <w:t xml:space="preserve"> </w:t>
      </w:r>
      <w:r w:rsidR="007B39C0">
        <w:rPr>
          <w:rFonts w:ascii="Times New Roman" w:hAnsi="Times New Roman" w:cs="Times New Roman"/>
          <w:sz w:val="24"/>
          <w:szCs w:val="24"/>
          <w:lang w:val="en-GB"/>
        </w:rPr>
        <w:t xml:space="preserve"> </w:t>
      </w:r>
      <w:r w:rsidR="006D2C35">
        <w:rPr>
          <w:rFonts w:ascii="Times New Roman" w:hAnsi="Times New Roman" w:cs="Times New Roman"/>
          <w:sz w:val="24"/>
          <w:szCs w:val="24"/>
        </w:rPr>
        <w:t>C</w:t>
      </w:r>
      <w:r w:rsidR="00D132EA" w:rsidRPr="00775FEB">
        <w:rPr>
          <w:rFonts w:ascii="Times New Roman" w:hAnsi="Times New Roman" w:cs="Times New Roman"/>
          <w:sz w:val="24"/>
          <w:szCs w:val="24"/>
        </w:rPr>
        <w:t xml:space="preserve">ounsel for the </w:t>
      </w:r>
      <w:r w:rsidR="00D132EA" w:rsidRPr="00775FEB">
        <w:rPr>
          <w:rFonts w:ascii="Times New Roman" w:hAnsi="Times New Roman" w:cs="Times New Roman"/>
          <w:sz w:val="24"/>
          <w:szCs w:val="24"/>
        </w:rPr>
        <w:lastRenderedPageBreak/>
        <w:t xml:space="preserve">appellant submitted that </w:t>
      </w:r>
      <w:r w:rsidR="00D50A27" w:rsidRPr="00775FEB">
        <w:rPr>
          <w:rFonts w:ascii="Times New Roman" w:hAnsi="Times New Roman" w:cs="Times New Roman"/>
          <w:sz w:val="24"/>
          <w:szCs w:val="24"/>
        </w:rPr>
        <w:t>the notice of appeal addressed th</w:t>
      </w:r>
      <w:r w:rsidR="00B3344C" w:rsidRPr="00775FEB">
        <w:rPr>
          <w:rFonts w:ascii="Times New Roman" w:hAnsi="Times New Roman" w:cs="Times New Roman"/>
          <w:sz w:val="24"/>
          <w:szCs w:val="24"/>
        </w:rPr>
        <w:t>e root</w:t>
      </w:r>
      <w:r w:rsidR="006D2C35">
        <w:rPr>
          <w:rFonts w:ascii="Times New Roman" w:hAnsi="Times New Roman" w:cs="Times New Roman"/>
          <w:sz w:val="24"/>
          <w:szCs w:val="24"/>
        </w:rPr>
        <w:t xml:space="preserve"> of the</w:t>
      </w:r>
      <w:r w:rsidR="00B3344C" w:rsidRPr="00775FEB">
        <w:rPr>
          <w:rFonts w:ascii="Times New Roman" w:hAnsi="Times New Roman" w:cs="Times New Roman"/>
          <w:sz w:val="24"/>
          <w:szCs w:val="24"/>
        </w:rPr>
        <w:t xml:space="preserve"> matter and as such </w:t>
      </w:r>
      <w:r w:rsidR="006D2C35">
        <w:rPr>
          <w:rFonts w:ascii="Times New Roman" w:hAnsi="Times New Roman" w:cs="Times New Roman"/>
          <w:sz w:val="24"/>
          <w:szCs w:val="24"/>
        </w:rPr>
        <w:t>the matter should</w:t>
      </w:r>
      <w:r w:rsidR="00D50A27" w:rsidRPr="00775FEB">
        <w:rPr>
          <w:rFonts w:ascii="Times New Roman" w:hAnsi="Times New Roman" w:cs="Times New Roman"/>
          <w:sz w:val="24"/>
          <w:szCs w:val="24"/>
        </w:rPr>
        <w:t xml:space="preserve"> not be </w:t>
      </w:r>
      <w:r w:rsidR="006D2C35">
        <w:rPr>
          <w:rFonts w:ascii="Times New Roman" w:hAnsi="Times New Roman" w:cs="Times New Roman"/>
          <w:sz w:val="24"/>
          <w:szCs w:val="24"/>
        </w:rPr>
        <w:t>dispos</w:t>
      </w:r>
      <w:r w:rsidR="00D50A27" w:rsidRPr="00775FEB">
        <w:rPr>
          <w:rFonts w:ascii="Times New Roman" w:hAnsi="Times New Roman" w:cs="Times New Roman"/>
          <w:sz w:val="24"/>
          <w:szCs w:val="24"/>
        </w:rPr>
        <w:t xml:space="preserve">ed </w:t>
      </w:r>
      <w:r w:rsidR="006D2C35">
        <w:rPr>
          <w:rFonts w:ascii="Times New Roman" w:hAnsi="Times New Roman" w:cs="Times New Roman"/>
          <w:sz w:val="24"/>
          <w:szCs w:val="24"/>
        </w:rPr>
        <w:t>on the</w:t>
      </w:r>
      <w:r w:rsidR="00D50A27" w:rsidRPr="00775FEB">
        <w:rPr>
          <w:rFonts w:ascii="Times New Roman" w:hAnsi="Times New Roman" w:cs="Times New Roman"/>
          <w:sz w:val="24"/>
          <w:szCs w:val="24"/>
        </w:rPr>
        <w:t xml:space="preserve"> preliminary point</w:t>
      </w:r>
      <w:r w:rsidR="00E223DB">
        <w:rPr>
          <w:rFonts w:ascii="Times New Roman" w:hAnsi="Times New Roman" w:cs="Times New Roman"/>
          <w:sz w:val="24"/>
          <w:szCs w:val="24"/>
        </w:rPr>
        <w:t xml:space="preserve">.  </w:t>
      </w:r>
      <w:r w:rsidR="00D132EA" w:rsidRPr="00775FEB">
        <w:rPr>
          <w:rFonts w:ascii="Times New Roman" w:hAnsi="Times New Roman" w:cs="Times New Roman"/>
          <w:sz w:val="24"/>
          <w:szCs w:val="24"/>
        </w:rPr>
        <w:t xml:space="preserve">However, </w:t>
      </w:r>
      <w:r w:rsidR="00B3344C" w:rsidRPr="00775FEB">
        <w:rPr>
          <w:rFonts w:ascii="Times New Roman" w:hAnsi="Times New Roman" w:cs="Times New Roman"/>
          <w:sz w:val="24"/>
          <w:szCs w:val="24"/>
        </w:rPr>
        <w:t>a point of law can be raised</w:t>
      </w:r>
      <w:r w:rsidR="00D132EA" w:rsidRPr="00775FEB">
        <w:rPr>
          <w:rFonts w:ascii="Times New Roman" w:hAnsi="Times New Roman" w:cs="Times New Roman"/>
          <w:sz w:val="24"/>
          <w:szCs w:val="24"/>
        </w:rPr>
        <w:t xml:space="preserve"> at </w:t>
      </w:r>
      <w:r w:rsidR="00922059" w:rsidRPr="00775FEB">
        <w:rPr>
          <w:rFonts w:ascii="Times New Roman" w:hAnsi="Times New Roman" w:cs="Times New Roman"/>
          <w:sz w:val="24"/>
          <w:szCs w:val="24"/>
        </w:rPr>
        <w:t xml:space="preserve">any </w:t>
      </w:r>
      <w:r w:rsidR="00E7177C">
        <w:rPr>
          <w:rFonts w:ascii="Times New Roman" w:hAnsi="Times New Roman" w:cs="Times New Roman"/>
          <w:sz w:val="24"/>
          <w:szCs w:val="24"/>
        </w:rPr>
        <w:t>stag</w:t>
      </w:r>
      <w:r w:rsidR="00922059" w:rsidRPr="00775FEB">
        <w:rPr>
          <w:rFonts w:ascii="Times New Roman" w:hAnsi="Times New Roman" w:cs="Times New Roman"/>
          <w:sz w:val="24"/>
          <w:szCs w:val="24"/>
        </w:rPr>
        <w:t>e</w:t>
      </w:r>
      <w:r w:rsidR="008F2D2E" w:rsidRPr="00775FEB">
        <w:rPr>
          <w:rFonts w:ascii="Times New Roman" w:hAnsi="Times New Roman" w:cs="Times New Roman"/>
          <w:sz w:val="24"/>
          <w:szCs w:val="24"/>
        </w:rPr>
        <w:t>.</w:t>
      </w:r>
      <w:r w:rsidR="00E223DB">
        <w:rPr>
          <w:rFonts w:ascii="Times New Roman" w:hAnsi="Times New Roman" w:cs="Times New Roman"/>
          <w:sz w:val="24"/>
          <w:szCs w:val="24"/>
        </w:rPr>
        <w:t xml:space="preserve">  </w:t>
      </w:r>
      <w:r w:rsidR="008F2D2E" w:rsidRPr="00775FEB">
        <w:rPr>
          <w:rFonts w:ascii="Times New Roman" w:hAnsi="Times New Roman" w:cs="Times New Roman"/>
          <w:sz w:val="24"/>
          <w:szCs w:val="24"/>
        </w:rPr>
        <w:t xml:space="preserve">It is trite that a new point may be advanced for the first time on appeal if it </w:t>
      </w:r>
      <w:r w:rsidR="00E7177C">
        <w:rPr>
          <w:rFonts w:ascii="Times New Roman" w:hAnsi="Times New Roman" w:cs="Times New Roman"/>
          <w:sz w:val="24"/>
          <w:szCs w:val="24"/>
        </w:rPr>
        <w:t>does not result in</w:t>
      </w:r>
      <w:r w:rsidR="008F2D2E" w:rsidRPr="00775FEB">
        <w:rPr>
          <w:rFonts w:ascii="Times New Roman" w:hAnsi="Times New Roman" w:cs="Times New Roman"/>
          <w:sz w:val="24"/>
          <w:szCs w:val="24"/>
        </w:rPr>
        <w:t xml:space="preserve"> unfairness to the party at whom it is directed. </w:t>
      </w:r>
      <w:r w:rsidR="00E223DB">
        <w:rPr>
          <w:rFonts w:ascii="Times New Roman" w:hAnsi="Times New Roman" w:cs="Times New Roman"/>
          <w:sz w:val="24"/>
          <w:szCs w:val="24"/>
        </w:rPr>
        <w:t xml:space="preserve"> </w:t>
      </w:r>
      <w:r w:rsidR="008F2D2E" w:rsidRPr="00775FEB">
        <w:rPr>
          <w:rFonts w:ascii="Times New Roman" w:hAnsi="Times New Roman" w:cs="Times New Roman"/>
          <w:sz w:val="24"/>
          <w:szCs w:val="24"/>
        </w:rPr>
        <w:t>AC Cilliers, C Loots and HC Nel in The Civil Practice of the High Courts, 5th ed, at pp 1246, explain</w:t>
      </w:r>
      <w:r w:rsidR="00E7177C">
        <w:rPr>
          <w:rFonts w:ascii="Times New Roman" w:hAnsi="Times New Roman" w:cs="Times New Roman"/>
          <w:sz w:val="24"/>
          <w:szCs w:val="24"/>
        </w:rPr>
        <w:t xml:space="preserve"> it</w:t>
      </w:r>
      <w:r w:rsidR="008F2D2E" w:rsidRPr="00775FEB">
        <w:rPr>
          <w:rFonts w:ascii="Times New Roman" w:hAnsi="Times New Roman" w:cs="Times New Roman"/>
          <w:sz w:val="24"/>
          <w:szCs w:val="24"/>
        </w:rPr>
        <w:t xml:space="preserve"> as follows:</w:t>
      </w:r>
    </w:p>
    <w:p w14:paraId="7453EBF5" w14:textId="29994CDA" w:rsidR="008F2D2E" w:rsidRDefault="008F2D2E" w:rsidP="007B39C0">
      <w:pPr>
        <w:spacing w:after="0" w:line="240" w:lineRule="auto"/>
        <w:ind w:left="720"/>
        <w:jc w:val="both"/>
        <w:rPr>
          <w:rFonts w:ascii="Times New Roman" w:hAnsi="Times New Roman" w:cs="Times New Roman"/>
          <w:sz w:val="24"/>
          <w:szCs w:val="24"/>
        </w:rPr>
      </w:pPr>
      <w:r w:rsidRPr="00775FEB">
        <w:rPr>
          <w:rFonts w:ascii="Times New Roman" w:hAnsi="Times New Roman" w:cs="Times New Roman"/>
          <w:sz w:val="24"/>
          <w:szCs w:val="24"/>
        </w:rPr>
        <w:t>“A question of law may be advanced for the first time on appeal if its consideration then involves no unfairness to the party against whom it is directed.</w:t>
      </w:r>
      <w:r w:rsidR="001141A8">
        <w:rPr>
          <w:rFonts w:ascii="Times New Roman" w:hAnsi="Times New Roman" w:cs="Times New Roman"/>
          <w:sz w:val="24"/>
          <w:szCs w:val="24"/>
        </w:rPr>
        <w:t xml:space="preserve"> </w:t>
      </w:r>
      <w:r w:rsidRPr="00775FEB">
        <w:rPr>
          <w:rFonts w:ascii="Times New Roman" w:hAnsi="Times New Roman" w:cs="Times New Roman"/>
          <w:sz w:val="24"/>
          <w:szCs w:val="24"/>
        </w:rPr>
        <w:t>A second requirement for the raising of a new point on appeal is that the point must be covered</w:t>
      </w:r>
      <w:r w:rsidR="00194FF2" w:rsidRPr="00775FEB">
        <w:rPr>
          <w:rFonts w:ascii="Times New Roman" w:hAnsi="Times New Roman" w:cs="Times New Roman"/>
          <w:sz w:val="24"/>
          <w:szCs w:val="24"/>
        </w:rPr>
        <w:t xml:space="preserve"> </w:t>
      </w:r>
      <w:r w:rsidRPr="00775FEB">
        <w:rPr>
          <w:rFonts w:ascii="Times New Roman" w:hAnsi="Times New Roman" w:cs="Times New Roman"/>
          <w:sz w:val="24"/>
          <w:szCs w:val="24"/>
        </w:rPr>
        <w:t>by the pleadings. Where it is not clear that the point has been fully investigated (i</w:t>
      </w:r>
      <w:r w:rsidR="001C27E6" w:rsidRPr="00775FEB">
        <w:rPr>
          <w:rFonts w:ascii="Times New Roman" w:hAnsi="Times New Roman" w:cs="Times New Roman"/>
          <w:sz w:val="24"/>
          <w:szCs w:val="24"/>
        </w:rPr>
        <w:t>.</w:t>
      </w:r>
      <w:r w:rsidRPr="00775FEB">
        <w:rPr>
          <w:rFonts w:ascii="Times New Roman" w:hAnsi="Times New Roman" w:cs="Times New Roman"/>
          <w:sz w:val="24"/>
          <w:szCs w:val="24"/>
        </w:rPr>
        <w:t>e</w:t>
      </w:r>
      <w:r w:rsidR="002541BF">
        <w:rPr>
          <w:rFonts w:ascii="Times New Roman" w:hAnsi="Times New Roman" w:cs="Times New Roman"/>
          <w:sz w:val="24"/>
          <w:szCs w:val="24"/>
        </w:rPr>
        <w:t>.</w:t>
      </w:r>
      <w:r w:rsidRPr="00775FEB">
        <w:rPr>
          <w:rFonts w:ascii="Times New Roman" w:hAnsi="Times New Roman" w:cs="Times New Roman"/>
          <w:sz w:val="24"/>
          <w:szCs w:val="24"/>
        </w:rPr>
        <w:t xml:space="preserve"> that all the evidence which might have been placed before the court if the point had been taken was in fact led), the court will not allow a new point to be raised for the first time on appeal</w:t>
      </w:r>
      <w:r w:rsidR="00FE3DD4">
        <w:rPr>
          <w:rFonts w:ascii="Times New Roman" w:hAnsi="Times New Roman" w:cs="Times New Roman"/>
          <w:sz w:val="24"/>
          <w:szCs w:val="24"/>
        </w:rPr>
        <w:t>.</w:t>
      </w:r>
      <w:r w:rsidRPr="00775FEB">
        <w:rPr>
          <w:rFonts w:ascii="Times New Roman" w:hAnsi="Times New Roman" w:cs="Times New Roman"/>
          <w:sz w:val="24"/>
          <w:szCs w:val="24"/>
        </w:rPr>
        <w:t>”</w:t>
      </w:r>
    </w:p>
    <w:p w14:paraId="654BBB2D" w14:textId="77777777" w:rsidR="00A9121F" w:rsidRDefault="00A9121F" w:rsidP="007B39C0">
      <w:pPr>
        <w:spacing w:after="0" w:line="240" w:lineRule="auto"/>
        <w:ind w:left="720"/>
        <w:jc w:val="both"/>
        <w:rPr>
          <w:rFonts w:ascii="Times New Roman" w:hAnsi="Times New Roman" w:cs="Times New Roman"/>
          <w:sz w:val="24"/>
          <w:szCs w:val="24"/>
        </w:rPr>
      </w:pPr>
    </w:p>
    <w:p w14:paraId="3671207C" w14:textId="77777777" w:rsidR="00E223DB" w:rsidRPr="00775FEB" w:rsidRDefault="00E223DB" w:rsidP="00E223DB">
      <w:pPr>
        <w:spacing w:after="173" w:line="240" w:lineRule="auto"/>
        <w:ind w:left="1134"/>
        <w:jc w:val="both"/>
        <w:rPr>
          <w:rFonts w:ascii="Times New Roman" w:hAnsi="Times New Roman" w:cs="Times New Roman"/>
          <w:sz w:val="24"/>
          <w:szCs w:val="24"/>
        </w:rPr>
      </w:pPr>
    </w:p>
    <w:p w14:paraId="2582AF3D" w14:textId="550137AA" w:rsidR="0005482A" w:rsidRDefault="008F2D2E" w:rsidP="00685654">
      <w:pPr>
        <w:spacing w:after="0" w:line="480" w:lineRule="auto"/>
        <w:ind w:left="-5" w:firstLine="1445"/>
        <w:jc w:val="both"/>
        <w:rPr>
          <w:rFonts w:ascii="Times New Roman" w:hAnsi="Times New Roman" w:cs="Times New Roman"/>
          <w:sz w:val="24"/>
          <w:szCs w:val="24"/>
        </w:rPr>
      </w:pPr>
      <w:r w:rsidRPr="00775FEB">
        <w:rPr>
          <w:rFonts w:ascii="Times New Roman" w:hAnsi="Times New Roman" w:cs="Times New Roman"/>
          <w:sz w:val="24"/>
          <w:szCs w:val="24"/>
        </w:rPr>
        <w:t xml:space="preserve">Therefore, the submission </w:t>
      </w:r>
      <w:r w:rsidR="00FC2081" w:rsidRPr="00775FEB">
        <w:rPr>
          <w:rFonts w:ascii="Times New Roman" w:hAnsi="Times New Roman" w:cs="Times New Roman"/>
          <w:sz w:val="24"/>
          <w:szCs w:val="24"/>
        </w:rPr>
        <w:t>that</w:t>
      </w:r>
      <w:r w:rsidR="00283257" w:rsidRPr="00775FEB">
        <w:rPr>
          <w:rFonts w:ascii="Times New Roman" w:hAnsi="Times New Roman" w:cs="Times New Roman"/>
          <w:sz w:val="24"/>
          <w:szCs w:val="24"/>
        </w:rPr>
        <w:t xml:space="preserve"> </w:t>
      </w:r>
      <w:r w:rsidR="00FC2081" w:rsidRPr="00775FEB">
        <w:rPr>
          <w:rFonts w:ascii="Times New Roman" w:hAnsi="Times New Roman" w:cs="Times New Roman"/>
          <w:sz w:val="24"/>
          <w:szCs w:val="24"/>
        </w:rPr>
        <w:t>the issue of estoppel should not be raised at this stage as it is relate</w:t>
      </w:r>
      <w:r w:rsidR="00083BA0">
        <w:rPr>
          <w:rFonts w:ascii="Times New Roman" w:hAnsi="Times New Roman" w:cs="Times New Roman"/>
          <w:sz w:val="24"/>
          <w:szCs w:val="24"/>
        </w:rPr>
        <w:t>d to</w:t>
      </w:r>
      <w:r w:rsidR="00781073">
        <w:rPr>
          <w:rFonts w:ascii="Times New Roman" w:hAnsi="Times New Roman" w:cs="Times New Roman"/>
          <w:sz w:val="24"/>
          <w:szCs w:val="24"/>
        </w:rPr>
        <w:t xml:space="preserve"> the</w:t>
      </w:r>
      <w:r w:rsidR="00A9121F">
        <w:rPr>
          <w:rFonts w:ascii="Times New Roman" w:hAnsi="Times New Roman" w:cs="Times New Roman"/>
          <w:sz w:val="24"/>
          <w:szCs w:val="24"/>
        </w:rPr>
        <w:t xml:space="preserve"> merits is of no relevance.  </w:t>
      </w:r>
      <w:r w:rsidR="00E315FA" w:rsidRPr="00775FEB">
        <w:rPr>
          <w:rFonts w:ascii="Times New Roman" w:hAnsi="Times New Roman" w:cs="Times New Roman"/>
          <w:sz w:val="24"/>
          <w:szCs w:val="24"/>
          <w:lang w:val="en-GB"/>
        </w:rPr>
        <w:t xml:space="preserve">The doctrine of estoppel prevents </w:t>
      </w:r>
      <w:r w:rsidR="00781073">
        <w:rPr>
          <w:rFonts w:ascii="Times New Roman" w:hAnsi="Times New Roman" w:cs="Times New Roman"/>
          <w:sz w:val="24"/>
          <w:szCs w:val="24"/>
          <w:lang w:val="en-GB"/>
        </w:rPr>
        <w:t>one</w:t>
      </w:r>
      <w:r w:rsidR="00E315FA" w:rsidRPr="00775FEB">
        <w:rPr>
          <w:rFonts w:ascii="Times New Roman" w:hAnsi="Times New Roman" w:cs="Times New Roman"/>
          <w:sz w:val="24"/>
          <w:szCs w:val="24"/>
          <w:lang w:val="en-GB"/>
        </w:rPr>
        <w:t xml:space="preserve"> from asserting a right where he has caused another to act on the basis of what </w:t>
      </w:r>
      <w:r w:rsidR="00781073">
        <w:rPr>
          <w:rFonts w:ascii="Times New Roman" w:hAnsi="Times New Roman" w:cs="Times New Roman"/>
          <w:sz w:val="24"/>
          <w:szCs w:val="24"/>
          <w:lang w:val="en-GB"/>
        </w:rPr>
        <w:t>one</w:t>
      </w:r>
      <w:r w:rsidR="00E315FA" w:rsidRPr="00775FEB">
        <w:rPr>
          <w:rFonts w:ascii="Times New Roman" w:hAnsi="Times New Roman" w:cs="Times New Roman"/>
          <w:sz w:val="24"/>
          <w:szCs w:val="24"/>
          <w:lang w:val="en-GB"/>
        </w:rPr>
        <w:t xml:space="preserve"> previously said or did.</w:t>
      </w:r>
      <w:r w:rsidR="0005482A">
        <w:rPr>
          <w:rFonts w:ascii="Times New Roman" w:hAnsi="Times New Roman" w:cs="Times New Roman"/>
          <w:sz w:val="24"/>
          <w:szCs w:val="24"/>
          <w:lang w:val="en-GB"/>
        </w:rPr>
        <w:t xml:space="preserve"> Concerning issue estoppel (</w:t>
      </w:r>
      <w:r w:rsidR="0005482A" w:rsidRPr="00D24D1B">
        <w:rPr>
          <w:rFonts w:ascii="Times New Roman" w:hAnsi="Times New Roman" w:cs="Times New Roman"/>
          <w:i/>
          <w:iCs/>
          <w:sz w:val="24"/>
          <w:szCs w:val="24"/>
          <w:lang w:val="en-GB"/>
        </w:rPr>
        <w:t>res judicata</w:t>
      </w:r>
      <w:r w:rsidR="0005482A">
        <w:rPr>
          <w:rFonts w:ascii="Times New Roman" w:hAnsi="Times New Roman" w:cs="Times New Roman"/>
          <w:sz w:val="24"/>
          <w:szCs w:val="24"/>
          <w:lang w:val="en-GB"/>
        </w:rPr>
        <w:t>) the same authors</w:t>
      </w:r>
      <w:r w:rsidR="0005482A" w:rsidRPr="0005482A">
        <w:rPr>
          <w:rFonts w:ascii="Times New Roman" w:hAnsi="Times New Roman" w:cs="Times New Roman"/>
          <w:sz w:val="24"/>
          <w:szCs w:val="24"/>
        </w:rPr>
        <w:t xml:space="preserve"> </w:t>
      </w:r>
      <w:r w:rsidR="0005482A" w:rsidRPr="00775FEB">
        <w:rPr>
          <w:rFonts w:ascii="Times New Roman" w:hAnsi="Times New Roman" w:cs="Times New Roman"/>
          <w:sz w:val="24"/>
          <w:szCs w:val="24"/>
        </w:rPr>
        <w:t>AC Cilliers, C Loots and HC Nel</w:t>
      </w:r>
      <w:r w:rsidR="0005482A">
        <w:rPr>
          <w:rFonts w:ascii="Times New Roman" w:hAnsi="Times New Roman" w:cs="Times New Roman"/>
          <w:sz w:val="24"/>
          <w:szCs w:val="24"/>
        </w:rPr>
        <w:t xml:space="preserve"> at p 61</w:t>
      </w:r>
      <w:r w:rsidR="00781073">
        <w:rPr>
          <w:rFonts w:ascii="Times New Roman" w:hAnsi="Times New Roman" w:cs="Times New Roman"/>
          <w:sz w:val="24"/>
          <w:szCs w:val="24"/>
        </w:rPr>
        <w:t>0</w:t>
      </w:r>
      <w:r w:rsidR="0005482A">
        <w:rPr>
          <w:rFonts w:ascii="Times New Roman" w:hAnsi="Times New Roman" w:cs="Times New Roman"/>
          <w:sz w:val="24"/>
          <w:szCs w:val="24"/>
        </w:rPr>
        <w:t xml:space="preserve"> have this to say:</w:t>
      </w:r>
    </w:p>
    <w:p w14:paraId="6DACC5A6" w14:textId="77777777" w:rsidR="0005482A" w:rsidRDefault="0005482A" w:rsidP="00A9121F">
      <w:pPr>
        <w:spacing w:after="0" w:line="240" w:lineRule="auto"/>
        <w:ind w:left="-5" w:right="1134" w:firstLine="725"/>
        <w:jc w:val="both"/>
        <w:rPr>
          <w:rFonts w:ascii="Times New Roman" w:hAnsi="Times New Roman" w:cs="Times New Roman"/>
          <w:sz w:val="24"/>
          <w:szCs w:val="24"/>
        </w:rPr>
      </w:pPr>
      <w:r>
        <w:rPr>
          <w:rFonts w:ascii="Times New Roman" w:hAnsi="Times New Roman" w:cs="Times New Roman"/>
          <w:sz w:val="24"/>
          <w:szCs w:val="24"/>
        </w:rPr>
        <w:t xml:space="preserve">“In </w:t>
      </w:r>
      <w:r w:rsidRPr="00417B15">
        <w:rPr>
          <w:rFonts w:ascii="Times New Roman" w:hAnsi="Times New Roman" w:cs="Times New Roman"/>
          <w:i/>
          <w:iCs/>
          <w:sz w:val="24"/>
          <w:szCs w:val="24"/>
        </w:rPr>
        <w:t>Betram v Wood</w:t>
      </w:r>
      <w:r>
        <w:rPr>
          <w:rFonts w:ascii="Times New Roman" w:hAnsi="Times New Roman" w:cs="Times New Roman"/>
          <w:sz w:val="24"/>
          <w:szCs w:val="24"/>
        </w:rPr>
        <w:t xml:space="preserve"> 10 SC 177 at 180 it was held that:</w:t>
      </w:r>
    </w:p>
    <w:p w14:paraId="3AD8C9CE" w14:textId="77777777" w:rsidR="0005482A" w:rsidRDefault="0005482A" w:rsidP="00C97980">
      <w:pPr>
        <w:spacing w:after="0" w:line="240" w:lineRule="auto"/>
        <w:ind w:left="-5" w:right="1134" w:firstLine="1445"/>
        <w:jc w:val="both"/>
        <w:rPr>
          <w:rFonts w:ascii="Times New Roman" w:hAnsi="Times New Roman" w:cs="Times New Roman"/>
          <w:sz w:val="24"/>
          <w:szCs w:val="24"/>
        </w:rPr>
      </w:pPr>
    </w:p>
    <w:p w14:paraId="301B7A33" w14:textId="32D3CE0A" w:rsidR="0005482A" w:rsidRDefault="00A9121F" w:rsidP="009236C1">
      <w:pPr>
        <w:spacing w:after="0" w:line="240" w:lineRule="auto"/>
        <w:ind w:left="1440" w:right="1134"/>
        <w:jc w:val="both"/>
        <w:rPr>
          <w:rFonts w:ascii="Times New Roman" w:hAnsi="Times New Roman" w:cs="Times New Roman"/>
          <w:sz w:val="24"/>
          <w:szCs w:val="24"/>
        </w:rPr>
      </w:pPr>
      <w:r>
        <w:rPr>
          <w:rFonts w:ascii="Times New Roman" w:hAnsi="Times New Roman" w:cs="Times New Roman"/>
          <w:sz w:val="24"/>
          <w:szCs w:val="24"/>
        </w:rPr>
        <w:t>‘</w:t>
      </w:r>
      <w:r w:rsidR="0005482A">
        <w:rPr>
          <w:rFonts w:ascii="Times New Roman" w:hAnsi="Times New Roman" w:cs="Times New Roman"/>
          <w:sz w:val="24"/>
          <w:szCs w:val="24"/>
        </w:rPr>
        <w:t xml:space="preserve">The meaning of the rule is that the authority of </w:t>
      </w:r>
      <w:r w:rsidR="0005482A" w:rsidRPr="00EC20EB">
        <w:rPr>
          <w:rFonts w:ascii="Times New Roman" w:hAnsi="Times New Roman" w:cs="Times New Roman"/>
          <w:i/>
          <w:iCs/>
          <w:sz w:val="24"/>
          <w:szCs w:val="24"/>
        </w:rPr>
        <w:t>res judicata</w:t>
      </w:r>
      <w:r w:rsidR="0005482A">
        <w:rPr>
          <w:rFonts w:ascii="Times New Roman" w:hAnsi="Times New Roman" w:cs="Times New Roman"/>
          <w:sz w:val="24"/>
          <w:szCs w:val="24"/>
        </w:rPr>
        <w:t xml:space="preserve"> induces a presumption that the judgment upon any claim submitted to a competent court is correct, and this presumption being </w:t>
      </w:r>
      <w:r w:rsidR="0005482A" w:rsidRPr="00EC20EB">
        <w:rPr>
          <w:rFonts w:ascii="Times New Roman" w:hAnsi="Times New Roman" w:cs="Times New Roman"/>
          <w:i/>
          <w:iCs/>
          <w:sz w:val="24"/>
          <w:szCs w:val="24"/>
        </w:rPr>
        <w:t>juris et de jure</w:t>
      </w:r>
      <w:r w:rsidR="0005482A">
        <w:rPr>
          <w:rFonts w:ascii="Times New Roman" w:hAnsi="Times New Roman" w:cs="Times New Roman"/>
          <w:sz w:val="24"/>
          <w:szCs w:val="24"/>
        </w:rPr>
        <w:t>, excluded every proof to the contrary. The presumption is founded on public policy which requires that litigation should not be endless and upon the requirements of good faith which, as said by Gaius (Dig. 50. 17. 57), does not permit of the same thing being demanded</w:t>
      </w:r>
      <w:r w:rsidR="00EE66AA">
        <w:rPr>
          <w:rFonts w:ascii="Times New Roman" w:hAnsi="Times New Roman" w:cs="Times New Roman"/>
          <w:sz w:val="24"/>
          <w:szCs w:val="24"/>
        </w:rPr>
        <w:t xml:space="preserve"> more than once.</w:t>
      </w:r>
      <w:r w:rsidR="009236C1">
        <w:rPr>
          <w:rFonts w:ascii="Times New Roman" w:hAnsi="Times New Roman" w:cs="Times New Roman"/>
          <w:sz w:val="24"/>
          <w:szCs w:val="24"/>
        </w:rPr>
        <w:t>’</w:t>
      </w:r>
      <w:r w:rsidR="00314CA3">
        <w:rPr>
          <w:rFonts w:ascii="Times New Roman" w:hAnsi="Times New Roman" w:cs="Times New Roman"/>
          <w:sz w:val="24"/>
          <w:szCs w:val="24"/>
        </w:rPr>
        <w:t>”</w:t>
      </w:r>
    </w:p>
    <w:p w14:paraId="700C124D" w14:textId="77777777" w:rsidR="003215D6" w:rsidRDefault="003215D6" w:rsidP="009236C1">
      <w:pPr>
        <w:spacing w:after="0" w:line="240" w:lineRule="auto"/>
        <w:ind w:left="1440" w:right="1134"/>
        <w:jc w:val="both"/>
        <w:rPr>
          <w:rFonts w:ascii="Times New Roman" w:hAnsi="Times New Roman" w:cs="Times New Roman"/>
          <w:sz w:val="24"/>
          <w:szCs w:val="24"/>
        </w:rPr>
      </w:pPr>
    </w:p>
    <w:p w14:paraId="15F4771A" w14:textId="77777777" w:rsidR="00C97980" w:rsidRDefault="00C97980" w:rsidP="00C97980">
      <w:pPr>
        <w:spacing w:after="0" w:line="240" w:lineRule="auto"/>
        <w:ind w:left="1440"/>
        <w:jc w:val="both"/>
        <w:rPr>
          <w:rFonts w:ascii="Times New Roman" w:hAnsi="Times New Roman" w:cs="Times New Roman"/>
          <w:sz w:val="24"/>
          <w:szCs w:val="24"/>
        </w:rPr>
      </w:pPr>
    </w:p>
    <w:p w14:paraId="35C1B093" w14:textId="3D55BA23" w:rsidR="00283257" w:rsidRDefault="00E315FA" w:rsidP="00314CA3">
      <w:pPr>
        <w:spacing w:after="0" w:line="480" w:lineRule="auto"/>
        <w:ind w:left="-5" w:firstLine="1445"/>
        <w:jc w:val="both"/>
        <w:rPr>
          <w:rFonts w:ascii="Times New Roman" w:hAnsi="Times New Roman" w:cs="Times New Roman"/>
          <w:sz w:val="24"/>
          <w:szCs w:val="24"/>
        </w:rPr>
      </w:pPr>
      <w:r w:rsidRPr="00775FEB">
        <w:rPr>
          <w:rFonts w:ascii="Times New Roman" w:hAnsi="Times New Roman" w:cs="Times New Roman"/>
          <w:sz w:val="24"/>
          <w:szCs w:val="24"/>
          <w:lang w:val="en-GB"/>
        </w:rPr>
        <w:t xml:space="preserve"> </w:t>
      </w:r>
      <w:r w:rsidR="00685654">
        <w:rPr>
          <w:rFonts w:ascii="Times New Roman" w:hAnsi="Times New Roman" w:cs="Times New Roman"/>
          <w:sz w:val="24"/>
          <w:szCs w:val="24"/>
          <w:lang w:val="en-GB"/>
        </w:rPr>
        <w:t xml:space="preserve"> </w:t>
      </w:r>
      <w:r w:rsidR="00405503" w:rsidRPr="00775FEB">
        <w:rPr>
          <w:rFonts w:ascii="Times New Roman" w:hAnsi="Times New Roman" w:cs="Times New Roman"/>
          <w:sz w:val="24"/>
          <w:szCs w:val="24"/>
        </w:rPr>
        <w:t xml:space="preserve">The above </w:t>
      </w:r>
      <w:r w:rsidR="00B55997">
        <w:rPr>
          <w:rFonts w:ascii="Times New Roman" w:hAnsi="Times New Roman" w:cs="Times New Roman"/>
          <w:sz w:val="24"/>
          <w:szCs w:val="24"/>
        </w:rPr>
        <w:t>exce</w:t>
      </w:r>
      <w:r w:rsidR="00B56C44">
        <w:rPr>
          <w:rFonts w:ascii="Times New Roman" w:hAnsi="Times New Roman" w:cs="Times New Roman"/>
          <w:sz w:val="24"/>
          <w:szCs w:val="24"/>
        </w:rPr>
        <w:t>r</w:t>
      </w:r>
      <w:r w:rsidR="00B55997">
        <w:rPr>
          <w:rFonts w:ascii="Times New Roman" w:hAnsi="Times New Roman" w:cs="Times New Roman"/>
          <w:sz w:val="24"/>
          <w:szCs w:val="24"/>
        </w:rPr>
        <w:t>pt</w:t>
      </w:r>
      <w:r w:rsidR="00405503" w:rsidRPr="00775FEB">
        <w:rPr>
          <w:rFonts w:ascii="Times New Roman" w:hAnsi="Times New Roman" w:cs="Times New Roman"/>
          <w:sz w:val="24"/>
          <w:szCs w:val="24"/>
        </w:rPr>
        <w:t xml:space="preserve"> negates any merit in the appellant’s argument. </w:t>
      </w:r>
      <w:r w:rsidR="00083BA0">
        <w:rPr>
          <w:rFonts w:ascii="Times New Roman" w:hAnsi="Times New Roman" w:cs="Times New Roman"/>
          <w:sz w:val="24"/>
          <w:szCs w:val="24"/>
        </w:rPr>
        <w:t xml:space="preserve"> </w:t>
      </w:r>
      <w:r w:rsidR="00405503" w:rsidRPr="00775FEB">
        <w:rPr>
          <w:rFonts w:ascii="Times New Roman" w:hAnsi="Times New Roman" w:cs="Times New Roman"/>
          <w:sz w:val="24"/>
          <w:szCs w:val="24"/>
        </w:rPr>
        <w:t>The assessments were held to be a nullity and thus no legal consequences can arise from them</w:t>
      </w:r>
      <w:r w:rsidR="00C11BD7" w:rsidRPr="00775FEB">
        <w:rPr>
          <w:rFonts w:ascii="Times New Roman" w:hAnsi="Times New Roman" w:cs="Times New Roman"/>
          <w:sz w:val="24"/>
          <w:szCs w:val="24"/>
        </w:rPr>
        <w:t xml:space="preserve">. </w:t>
      </w:r>
      <w:r w:rsidR="00083BA0">
        <w:rPr>
          <w:rFonts w:ascii="Times New Roman" w:hAnsi="Times New Roman" w:cs="Times New Roman"/>
          <w:sz w:val="24"/>
          <w:szCs w:val="24"/>
        </w:rPr>
        <w:t xml:space="preserve"> </w:t>
      </w:r>
      <w:r w:rsidR="00C11BD7" w:rsidRPr="00775FEB">
        <w:rPr>
          <w:rFonts w:ascii="Times New Roman" w:hAnsi="Times New Roman" w:cs="Times New Roman"/>
          <w:sz w:val="24"/>
          <w:szCs w:val="24"/>
        </w:rPr>
        <w:t>The court was clear in its language in setting aside the assessments and not simply the notices of assessment.</w:t>
      </w:r>
      <w:r w:rsidR="009C48A1">
        <w:rPr>
          <w:rFonts w:ascii="Times New Roman" w:hAnsi="Times New Roman" w:cs="Times New Roman"/>
          <w:sz w:val="24"/>
          <w:szCs w:val="24"/>
        </w:rPr>
        <w:t xml:space="preserve"> It should </w:t>
      </w:r>
      <w:r w:rsidR="009C48A1">
        <w:rPr>
          <w:rFonts w:ascii="Times New Roman" w:hAnsi="Times New Roman" w:cs="Times New Roman"/>
          <w:sz w:val="24"/>
          <w:szCs w:val="24"/>
        </w:rPr>
        <w:lastRenderedPageBreak/>
        <w:t xml:space="preserve">also be noted that in terms of s 37A (12) of the Income Tax Act, a return submitted by a taxpayer is treated </w:t>
      </w:r>
      <w:r w:rsidR="00031507">
        <w:rPr>
          <w:rFonts w:ascii="Times New Roman" w:hAnsi="Times New Roman" w:cs="Times New Roman"/>
          <w:sz w:val="24"/>
          <w:szCs w:val="24"/>
        </w:rPr>
        <w:t>as an</w:t>
      </w:r>
      <w:r w:rsidR="009C48A1">
        <w:rPr>
          <w:rFonts w:ascii="Times New Roman" w:hAnsi="Times New Roman" w:cs="Times New Roman"/>
          <w:sz w:val="24"/>
          <w:szCs w:val="24"/>
        </w:rPr>
        <w:t xml:space="preserve"> assessment by the Commissioner-General.</w:t>
      </w:r>
      <w:r w:rsidR="00FC08B0">
        <w:rPr>
          <w:rFonts w:ascii="Times New Roman" w:hAnsi="Times New Roman" w:cs="Times New Roman"/>
          <w:sz w:val="24"/>
          <w:szCs w:val="24"/>
        </w:rPr>
        <w:t xml:space="preserve"> When the appellant issued the replacement assessments</w:t>
      </w:r>
      <w:r w:rsidR="00C278E8">
        <w:rPr>
          <w:rFonts w:ascii="Times New Roman" w:hAnsi="Times New Roman" w:cs="Times New Roman"/>
          <w:sz w:val="24"/>
          <w:szCs w:val="24"/>
        </w:rPr>
        <w:t xml:space="preserve"> and wrote the letter dated 17 January 202</w:t>
      </w:r>
      <w:r w:rsidR="00711CCC">
        <w:rPr>
          <w:rFonts w:ascii="Times New Roman" w:hAnsi="Times New Roman" w:cs="Times New Roman"/>
          <w:sz w:val="24"/>
          <w:szCs w:val="24"/>
        </w:rPr>
        <w:t>2</w:t>
      </w:r>
      <w:r w:rsidR="00C278E8">
        <w:rPr>
          <w:rFonts w:ascii="Times New Roman" w:hAnsi="Times New Roman" w:cs="Times New Roman"/>
          <w:sz w:val="24"/>
          <w:szCs w:val="24"/>
        </w:rPr>
        <w:t>, there was no indication that it was assessing additional tax (s 46) or that</w:t>
      </w:r>
      <w:r w:rsidR="000616D7">
        <w:rPr>
          <w:rFonts w:ascii="Times New Roman" w:hAnsi="Times New Roman" w:cs="Times New Roman"/>
          <w:sz w:val="24"/>
          <w:szCs w:val="24"/>
        </w:rPr>
        <w:t xml:space="preserve"> </w:t>
      </w:r>
      <w:r w:rsidR="00C278E8">
        <w:rPr>
          <w:rFonts w:ascii="Times New Roman" w:hAnsi="Times New Roman" w:cs="Times New Roman"/>
          <w:sz w:val="24"/>
          <w:szCs w:val="24"/>
        </w:rPr>
        <w:t>this was an additional assessment varying or withdrawing any credits or calling upon the respondent to pay correct tax (s 47).</w:t>
      </w:r>
      <w:r w:rsidR="00DD72F6">
        <w:rPr>
          <w:rFonts w:ascii="Times New Roman" w:hAnsi="Times New Roman" w:cs="Times New Roman"/>
          <w:sz w:val="24"/>
          <w:szCs w:val="24"/>
        </w:rPr>
        <w:t xml:space="preserve"> On the contrary, the letter clearly stated that there was no obligation to pay tax on the new assessment.</w:t>
      </w:r>
      <w:r w:rsidR="00A612A7">
        <w:rPr>
          <w:rFonts w:ascii="Times New Roman" w:hAnsi="Times New Roman" w:cs="Times New Roman"/>
          <w:sz w:val="24"/>
          <w:szCs w:val="24"/>
        </w:rPr>
        <w:t xml:space="preserve"> The letter in question did not cite the relevant provision under which the replacements were made</w:t>
      </w:r>
      <w:r w:rsidR="006524AD">
        <w:rPr>
          <w:rFonts w:ascii="Times New Roman" w:hAnsi="Times New Roman" w:cs="Times New Roman"/>
          <w:sz w:val="24"/>
          <w:szCs w:val="24"/>
        </w:rPr>
        <w:t>,</w:t>
      </w:r>
      <w:r w:rsidR="00A612A7">
        <w:rPr>
          <w:rFonts w:ascii="Times New Roman" w:hAnsi="Times New Roman" w:cs="Times New Roman"/>
          <w:sz w:val="24"/>
          <w:szCs w:val="24"/>
        </w:rPr>
        <w:t xml:space="preserve"> apart from merely stating that they were issued in terms of the Act.</w:t>
      </w:r>
      <w:r w:rsidR="00324322">
        <w:rPr>
          <w:rFonts w:ascii="Times New Roman" w:hAnsi="Times New Roman" w:cs="Times New Roman"/>
          <w:sz w:val="24"/>
          <w:szCs w:val="24"/>
        </w:rPr>
        <w:t xml:space="preserve"> In any event, this court in SC 148/21 held that an assessment by the Commissioner-General consequent to self-assessment by a taxpayer is final. It follows that after nullification of the assessments in the present case, the appellant had no leg to stand on.</w:t>
      </w:r>
    </w:p>
    <w:p w14:paraId="1A26FC93" w14:textId="77777777" w:rsidR="003215D6" w:rsidRPr="00775FEB" w:rsidRDefault="003215D6" w:rsidP="003215D6">
      <w:pPr>
        <w:spacing w:after="0" w:line="240" w:lineRule="auto"/>
        <w:ind w:left="-5" w:firstLine="1445"/>
        <w:jc w:val="both"/>
        <w:rPr>
          <w:rFonts w:ascii="Times New Roman" w:hAnsi="Times New Roman" w:cs="Times New Roman"/>
          <w:sz w:val="24"/>
          <w:szCs w:val="24"/>
        </w:rPr>
      </w:pPr>
    </w:p>
    <w:p w14:paraId="4BD65231" w14:textId="77777777" w:rsidR="00083BA0" w:rsidRDefault="00083BA0" w:rsidP="00083BA0">
      <w:pPr>
        <w:spacing w:after="0" w:line="240" w:lineRule="auto"/>
        <w:jc w:val="both"/>
        <w:rPr>
          <w:rFonts w:ascii="Times New Roman" w:hAnsi="Times New Roman" w:cs="Times New Roman"/>
          <w:b/>
          <w:sz w:val="24"/>
          <w:szCs w:val="24"/>
          <w:lang w:val="en-ZW"/>
        </w:rPr>
      </w:pPr>
    </w:p>
    <w:p w14:paraId="629FCF24" w14:textId="77777777" w:rsidR="0009289B" w:rsidRPr="00083BA0" w:rsidRDefault="0009289B" w:rsidP="00083BA0">
      <w:pPr>
        <w:spacing w:after="0" w:line="480" w:lineRule="auto"/>
        <w:jc w:val="both"/>
        <w:rPr>
          <w:rFonts w:ascii="Times New Roman" w:hAnsi="Times New Roman" w:cs="Times New Roman"/>
          <w:b/>
          <w:sz w:val="24"/>
          <w:szCs w:val="24"/>
          <w:u w:val="single"/>
          <w:lang w:val="en-ZW"/>
        </w:rPr>
      </w:pPr>
      <w:r w:rsidRPr="00083BA0">
        <w:rPr>
          <w:rFonts w:ascii="Times New Roman" w:hAnsi="Times New Roman" w:cs="Times New Roman"/>
          <w:b/>
          <w:sz w:val="24"/>
          <w:szCs w:val="24"/>
          <w:u w:val="single"/>
          <w:lang w:val="en-ZW"/>
        </w:rPr>
        <w:t>DISPOSITION</w:t>
      </w:r>
    </w:p>
    <w:p w14:paraId="3F1F6CA3" w14:textId="0F484A1E" w:rsidR="001141A8" w:rsidRDefault="00C12C14" w:rsidP="001141A8">
      <w:pPr>
        <w:spacing w:after="173" w:line="480" w:lineRule="auto"/>
        <w:ind w:firstLine="1440"/>
        <w:jc w:val="both"/>
        <w:rPr>
          <w:rFonts w:ascii="Times New Roman" w:hAnsi="Times New Roman" w:cs="Times New Roman"/>
          <w:sz w:val="24"/>
          <w:szCs w:val="24"/>
        </w:rPr>
      </w:pPr>
      <w:r>
        <w:rPr>
          <w:rFonts w:ascii="Times New Roman" w:hAnsi="Times New Roman" w:cs="Times New Roman"/>
          <w:sz w:val="24"/>
          <w:szCs w:val="24"/>
          <w:lang w:val="en-ZW"/>
        </w:rPr>
        <w:t>We find merit in the objection by the respondent.</w:t>
      </w:r>
      <w:r w:rsidR="001141A8" w:rsidRPr="001141A8">
        <w:rPr>
          <w:rFonts w:ascii="Times New Roman" w:hAnsi="Times New Roman" w:cs="Times New Roman"/>
          <w:sz w:val="24"/>
          <w:szCs w:val="24"/>
        </w:rPr>
        <w:t xml:space="preserve"> </w:t>
      </w:r>
      <w:r w:rsidR="001141A8" w:rsidRPr="00775FEB">
        <w:rPr>
          <w:rFonts w:ascii="Times New Roman" w:hAnsi="Times New Roman" w:cs="Times New Roman"/>
          <w:sz w:val="24"/>
          <w:szCs w:val="24"/>
        </w:rPr>
        <w:t>The</w:t>
      </w:r>
      <w:r w:rsidR="00EE0C92">
        <w:rPr>
          <w:rFonts w:ascii="Times New Roman" w:hAnsi="Times New Roman" w:cs="Times New Roman"/>
          <w:sz w:val="24"/>
          <w:szCs w:val="24"/>
        </w:rPr>
        <w:t xml:space="preserve"> issuance </w:t>
      </w:r>
      <w:r w:rsidR="001141A8" w:rsidRPr="00775FEB">
        <w:rPr>
          <w:rFonts w:ascii="Times New Roman" w:hAnsi="Times New Roman" w:cs="Times New Roman"/>
          <w:sz w:val="24"/>
          <w:szCs w:val="24"/>
        </w:rPr>
        <w:t>by the appellant</w:t>
      </w:r>
      <w:r w:rsidR="00EE0C92">
        <w:rPr>
          <w:rFonts w:ascii="Times New Roman" w:hAnsi="Times New Roman" w:cs="Times New Roman"/>
          <w:sz w:val="24"/>
          <w:szCs w:val="24"/>
        </w:rPr>
        <w:t xml:space="preserve"> of </w:t>
      </w:r>
      <w:r w:rsidR="003A172E">
        <w:rPr>
          <w:rFonts w:ascii="Times New Roman" w:hAnsi="Times New Roman" w:cs="Times New Roman"/>
          <w:sz w:val="24"/>
          <w:szCs w:val="24"/>
        </w:rPr>
        <w:t>replacement assessments where no tax liability arises</w:t>
      </w:r>
      <w:r w:rsidR="001141A8" w:rsidRPr="00775FEB">
        <w:rPr>
          <w:rFonts w:ascii="Times New Roman" w:hAnsi="Times New Roman" w:cs="Times New Roman"/>
          <w:sz w:val="24"/>
          <w:szCs w:val="24"/>
        </w:rPr>
        <w:t xml:space="preserve"> flies in the face of the principle of finality to litigation which is a pillar of the rule of law.</w:t>
      </w:r>
      <w:r w:rsidR="00AB3FE4">
        <w:rPr>
          <w:rFonts w:ascii="Times New Roman" w:hAnsi="Times New Roman" w:cs="Times New Roman"/>
          <w:sz w:val="24"/>
          <w:szCs w:val="24"/>
        </w:rPr>
        <w:t xml:space="preserve"> As usual, costs will follow the result.</w:t>
      </w:r>
    </w:p>
    <w:p w14:paraId="14966232" w14:textId="77777777" w:rsidR="006050F9" w:rsidRPr="00775FEB" w:rsidRDefault="006050F9" w:rsidP="006050F9">
      <w:pPr>
        <w:spacing w:after="0" w:line="240" w:lineRule="auto"/>
        <w:ind w:firstLine="1440"/>
        <w:jc w:val="both"/>
        <w:rPr>
          <w:rFonts w:ascii="Times New Roman" w:hAnsi="Times New Roman" w:cs="Times New Roman"/>
          <w:sz w:val="24"/>
          <w:szCs w:val="24"/>
        </w:rPr>
      </w:pPr>
    </w:p>
    <w:p w14:paraId="27DA8CD1" w14:textId="555AD52E" w:rsidR="0009289B" w:rsidRPr="00775FEB" w:rsidRDefault="00C12C14" w:rsidP="004F2172">
      <w:pPr>
        <w:spacing w:after="0" w:line="480" w:lineRule="auto"/>
        <w:ind w:left="1440" w:hanging="1455"/>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1B6934">
        <w:rPr>
          <w:rFonts w:ascii="Times New Roman" w:hAnsi="Times New Roman" w:cs="Times New Roman"/>
          <w:sz w:val="24"/>
          <w:szCs w:val="24"/>
          <w:lang w:val="en-ZW"/>
        </w:rPr>
        <w:t xml:space="preserve">                        </w:t>
      </w:r>
      <w:r w:rsidR="0009289B" w:rsidRPr="00775FEB">
        <w:rPr>
          <w:rFonts w:ascii="Times New Roman" w:hAnsi="Times New Roman" w:cs="Times New Roman"/>
          <w:sz w:val="24"/>
          <w:szCs w:val="24"/>
          <w:lang w:val="en-ZW"/>
        </w:rPr>
        <w:t>A</w:t>
      </w:r>
      <w:r w:rsidR="004F2172">
        <w:rPr>
          <w:rFonts w:ascii="Times New Roman" w:hAnsi="Times New Roman" w:cs="Times New Roman"/>
          <w:sz w:val="24"/>
          <w:szCs w:val="24"/>
          <w:lang w:val="en-ZW"/>
        </w:rPr>
        <w:t>ccordingly, it is ordered that:</w:t>
      </w:r>
    </w:p>
    <w:p w14:paraId="0659079E" w14:textId="1B90A713" w:rsidR="0009289B" w:rsidRPr="00775FEB" w:rsidRDefault="004F2172" w:rsidP="004F2172">
      <w:pPr>
        <w:pStyle w:val="ListParagraph"/>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09289B" w:rsidRPr="00775FEB">
        <w:rPr>
          <w:rFonts w:ascii="Times New Roman" w:hAnsi="Times New Roman" w:cs="Times New Roman"/>
          <w:sz w:val="24"/>
          <w:szCs w:val="24"/>
          <w:lang w:val="en-ZW"/>
        </w:rPr>
        <w:t>The appeal</w:t>
      </w:r>
      <w:r w:rsidR="007F7D92">
        <w:rPr>
          <w:rFonts w:ascii="Times New Roman" w:hAnsi="Times New Roman" w:cs="Times New Roman"/>
          <w:sz w:val="24"/>
          <w:szCs w:val="24"/>
          <w:lang w:val="en-ZW"/>
        </w:rPr>
        <w:t xml:space="preserve"> be and</w:t>
      </w:r>
      <w:r w:rsidR="0009289B" w:rsidRPr="00775FEB">
        <w:rPr>
          <w:rFonts w:ascii="Times New Roman" w:hAnsi="Times New Roman" w:cs="Times New Roman"/>
          <w:sz w:val="24"/>
          <w:szCs w:val="24"/>
          <w:lang w:val="en-ZW"/>
        </w:rPr>
        <w:t xml:space="preserve"> is hereby dismissed</w:t>
      </w:r>
      <w:r w:rsidR="00C0779E">
        <w:rPr>
          <w:rFonts w:ascii="Times New Roman" w:hAnsi="Times New Roman" w:cs="Times New Roman"/>
          <w:sz w:val="24"/>
          <w:szCs w:val="24"/>
          <w:lang w:val="en-ZW"/>
        </w:rPr>
        <w:t xml:space="preserve"> with costs</w:t>
      </w:r>
      <w:r>
        <w:rPr>
          <w:rFonts w:ascii="Times New Roman" w:hAnsi="Times New Roman" w:cs="Times New Roman"/>
          <w:sz w:val="24"/>
          <w:szCs w:val="24"/>
          <w:lang w:val="en-ZW"/>
        </w:rPr>
        <w:t>.”</w:t>
      </w:r>
    </w:p>
    <w:p w14:paraId="2085FC23" w14:textId="77777777" w:rsidR="001D68C7" w:rsidRDefault="001D68C7" w:rsidP="00C42B4A">
      <w:pPr>
        <w:spacing w:after="173" w:line="480" w:lineRule="auto"/>
        <w:ind w:left="-5" w:hanging="10"/>
        <w:jc w:val="both"/>
        <w:rPr>
          <w:rFonts w:ascii="Times New Roman" w:hAnsi="Times New Roman" w:cs="Times New Roman"/>
          <w:sz w:val="24"/>
          <w:szCs w:val="24"/>
        </w:rPr>
      </w:pPr>
    </w:p>
    <w:p w14:paraId="2CC22DBF" w14:textId="77777777" w:rsidR="004F2172" w:rsidRPr="00775FEB" w:rsidRDefault="004F2172" w:rsidP="004F2172">
      <w:pPr>
        <w:spacing w:after="0" w:line="240" w:lineRule="auto"/>
        <w:ind w:left="-5" w:hanging="10"/>
        <w:jc w:val="both"/>
        <w:rPr>
          <w:rFonts w:ascii="Times New Roman" w:hAnsi="Times New Roman" w:cs="Times New Roman"/>
          <w:sz w:val="24"/>
          <w:szCs w:val="24"/>
        </w:rPr>
      </w:pPr>
    </w:p>
    <w:p w14:paraId="388B4DAE" w14:textId="5761689D" w:rsidR="006733FA" w:rsidRDefault="004F2172" w:rsidP="004632E1">
      <w:pPr>
        <w:spacing w:before="240" w:after="360" w:line="480" w:lineRule="auto"/>
        <w:ind w:left="1440"/>
        <w:jc w:val="both"/>
        <w:rPr>
          <w:rFonts w:ascii="Times New Roman" w:hAnsi="Times New Roman" w:cs="Times New Roman"/>
          <w:sz w:val="24"/>
          <w:szCs w:val="24"/>
        </w:rPr>
      </w:pPr>
      <w:r>
        <w:rPr>
          <w:rFonts w:ascii="Times New Roman" w:hAnsi="Times New Roman" w:cs="Times New Roman"/>
          <w:b/>
          <w:sz w:val="24"/>
          <w:szCs w:val="24"/>
        </w:rPr>
        <w:t>MAVANGIRA JA</w:t>
      </w:r>
      <w:r w:rsidR="006733FA" w:rsidRPr="00ED4BED">
        <w:rPr>
          <w:rFonts w:ascii="Times New Roman" w:hAnsi="Times New Roman" w:cs="Times New Roman"/>
          <w:b/>
          <w:sz w:val="24"/>
          <w:szCs w:val="24"/>
        </w:rPr>
        <w:tab/>
      </w:r>
      <w:r w:rsidR="006733FA" w:rsidRPr="008173D0">
        <w:rPr>
          <w:rFonts w:ascii="Times New Roman" w:hAnsi="Times New Roman" w:cs="Times New Roman"/>
          <w:sz w:val="24"/>
          <w:szCs w:val="24"/>
        </w:rPr>
        <w:t>:</w:t>
      </w:r>
      <w:r w:rsidR="006733FA">
        <w:rPr>
          <w:rFonts w:ascii="Times New Roman" w:hAnsi="Times New Roman" w:cs="Times New Roman"/>
          <w:sz w:val="24"/>
          <w:szCs w:val="24"/>
        </w:rPr>
        <w:tab/>
        <w:t>I agree</w:t>
      </w:r>
    </w:p>
    <w:p w14:paraId="532FE753" w14:textId="77777777" w:rsidR="006733FA" w:rsidRDefault="006733FA" w:rsidP="006733FA">
      <w:pPr>
        <w:spacing w:before="240" w:after="360" w:line="480" w:lineRule="auto"/>
        <w:ind w:left="709" w:firstLine="142"/>
        <w:jc w:val="both"/>
        <w:rPr>
          <w:rFonts w:ascii="Times New Roman" w:hAnsi="Times New Roman" w:cs="Times New Roman"/>
          <w:sz w:val="24"/>
          <w:szCs w:val="24"/>
        </w:rPr>
      </w:pPr>
    </w:p>
    <w:p w14:paraId="6FCA3032" w14:textId="7BAB6240" w:rsidR="006733FA" w:rsidRDefault="004F2172" w:rsidP="004632E1">
      <w:pPr>
        <w:spacing w:before="240" w:after="360" w:line="480" w:lineRule="auto"/>
        <w:ind w:left="1156" w:firstLine="284"/>
        <w:jc w:val="both"/>
        <w:rPr>
          <w:rFonts w:ascii="Times New Roman" w:hAnsi="Times New Roman" w:cs="Times New Roman"/>
          <w:sz w:val="24"/>
          <w:szCs w:val="24"/>
        </w:rPr>
      </w:pPr>
      <w:r>
        <w:rPr>
          <w:rFonts w:ascii="Times New Roman" w:hAnsi="Times New Roman" w:cs="Times New Roman"/>
          <w:b/>
          <w:sz w:val="24"/>
          <w:szCs w:val="24"/>
        </w:rPr>
        <w:lastRenderedPageBreak/>
        <w:t>CHIWESHE JA</w:t>
      </w:r>
      <w:r w:rsidR="006733FA" w:rsidRPr="00ED4BED">
        <w:rPr>
          <w:rFonts w:ascii="Times New Roman" w:hAnsi="Times New Roman" w:cs="Times New Roman"/>
          <w:b/>
          <w:sz w:val="24"/>
          <w:szCs w:val="24"/>
        </w:rPr>
        <w:tab/>
      </w:r>
      <w:r w:rsidR="006733FA" w:rsidRPr="008173D0">
        <w:rPr>
          <w:rFonts w:ascii="Times New Roman" w:hAnsi="Times New Roman" w:cs="Times New Roman"/>
          <w:sz w:val="24"/>
          <w:szCs w:val="24"/>
        </w:rPr>
        <w:t>:</w:t>
      </w:r>
      <w:r w:rsidR="006733FA">
        <w:rPr>
          <w:rFonts w:ascii="Times New Roman" w:hAnsi="Times New Roman" w:cs="Times New Roman"/>
          <w:sz w:val="24"/>
          <w:szCs w:val="24"/>
        </w:rPr>
        <w:tab/>
        <w:t xml:space="preserve">I agree </w:t>
      </w:r>
    </w:p>
    <w:p w14:paraId="50057642" w14:textId="77777777" w:rsidR="003B6467" w:rsidRDefault="003B6467" w:rsidP="003B6467">
      <w:pPr>
        <w:spacing w:after="0" w:line="240" w:lineRule="auto"/>
        <w:ind w:left="1156" w:firstLine="284"/>
        <w:jc w:val="both"/>
        <w:rPr>
          <w:rFonts w:ascii="Times New Roman" w:hAnsi="Times New Roman" w:cs="Times New Roman"/>
          <w:sz w:val="24"/>
          <w:szCs w:val="24"/>
        </w:rPr>
      </w:pPr>
    </w:p>
    <w:p w14:paraId="61CF6A58" w14:textId="77777777" w:rsidR="00BD5371" w:rsidRDefault="00BD5371" w:rsidP="006733FA">
      <w:pPr>
        <w:spacing w:before="240" w:after="0" w:line="240" w:lineRule="auto"/>
        <w:jc w:val="both"/>
        <w:rPr>
          <w:rFonts w:ascii="Times New Roman" w:hAnsi="Times New Roman" w:cs="Times New Roman"/>
          <w:i/>
          <w:sz w:val="24"/>
          <w:szCs w:val="24"/>
        </w:rPr>
      </w:pPr>
    </w:p>
    <w:p w14:paraId="40D26753" w14:textId="7FE35A20" w:rsidR="006733FA" w:rsidRDefault="00314CA3" w:rsidP="006733FA">
      <w:pPr>
        <w:spacing w:before="240"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3B6467">
        <w:rPr>
          <w:rFonts w:ascii="Times New Roman" w:hAnsi="Times New Roman" w:cs="Times New Roman"/>
          <w:i/>
          <w:sz w:val="24"/>
          <w:szCs w:val="24"/>
        </w:rPr>
        <w:t xml:space="preserve">, </w:t>
      </w:r>
      <w:r w:rsidR="003B6467">
        <w:rPr>
          <w:rFonts w:ascii="Times New Roman" w:hAnsi="Times New Roman" w:cs="Times New Roman"/>
          <w:sz w:val="24"/>
          <w:szCs w:val="24"/>
        </w:rPr>
        <w:t>appellant’s</w:t>
      </w:r>
      <w:r w:rsidR="004F2172">
        <w:rPr>
          <w:rFonts w:ascii="Times New Roman" w:hAnsi="Times New Roman" w:cs="Times New Roman"/>
          <w:sz w:val="24"/>
          <w:szCs w:val="24"/>
        </w:rPr>
        <w:t xml:space="preserve"> legal practitioners</w:t>
      </w:r>
    </w:p>
    <w:p w14:paraId="62D2C03B" w14:textId="6669FB0B" w:rsidR="006733FA" w:rsidRPr="00B1001C" w:rsidRDefault="001D04A9" w:rsidP="006733FA">
      <w:pPr>
        <w:spacing w:before="240"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Godlonton &amp; Gerrans, </w:t>
      </w:r>
      <w:r w:rsidR="006733FA">
        <w:rPr>
          <w:rFonts w:ascii="Times New Roman" w:hAnsi="Times New Roman" w:cs="Times New Roman"/>
          <w:sz w:val="24"/>
          <w:szCs w:val="24"/>
        </w:rPr>
        <w:t>respondent’s legal practitioners</w:t>
      </w:r>
    </w:p>
    <w:p w14:paraId="4E61D2FA" w14:textId="77777777" w:rsidR="001E575F" w:rsidRPr="00775FEB" w:rsidRDefault="001E575F" w:rsidP="00083BA0">
      <w:pPr>
        <w:spacing w:after="173" w:line="480" w:lineRule="auto"/>
        <w:jc w:val="both"/>
        <w:rPr>
          <w:rFonts w:ascii="Times New Roman" w:hAnsi="Times New Roman" w:cs="Times New Roman"/>
          <w:sz w:val="24"/>
          <w:szCs w:val="24"/>
        </w:rPr>
      </w:pPr>
    </w:p>
    <w:p w14:paraId="19E78FA6" w14:textId="77777777" w:rsidR="00FF0A68" w:rsidRPr="00775FEB" w:rsidRDefault="00FF0A68" w:rsidP="00C42B4A">
      <w:pPr>
        <w:spacing w:after="173" w:line="480" w:lineRule="auto"/>
        <w:ind w:left="-5" w:hanging="10"/>
        <w:jc w:val="both"/>
        <w:rPr>
          <w:rFonts w:ascii="Times New Roman" w:hAnsi="Times New Roman" w:cs="Times New Roman"/>
          <w:b/>
          <w:sz w:val="24"/>
          <w:szCs w:val="24"/>
        </w:rPr>
      </w:pPr>
    </w:p>
    <w:p w14:paraId="05D5C750" w14:textId="77777777" w:rsidR="009E267F" w:rsidRPr="00FB6508" w:rsidRDefault="009E267F" w:rsidP="00C42B4A">
      <w:pPr>
        <w:spacing w:after="173" w:line="480" w:lineRule="auto"/>
        <w:ind w:left="-5" w:hanging="10"/>
        <w:jc w:val="both"/>
        <w:rPr>
          <w:rFonts w:ascii="Times New Roman" w:hAnsi="Times New Roman" w:cs="Times New Roman"/>
          <w:sz w:val="24"/>
          <w:szCs w:val="24"/>
        </w:rPr>
      </w:pPr>
    </w:p>
    <w:p w14:paraId="754C093F" w14:textId="77777777" w:rsidR="009E267F" w:rsidRPr="00FB6508" w:rsidRDefault="009E267F" w:rsidP="00C42B4A">
      <w:pPr>
        <w:spacing w:after="173" w:line="480" w:lineRule="auto"/>
        <w:ind w:left="-5" w:hanging="10"/>
        <w:jc w:val="both"/>
        <w:rPr>
          <w:rFonts w:ascii="Times New Roman" w:hAnsi="Times New Roman" w:cs="Times New Roman"/>
          <w:sz w:val="24"/>
          <w:szCs w:val="24"/>
        </w:rPr>
      </w:pPr>
    </w:p>
    <w:p w14:paraId="744FCB89" w14:textId="77777777" w:rsidR="007C61AE" w:rsidRPr="00FB6508" w:rsidRDefault="007C61AE" w:rsidP="00833846">
      <w:pPr>
        <w:spacing w:line="360" w:lineRule="auto"/>
        <w:jc w:val="both"/>
        <w:rPr>
          <w:rFonts w:ascii="Times New Roman" w:hAnsi="Times New Roman" w:cs="Times New Roman"/>
          <w:i/>
          <w:sz w:val="24"/>
          <w:szCs w:val="24"/>
        </w:rPr>
      </w:pPr>
    </w:p>
    <w:sectPr w:rsidR="007C61AE" w:rsidRPr="00FB6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2A4C1" w14:textId="77777777" w:rsidR="007369CF" w:rsidRDefault="007369CF" w:rsidP="00DA6096">
      <w:pPr>
        <w:spacing w:after="0" w:line="240" w:lineRule="auto"/>
      </w:pPr>
      <w:r>
        <w:separator/>
      </w:r>
    </w:p>
  </w:endnote>
  <w:endnote w:type="continuationSeparator" w:id="0">
    <w:p w14:paraId="572954DB" w14:textId="77777777" w:rsidR="007369CF" w:rsidRDefault="007369CF"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A3908" w14:textId="77777777" w:rsidR="007369CF" w:rsidRDefault="007369CF" w:rsidP="00DA6096">
      <w:pPr>
        <w:spacing w:after="0" w:line="240" w:lineRule="auto"/>
      </w:pPr>
      <w:r>
        <w:separator/>
      </w:r>
    </w:p>
  </w:footnote>
  <w:footnote w:type="continuationSeparator" w:id="0">
    <w:p w14:paraId="1780DBB7" w14:textId="77777777" w:rsidR="007369CF" w:rsidRDefault="007369CF"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C634B" w14:textId="72EAE480" w:rsidR="00194FF2" w:rsidRDefault="00775FEB">
    <w:pPr>
      <w:pStyle w:val="Header"/>
    </w:pPr>
    <w:r>
      <w:rPr>
        <w:noProof/>
        <w:lang w:val="en-ZW" w:eastAsia="en-ZW"/>
      </w:rPr>
      <mc:AlternateContent>
        <mc:Choice Requires="wps">
          <w:drawing>
            <wp:anchor distT="0" distB="0" distL="114300" distR="114300" simplePos="0" relativeHeight="251657728" behindDoc="0" locked="0" layoutInCell="0" allowOverlap="1" wp14:anchorId="4EED09FC" wp14:editId="76A4DC2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761B8" w14:textId="6E6C3ACA" w:rsidR="00775FEB" w:rsidRPr="00775FEB" w:rsidRDefault="00775FEB" w:rsidP="00775FEB">
                          <w:pPr>
                            <w:spacing w:after="0" w:line="240" w:lineRule="auto"/>
                            <w:ind w:left="6480"/>
                            <w:rPr>
                              <w:rFonts w:ascii="Times New Roman" w:hAnsi="Times New Roman" w:cs="Times New Roman"/>
                              <w:b/>
                              <w:noProof/>
                              <w:sz w:val="24"/>
                              <w:szCs w:val="24"/>
                              <w:lang w:val="en-ZW"/>
                            </w:rPr>
                          </w:pPr>
                          <w:r>
                            <w:rPr>
                              <w:noProof/>
                              <w:lang w:val="en-ZW"/>
                            </w:rPr>
                            <w:t xml:space="preserve">   </w:t>
                          </w:r>
                          <w:r w:rsidRPr="00775FEB">
                            <w:rPr>
                              <w:rFonts w:ascii="Times New Roman" w:hAnsi="Times New Roman" w:cs="Times New Roman"/>
                              <w:b/>
                              <w:noProof/>
                              <w:sz w:val="24"/>
                              <w:szCs w:val="24"/>
                              <w:lang w:val="en-ZW"/>
                            </w:rPr>
                            <w:t>J</w:t>
                          </w:r>
                          <w:r>
                            <w:rPr>
                              <w:rFonts w:ascii="Times New Roman" w:hAnsi="Times New Roman" w:cs="Times New Roman"/>
                              <w:b/>
                              <w:noProof/>
                              <w:sz w:val="24"/>
                              <w:szCs w:val="24"/>
                              <w:lang w:val="en-ZW"/>
                            </w:rPr>
                            <w:t>ud</w:t>
                          </w:r>
                          <w:r w:rsidRPr="00775FEB">
                            <w:rPr>
                              <w:rFonts w:ascii="Times New Roman" w:hAnsi="Times New Roman" w:cs="Times New Roman"/>
                              <w:b/>
                              <w:noProof/>
                              <w:sz w:val="24"/>
                              <w:szCs w:val="24"/>
                              <w:lang w:val="en-ZW"/>
                            </w:rPr>
                            <w:t>gment No SC</w:t>
                          </w:r>
                          <w:r w:rsidR="0021284E">
                            <w:rPr>
                              <w:rFonts w:ascii="Times New Roman" w:hAnsi="Times New Roman" w:cs="Times New Roman"/>
                              <w:b/>
                              <w:noProof/>
                              <w:sz w:val="24"/>
                              <w:szCs w:val="24"/>
                              <w:lang w:val="en-ZW"/>
                            </w:rPr>
                            <w:t xml:space="preserve"> 70</w:t>
                          </w:r>
                          <w:r w:rsidRPr="00775FEB">
                            <w:rPr>
                              <w:rFonts w:ascii="Times New Roman" w:hAnsi="Times New Roman" w:cs="Times New Roman"/>
                              <w:b/>
                              <w:noProof/>
                              <w:sz w:val="24"/>
                              <w:szCs w:val="24"/>
                              <w:lang w:val="en-ZW"/>
                            </w:rPr>
                            <w:t>/24</w:t>
                          </w:r>
                        </w:p>
                        <w:p w14:paraId="79C87225" w14:textId="0707ADBF" w:rsidR="00775FEB" w:rsidRPr="00775FEB" w:rsidRDefault="00775FEB" w:rsidP="00775FEB">
                          <w:pPr>
                            <w:spacing w:after="0" w:line="240" w:lineRule="auto"/>
                            <w:ind w:left="5760"/>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w:t>
                          </w:r>
                          <w:r w:rsidRPr="00775FEB">
                            <w:rPr>
                              <w:rFonts w:ascii="Times New Roman" w:hAnsi="Times New Roman" w:cs="Times New Roman"/>
                              <w:b/>
                              <w:noProof/>
                              <w:sz w:val="24"/>
                              <w:szCs w:val="24"/>
                              <w:lang w:val="en-ZW"/>
                            </w:rPr>
                            <w:t>Civil Appeal No. SC 310/23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EED09FC"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29761B8" w14:textId="6E6C3ACA" w:rsidR="00775FEB" w:rsidRPr="00775FEB" w:rsidRDefault="00775FEB" w:rsidP="00775FEB">
                    <w:pPr>
                      <w:spacing w:after="0" w:line="240" w:lineRule="auto"/>
                      <w:ind w:left="6480"/>
                      <w:rPr>
                        <w:rFonts w:ascii="Times New Roman" w:hAnsi="Times New Roman" w:cs="Times New Roman"/>
                        <w:b/>
                        <w:noProof/>
                        <w:sz w:val="24"/>
                        <w:szCs w:val="24"/>
                        <w:lang w:val="en-ZW"/>
                      </w:rPr>
                    </w:pPr>
                    <w:r>
                      <w:rPr>
                        <w:noProof/>
                        <w:lang w:val="en-ZW"/>
                      </w:rPr>
                      <w:t xml:space="preserve">   </w:t>
                    </w:r>
                    <w:r w:rsidRPr="00775FEB">
                      <w:rPr>
                        <w:rFonts w:ascii="Times New Roman" w:hAnsi="Times New Roman" w:cs="Times New Roman"/>
                        <w:b/>
                        <w:noProof/>
                        <w:sz w:val="24"/>
                        <w:szCs w:val="24"/>
                        <w:lang w:val="en-ZW"/>
                      </w:rPr>
                      <w:t>J</w:t>
                    </w:r>
                    <w:r>
                      <w:rPr>
                        <w:rFonts w:ascii="Times New Roman" w:hAnsi="Times New Roman" w:cs="Times New Roman"/>
                        <w:b/>
                        <w:noProof/>
                        <w:sz w:val="24"/>
                        <w:szCs w:val="24"/>
                        <w:lang w:val="en-ZW"/>
                      </w:rPr>
                      <w:t>ud</w:t>
                    </w:r>
                    <w:r w:rsidRPr="00775FEB">
                      <w:rPr>
                        <w:rFonts w:ascii="Times New Roman" w:hAnsi="Times New Roman" w:cs="Times New Roman"/>
                        <w:b/>
                        <w:noProof/>
                        <w:sz w:val="24"/>
                        <w:szCs w:val="24"/>
                        <w:lang w:val="en-ZW"/>
                      </w:rPr>
                      <w:t>gment No SC</w:t>
                    </w:r>
                    <w:r w:rsidR="0021284E">
                      <w:rPr>
                        <w:rFonts w:ascii="Times New Roman" w:hAnsi="Times New Roman" w:cs="Times New Roman"/>
                        <w:b/>
                        <w:noProof/>
                        <w:sz w:val="24"/>
                        <w:szCs w:val="24"/>
                        <w:lang w:val="en-ZW"/>
                      </w:rPr>
                      <w:t xml:space="preserve"> 70</w:t>
                    </w:r>
                    <w:r w:rsidRPr="00775FEB">
                      <w:rPr>
                        <w:rFonts w:ascii="Times New Roman" w:hAnsi="Times New Roman" w:cs="Times New Roman"/>
                        <w:b/>
                        <w:noProof/>
                        <w:sz w:val="24"/>
                        <w:szCs w:val="24"/>
                        <w:lang w:val="en-ZW"/>
                      </w:rPr>
                      <w:t>/24</w:t>
                    </w:r>
                  </w:p>
                  <w:p w14:paraId="79C87225" w14:textId="0707ADBF" w:rsidR="00775FEB" w:rsidRPr="00775FEB" w:rsidRDefault="00775FEB" w:rsidP="00775FEB">
                    <w:pPr>
                      <w:spacing w:after="0" w:line="240" w:lineRule="auto"/>
                      <w:ind w:left="5760"/>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w:t>
                    </w:r>
                    <w:r w:rsidRPr="00775FEB">
                      <w:rPr>
                        <w:rFonts w:ascii="Times New Roman" w:hAnsi="Times New Roman" w:cs="Times New Roman"/>
                        <w:b/>
                        <w:noProof/>
                        <w:sz w:val="24"/>
                        <w:szCs w:val="24"/>
                        <w:lang w:val="en-ZW"/>
                      </w:rPr>
                      <w:t>Civil Appeal No. SC 310/23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2D9F2C5F" wp14:editId="4E760EC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128C956" w14:textId="77777777" w:rsidR="00775FEB" w:rsidRDefault="00775FEB">
                          <w:pPr>
                            <w:spacing w:after="0" w:line="240" w:lineRule="auto"/>
                            <w:rPr>
                              <w:color w:val="FFFFFF" w:themeColor="background1"/>
                            </w:rPr>
                          </w:pPr>
                          <w:r>
                            <w:fldChar w:fldCharType="begin"/>
                          </w:r>
                          <w:r>
                            <w:instrText xml:space="preserve"> PAGE   \* MERGEFORMAT </w:instrText>
                          </w:r>
                          <w:r>
                            <w:fldChar w:fldCharType="separate"/>
                          </w:r>
                          <w:r w:rsidR="002E6E89" w:rsidRPr="002E6E8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D9F2C5F"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128C956" w14:textId="77777777" w:rsidR="00775FEB" w:rsidRDefault="00775FEB">
                    <w:pPr>
                      <w:spacing w:after="0" w:line="240" w:lineRule="auto"/>
                      <w:rPr>
                        <w:color w:val="FFFFFF" w:themeColor="background1"/>
                      </w:rPr>
                    </w:pPr>
                    <w:r>
                      <w:fldChar w:fldCharType="begin"/>
                    </w:r>
                    <w:r>
                      <w:instrText xml:space="preserve"> PAGE   \* MERGEFORMAT </w:instrText>
                    </w:r>
                    <w:r>
                      <w:fldChar w:fldCharType="separate"/>
                    </w:r>
                    <w:r w:rsidR="002E6E89" w:rsidRPr="002E6E8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472DC1"/>
    <w:multiLevelType w:val="hybridMultilevel"/>
    <w:tmpl w:val="A984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E4C0B2"/>
    <w:multiLevelType w:val="hybridMultilevel"/>
    <w:tmpl w:val="63275B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1C67C"/>
    <w:multiLevelType w:val="hybridMultilevel"/>
    <w:tmpl w:val="2EC6BE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7399"/>
    <w:multiLevelType w:val="hybridMultilevel"/>
    <w:tmpl w:val="D16964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39733B"/>
    <w:multiLevelType w:val="hybridMultilevel"/>
    <w:tmpl w:val="D7DCD152"/>
    <w:lvl w:ilvl="0" w:tplc="E34C6F7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39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C1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8F2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91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2A9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097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1A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72B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225459"/>
    <w:multiLevelType w:val="hybridMultilevel"/>
    <w:tmpl w:val="247641EE"/>
    <w:lvl w:ilvl="0" w:tplc="A39E7F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4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A2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4C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AC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0DE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8A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BC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7622AD"/>
    <w:multiLevelType w:val="hybridMultilevel"/>
    <w:tmpl w:val="F1B8C53E"/>
    <w:lvl w:ilvl="0" w:tplc="B8F2BF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CBC1D8D"/>
    <w:multiLevelType w:val="hybridMultilevel"/>
    <w:tmpl w:val="D9203B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ED600A6"/>
    <w:multiLevelType w:val="hybridMultilevel"/>
    <w:tmpl w:val="87B2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64E51"/>
    <w:multiLevelType w:val="hybridMultilevel"/>
    <w:tmpl w:val="7FD466BA"/>
    <w:lvl w:ilvl="0" w:tplc="C65066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FBC70C8"/>
    <w:multiLevelType w:val="hybridMultilevel"/>
    <w:tmpl w:val="7D7A4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F47DEA"/>
    <w:multiLevelType w:val="hybridMultilevel"/>
    <w:tmpl w:val="B1F238D2"/>
    <w:lvl w:ilvl="0" w:tplc="54EC7972">
      <w:start w:val="2"/>
      <w:numFmt w:val="decimal"/>
      <w:lvlText w:val="(%1)"/>
      <w:lvlJc w:val="left"/>
      <w:pPr>
        <w:ind w:left="1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7169DDC">
      <w:start w:val="1"/>
      <w:numFmt w:val="lowerLetter"/>
      <w:lvlText w:val="%2"/>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8E42816">
      <w:start w:val="1"/>
      <w:numFmt w:val="lowerRoman"/>
      <w:lvlText w:val="%3"/>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4846F6DC">
      <w:start w:val="1"/>
      <w:numFmt w:val="decimal"/>
      <w:lvlText w:val="%4"/>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CA09AAA">
      <w:start w:val="1"/>
      <w:numFmt w:val="lowerLetter"/>
      <w:lvlText w:val="%5"/>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05F4A8C2">
      <w:start w:val="1"/>
      <w:numFmt w:val="lowerRoman"/>
      <w:lvlText w:val="%6"/>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5DA55A8">
      <w:start w:val="1"/>
      <w:numFmt w:val="decimal"/>
      <w:lvlText w:val="%7"/>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8020730">
      <w:start w:val="1"/>
      <w:numFmt w:val="lowerLetter"/>
      <w:lvlText w:val="%8"/>
      <w:lvlJc w:val="left"/>
      <w:pPr>
        <w:ind w:left="68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1462699C">
      <w:start w:val="1"/>
      <w:numFmt w:val="lowerRoman"/>
      <w:lvlText w:val="%9"/>
      <w:lvlJc w:val="left"/>
      <w:pPr>
        <w:ind w:left="75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2" w15:restartNumberingAfterBreak="0">
    <w:nsid w:val="3F1E14E3"/>
    <w:multiLevelType w:val="hybridMultilevel"/>
    <w:tmpl w:val="665422A8"/>
    <w:lvl w:ilvl="0" w:tplc="7384F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F0D63A6"/>
    <w:multiLevelType w:val="hybridMultilevel"/>
    <w:tmpl w:val="8FA09076"/>
    <w:lvl w:ilvl="0" w:tplc="5EEA9EBE">
      <w:start w:val="2"/>
      <w:numFmt w:val="decimal"/>
      <w:lvlText w:val="(%1)"/>
      <w:lvlJc w:val="left"/>
      <w:pPr>
        <w:ind w:left="2196" w:hanging="360"/>
      </w:pPr>
      <w:rPr>
        <w:rFonts w:ascii="Times New Roman" w:eastAsia="Times New Roman" w:hAnsi="Times New Roman" w:cs="Times New Roman" w:hint="default"/>
        <w:i/>
      </w:rPr>
    </w:lvl>
    <w:lvl w:ilvl="1" w:tplc="30090019" w:tentative="1">
      <w:start w:val="1"/>
      <w:numFmt w:val="lowerLetter"/>
      <w:lvlText w:val="%2."/>
      <w:lvlJc w:val="left"/>
      <w:pPr>
        <w:ind w:left="2916" w:hanging="360"/>
      </w:pPr>
    </w:lvl>
    <w:lvl w:ilvl="2" w:tplc="3009001B" w:tentative="1">
      <w:start w:val="1"/>
      <w:numFmt w:val="lowerRoman"/>
      <w:lvlText w:val="%3."/>
      <w:lvlJc w:val="right"/>
      <w:pPr>
        <w:ind w:left="3636" w:hanging="180"/>
      </w:pPr>
    </w:lvl>
    <w:lvl w:ilvl="3" w:tplc="3009000F" w:tentative="1">
      <w:start w:val="1"/>
      <w:numFmt w:val="decimal"/>
      <w:lvlText w:val="%4."/>
      <w:lvlJc w:val="left"/>
      <w:pPr>
        <w:ind w:left="4356" w:hanging="360"/>
      </w:pPr>
    </w:lvl>
    <w:lvl w:ilvl="4" w:tplc="30090019" w:tentative="1">
      <w:start w:val="1"/>
      <w:numFmt w:val="lowerLetter"/>
      <w:lvlText w:val="%5."/>
      <w:lvlJc w:val="left"/>
      <w:pPr>
        <w:ind w:left="5076" w:hanging="360"/>
      </w:pPr>
    </w:lvl>
    <w:lvl w:ilvl="5" w:tplc="3009001B" w:tentative="1">
      <w:start w:val="1"/>
      <w:numFmt w:val="lowerRoman"/>
      <w:lvlText w:val="%6."/>
      <w:lvlJc w:val="right"/>
      <w:pPr>
        <w:ind w:left="5796" w:hanging="180"/>
      </w:pPr>
    </w:lvl>
    <w:lvl w:ilvl="6" w:tplc="3009000F" w:tentative="1">
      <w:start w:val="1"/>
      <w:numFmt w:val="decimal"/>
      <w:lvlText w:val="%7."/>
      <w:lvlJc w:val="left"/>
      <w:pPr>
        <w:ind w:left="6516" w:hanging="360"/>
      </w:pPr>
    </w:lvl>
    <w:lvl w:ilvl="7" w:tplc="30090019" w:tentative="1">
      <w:start w:val="1"/>
      <w:numFmt w:val="lowerLetter"/>
      <w:lvlText w:val="%8."/>
      <w:lvlJc w:val="left"/>
      <w:pPr>
        <w:ind w:left="7236" w:hanging="360"/>
      </w:pPr>
    </w:lvl>
    <w:lvl w:ilvl="8" w:tplc="3009001B" w:tentative="1">
      <w:start w:val="1"/>
      <w:numFmt w:val="lowerRoman"/>
      <w:lvlText w:val="%9."/>
      <w:lvlJc w:val="right"/>
      <w:pPr>
        <w:ind w:left="7956" w:hanging="180"/>
      </w:pPr>
    </w:lvl>
  </w:abstractNum>
  <w:abstractNum w:abstractNumId="14" w15:restartNumberingAfterBreak="0">
    <w:nsid w:val="543405CB"/>
    <w:multiLevelType w:val="hybridMultilevel"/>
    <w:tmpl w:val="E14468C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550316E7"/>
    <w:multiLevelType w:val="hybridMultilevel"/>
    <w:tmpl w:val="229E8A9C"/>
    <w:lvl w:ilvl="0" w:tplc="DBD2A8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6" w15:restartNumberingAfterBreak="0">
    <w:nsid w:val="5A1F199C"/>
    <w:multiLevelType w:val="hybridMultilevel"/>
    <w:tmpl w:val="9E42D9B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1467EFA"/>
    <w:multiLevelType w:val="hybridMultilevel"/>
    <w:tmpl w:val="F6363EA0"/>
    <w:lvl w:ilvl="0" w:tplc="0180E9B4">
      <w:start w:val="1"/>
      <w:numFmt w:val="lowerLetter"/>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18" w15:restartNumberingAfterBreak="0">
    <w:nsid w:val="6F6C40EA"/>
    <w:multiLevelType w:val="hybridMultilevel"/>
    <w:tmpl w:val="10607A5C"/>
    <w:lvl w:ilvl="0" w:tplc="BEF2D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6A672A"/>
    <w:multiLevelType w:val="hybridMultilevel"/>
    <w:tmpl w:val="1A1C1088"/>
    <w:lvl w:ilvl="0" w:tplc="30090017">
      <w:start w:val="1"/>
      <w:numFmt w:val="lowerLetter"/>
      <w:lvlText w:val="%1)"/>
      <w:lvlJc w:val="left"/>
      <w:pPr>
        <w:ind w:left="705" w:hanging="360"/>
      </w:p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20" w15:restartNumberingAfterBreak="0">
    <w:nsid w:val="7E51338B"/>
    <w:multiLevelType w:val="hybridMultilevel"/>
    <w:tmpl w:val="E02A2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8"/>
  </w:num>
  <w:num w:numId="5">
    <w:abstractNumId w:val="11"/>
  </w:num>
  <w:num w:numId="6">
    <w:abstractNumId w:val="13"/>
  </w:num>
  <w:num w:numId="7">
    <w:abstractNumId w:val="10"/>
  </w:num>
  <w:num w:numId="8">
    <w:abstractNumId w:val="2"/>
  </w:num>
  <w:num w:numId="9">
    <w:abstractNumId w:val="0"/>
  </w:num>
  <w:num w:numId="10">
    <w:abstractNumId w:val="3"/>
  </w:num>
  <w:num w:numId="11">
    <w:abstractNumId w:val="1"/>
  </w:num>
  <w:num w:numId="12">
    <w:abstractNumId w:val="18"/>
  </w:num>
  <w:num w:numId="13">
    <w:abstractNumId w:val="17"/>
  </w:num>
  <w:num w:numId="14">
    <w:abstractNumId w:val="19"/>
  </w:num>
  <w:num w:numId="15">
    <w:abstractNumId w:val="20"/>
  </w:num>
  <w:num w:numId="16">
    <w:abstractNumId w:val="16"/>
  </w:num>
  <w:num w:numId="17">
    <w:abstractNumId w:val="12"/>
  </w:num>
  <w:num w:numId="18">
    <w:abstractNumId w:val="9"/>
  </w:num>
  <w:num w:numId="19">
    <w:abstractNumId w:val="7"/>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1182F"/>
    <w:rsid w:val="00020D0B"/>
    <w:rsid w:val="00031507"/>
    <w:rsid w:val="000316F0"/>
    <w:rsid w:val="00045EFC"/>
    <w:rsid w:val="000523B6"/>
    <w:rsid w:val="0005482A"/>
    <w:rsid w:val="000616D7"/>
    <w:rsid w:val="00066A0E"/>
    <w:rsid w:val="000708C2"/>
    <w:rsid w:val="00070DE4"/>
    <w:rsid w:val="00083BA0"/>
    <w:rsid w:val="0009289B"/>
    <w:rsid w:val="00093B51"/>
    <w:rsid w:val="000B2683"/>
    <w:rsid w:val="000B33D5"/>
    <w:rsid w:val="000C0FA2"/>
    <w:rsid w:val="000C56EF"/>
    <w:rsid w:val="000C5C7E"/>
    <w:rsid w:val="000D3114"/>
    <w:rsid w:val="000E076C"/>
    <w:rsid w:val="000E1779"/>
    <w:rsid w:val="000F796E"/>
    <w:rsid w:val="00112220"/>
    <w:rsid w:val="001141A8"/>
    <w:rsid w:val="00115EF7"/>
    <w:rsid w:val="001260F7"/>
    <w:rsid w:val="0013160F"/>
    <w:rsid w:val="0013482A"/>
    <w:rsid w:val="00144CC3"/>
    <w:rsid w:val="00145AA9"/>
    <w:rsid w:val="0015296A"/>
    <w:rsid w:val="001537C3"/>
    <w:rsid w:val="00157804"/>
    <w:rsid w:val="00162D19"/>
    <w:rsid w:val="00172B86"/>
    <w:rsid w:val="00174F23"/>
    <w:rsid w:val="00177B6C"/>
    <w:rsid w:val="001813E5"/>
    <w:rsid w:val="001910A7"/>
    <w:rsid w:val="001913D5"/>
    <w:rsid w:val="00193678"/>
    <w:rsid w:val="00194FF2"/>
    <w:rsid w:val="001A2D30"/>
    <w:rsid w:val="001B6934"/>
    <w:rsid w:val="001B6A4C"/>
    <w:rsid w:val="001C1241"/>
    <w:rsid w:val="001C1F34"/>
    <w:rsid w:val="001C27E6"/>
    <w:rsid w:val="001C457D"/>
    <w:rsid w:val="001D04A9"/>
    <w:rsid w:val="001D07E7"/>
    <w:rsid w:val="001D3392"/>
    <w:rsid w:val="001D5193"/>
    <w:rsid w:val="001D68C7"/>
    <w:rsid w:val="001E575F"/>
    <w:rsid w:val="001E74B8"/>
    <w:rsid w:val="0020109C"/>
    <w:rsid w:val="002112CE"/>
    <w:rsid w:val="0021284E"/>
    <w:rsid w:val="00236062"/>
    <w:rsid w:val="00237C96"/>
    <w:rsid w:val="002418F4"/>
    <w:rsid w:val="002460F3"/>
    <w:rsid w:val="002506EC"/>
    <w:rsid w:val="002541BF"/>
    <w:rsid w:val="00283257"/>
    <w:rsid w:val="00284221"/>
    <w:rsid w:val="00295951"/>
    <w:rsid w:val="002A072A"/>
    <w:rsid w:val="002A1ACF"/>
    <w:rsid w:val="002A2257"/>
    <w:rsid w:val="002A2AFD"/>
    <w:rsid w:val="002A3492"/>
    <w:rsid w:val="002A40BD"/>
    <w:rsid w:val="002A6176"/>
    <w:rsid w:val="002B3861"/>
    <w:rsid w:val="002C41C0"/>
    <w:rsid w:val="002E6E89"/>
    <w:rsid w:val="002F7685"/>
    <w:rsid w:val="00304376"/>
    <w:rsid w:val="003076B6"/>
    <w:rsid w:val="00314CA3"/>
    <w:rsid w:val="00316771"/>
    <w:rsid w:val="003168D9"/>
    <w:rsid w:val="00316B15"/>
    <w:rsid w:val="00317511"/>
    <w:rsid w:val="003215D6"/>
    <w:rsid w:val="00324322"/>
    <w:rsid w:val="00325E86"/>
    <w:rsid w:val="003313AE"/>
    <w:rsid w:val="0034304A"/>
    <w:rsid w:val="0034421B"/>
    <w:rsid w:val="003523B0"/>
    <w:rsid w:val="00360277"/>
    <w:rsid w:val="00373A81"/>
    <w:rsid w:val="00374551"/>
    <w:rsid w:val="00377C0B"/>
    <w:rsid w:val="00381281"/>
    <w:rsid w:val="00381B84"/>
    <w:rsid w:val="00390687"/>
    <w:rsid w:val="003914D1"/>
    <w:rsid w:val="00396647"/>
    <w:rsid w:val="0039723C"/>
    <w:rsid w:val="003A172E"/>
    <w:rsid w:val="003A3230"/>
    <w:rsid w:val="003A4DC0"/>
    <w:rsid w:val="003B6467"/>
    <w:rsid w:val="003B768C"/>
    <w:rsid w:val="003C1527"/>
    <w:rsid w:val="003C44C7"/>
    <w:rsid w:val="003C7A34"/>
    <w:rsid w:val="003E3ABF"/>
    <w:rsid w:val="003E41FE"/>
    <w:rsid w:val="0040517F"/>
    <w:rsid w:val="00405503"/>
    <w:rsid w:val="0041471B"/>
    <w:rsid w:val="004153B5"/>
    <w:rsid w:val="00417B15"/>
    <w:rsid w:val="00421A60"/>
    <w:rsid w:val="00430CD6"/>
    <w:rsid w:val="004379F4"/>
    <w:rsid w:val="00451EFC"/>
    <w:rsid w:val="004521F6"/>
    <w:rsid w:val="004548A2"/>
    <w:rsid w:val="004632E1"/>
    <w:rsid w:val="00480BD8"/>
    <w:rsid w:val="00491D7C"/>
    <w:rsid w:val="004957D9"/>
    <w:rsid w:val="00496C9A"/>
    <w:rsid w:val="004A7641"/>
    <w:rsid w:val="004B1672"/>
    <w:rsid w:val="004B4031"/>
    <w:rsid w:val="004C5D75"/>
    <w:rsid w:val="004D3A89"/>
    <w:rsid w:val="004D6AC3"/>
    <w:rsid w:val="004E0E9F"/>
    <w:rsid w:val="004F2172"/>
    <w:rsid w:val="004F5285"/>
    <w:rsid w:val="004F6DED"/>
    <w:rsid w:val="00500164"/>
    <w:rsid w:val="00500ED8"/>
    <w:rsid w:val="00503175"/>
    <w:rsid w:val="00506C33"/>
    <w:rsid w:val="005154B8"/>
    <w:rsid w:val="00517623"/>
    <w:rsid w:val="00520EE7"/>
    <w:rsid w:val="00526B52"/>
    <w:rsid w:val="00526DC9"/>
    <w:rsid w:val="00536FBF"/>
    <w:rsid w:val="00540985"/>
    <w:rsid w:val="005428A1"/>
    <w:rsid w:val="00552317"/>
    <w:rsid w:val="005676AA"/>
    <w:rsid w:val="00577005"/>
    <w:rsid w:val="005904F3"/>
    <w:rsid w:val="00594B13"/>
    <w:rsid w:val="005A1761"/>
    <w:rsid w:val="005B55DE"/>
    <w:rsid w:val="005C40A4"/>
    <w:rsid w:val="005E6E09"/>
    <w:rsid w:val="005E75B3"/>
    <w:rsid w:val="005F1DB8"/>
    <w:rsid w:val="005F6679"/>
    <w:rsid w:val="006050F9"/>
    <w:rsid w:val="0061110D"/>
    <w:rsid w:val="00620942"/>
    <w:rsid w:val="006524AD"/>
    <w:rsid w:val="0065579F"/>
    <w:rsid w:val="00670940"/>
    <w:rsid w:val="006733FA"/>
    <w:rsid w:val="0067430F"/>
    <w:rsid w:val="00676729"/>
    <w:rsid w:val="00677762"/>
    <w:rsid w:val="00685654"/>
    <w:rsid w:val="006963B9"/>
    <w:rsid w:val="006A09F8"/>
    <w:rsid w:val="006B56B9"/>
    <w:rsid w:val="006C6587"/>
    <w:rsid w:val="006C79DB"/>
    <w:rsid w:val="006D2C35"/>
    <w:rsid w:val="006D6380"/>
    <w:rsid w:val="006F54E9"/>
    <w:rsid w:val="007039EF"/>
    <w:rsid w:val="007051E5"/>
    <w:rsid w:val="00711CCC"/>
    <w:rsid w:val="007260FB"/>
    <w:rsid w:val="007348E2"/>
    <w:rsid w:val="007353AE"/>
    <w:rsid w:val="007369CF"/>
    <w:rsid w:val="00737C91"/>
    <w:rsid w:val="007513C0"/>
    <w:rsid w:val="00752A99"/>
    <w:rsid w:val="00775FEB"/>
    <w:rsid w:val="00777D59"/>
    <w:rsid w:val="00781073"/>
    <w:rsid w:val="0078197B"/>
    <w:rsid w:val="0078562E"/>
    <w:rsid w:val="00791EF3"/>
    <w:rsid w:val="00792250"/>
    <w:rsid w:val="007A179F"/>
    <w:rsid w:val="007B39C0"/>
    <w:rsid w:val="007C231A"/>
    <w:rsid w:val="007C3F3E"/>
    <w:rsid w:val="007C61AE"/>
    <w:rsid w:val="007D1AD6"/>
    <w:rsid w:val="007D4B4A"/>
    <w:rsid w:val="007D7FE4"/>
    <w:rsid w:val="007E6254"/>
    <w:rsid w:val="007E6F06"/>
    <w:rsid w:val="007F3805"/>
    <w:rsid w:val="007F7D92"/>
    <w:rsid w:val="00806CE6"/>
    <w:rsid w:val="008121DB"/>
    <w:rsid w:val="00813AE3"/>
    <w:rsid w:val="00825538"/>
    <w:rsid w:val="00833846"/>
    <w:rsid w:val="00837177"/>
    <w:rsid w:val="00840E11"/>
    <w:rsid w:val="0084125F"/>
    <w:rsid w:val="00862621"/>
    <w:rsid w:val="00876F63"/>
    <w:rsid w:val="00883756"/>
    <w:rsid w:val="00884979"/>
    <w:rsid w:val="00890E5B"/>
    <w:rsid w:val="00894020"/>
    <w:rsid w:val="008A3F89"/>
    <w:rsid w:val="008A44B0"/>
    <w:rsid w:val="008B2FEA"/>
    <w:rsid w:val="008B31F1"/>
    <w:rsid w:val="008B511E"/>
    <w:rsid w:val="008C161F"/>
    <w:rsid w:val="008C6899"/>
    <w:rsid w:val="008D2641"/>
    <w:rsid w:val="008D3360"/>
    <w:rsid w:val="008F2D2E"/>
    <w:rsid w:val="008F6F11"/>
    <w:rsid w:val="009009BD"/>
    <w:rsid w:val="00905F41"/>
    <w:rsid w:val="00910103"/>
    <w:rsid w:val="00912D9A"/>
    <w:rsid w:val="00915078"/>
    <w:rsid w:val="00922059"/>
    <w:rsid w:val="009236C1"/>
    <w:rsid w:val="00930C5D"/>
    <w:rsid w:val="0093632D"/>
    <w:rsid w:val="0094477A"/>
    <w:rsid w:val="00963431"/>
    <w:rsid w:val="009710DE"/>
    <w:rsid w:val="00973654"/>
    <w:rsid w:val="00982059"/>
    <w:rsid w:val="009853DC"/>
    <w:rsid w:val="009B4EEA"/>
    <w:rsid w:val="009C150F"/>
    <w:rsid w:val="009C48A1"/>
    <w:rsid w:val="009D535C"/>
    <w:rsid w:val="009E267F"/>
    <w:rsid w:val="009F3148"/>
    <w:rsid w:val="009F5783"/>
    <w:rsid w:val="00A020F0"/>
    <w:rsid w:val="00A1365E"/>
    <w:rsid w:val="00A167F9"/>
    <w:rsid w:val="00A17184"/>
    <w:rsid w:val="00A22108"/>
    <w:rsid w:val="00A32187"/>
    <w:rsid w:val="00A329B5"/>
    <w:rsid w:val="00A612A7"/>
    <w:rsid w:val="00A67A28"/>
    <w:rsid w:val="00A9121F"/>
    <w:rsid w:val="00A94686"/>
    <w:rsid w:val="00AB04F6"/>
    <w:rsid w:val="00AB3FE4"/>
    <w:rsid w:val="00AC5E60"/>
    <w:rsid w:val="00AC76F9"/>
    <w:rsid w:val="00AF0EC3"/>
    <w:rsid w:val="00B0135B"/>
    <w:rsid w:val="00B065B1"/>
    <w:rsid w:val="00B3036B"/>
    <w:rsid w:val="00B3344C"/>
    <w:rsid w:val="00B4195D"/>
    <w:rsid w:val="00B41B6A"/>
    <w:rsid w:val="00B43ACF"/>
    <w:rsid w:val="00B55997"/>
    <w:rsid w:val="00B56C44"/>
    <w:rsid w:val="00B60368"/>
    <w:rsid w:val="00B6576A"/>
    <w:rsid w:val="00B712CC"/>
    <w:rsid w:val="00B73F60"/>
    <w:rsid w:val="00B74ADB"/>
    <w:rsid w:val="00B77CF7"/>
    <w:rsid w:val="00B86F26"/>
    <w:rsid w:val="00B95C8F"/>
    <w:rsid w:val="00B965DF"/>
    <w:rsid w:val="00B96659"/>
    <w:rsid w:val="00BA15C3"/>
    <w:rsid w:val="00BA4BA9"/>
    <w:rsid w:val="00BB38A3"/>
    <w:rsid w:val="00BB441D"/>
    <w:rsid w:val="00BC2E73"/>
    <w:rsid w:val="00BD5371"/>
    <w:rsid w:val="00BE5086"/>
    <w:rsid w:val="00BF2118"/>
    <w:rsid w:val="00BF6CDD"/>
    <w:rsid w:val="00C0779E"/>
    <w:rsid w:val="00C10C61"/>
    <w:rsid w:val="00C11BD7"/>
    <w:rsid w:val="00C12C14"/>
    <w:rsid w:val="00C15182"/>
    <w:rsid w:val="00C208E2"/>
    <w:rsid w:val="00C278E8"/>
    <w:rsid w:val="00C335B6"/>
    <w:rsid w:val="00C33FAB"/>
    <w:rsid w:val="00C350F7"/>
    <w:rsid w:val="00C37D87"/>
    <w:rsid w:val="00C40FC6"/>
    <w:rsid w:val="00C42B4A"/>
    <w:rsid w:val="00C42E86"/>
    <w:rsid w:val="00C63515"/>
    <w:rsid w:val="00C70E05"/>
    <w:rsid w:val="00C74205"/>
    <w:rsid w:val="00C81B2E"/>
    <w:rsid w:val="00C84DF5"/>
    <w:rsid w:val="00C963E5"/>
    <w:rsid w:val="00C97980"/>
    <w:rsid w:val="00CA5CEF"/>
    <w:rsid w:val="00CB3173"/>
    <w:rsid w:val="00CB60B3"/>
    <w:rsid w:val="00CC5472"/>
    <w:rsid w:val="00CD0ADB"/>
    <w:rsid w:val="00CE0718"/>
    <w:rsid w:val="00CE0740"/>
    <w:rsid w:val="00CE5130"/>
    <w:rsid w:val="00CE67B6"/>
    <w:rsid w:val="00CE6811"/>
    <w:rsid w:val="00CE6F80"/>
    <w:rsid w:val="00CF0679"/>
    <w:rsid w:val="00CF1BFD"/>
    <w:rsid w:val="00D00455"/>
    <w:rsid w:val="00D03151"/>
    <w:rsid w:val="00D132EA"/>
    <w:rsid w:val="00D20183"/>
    <w:rsid w:val="00D23B46"/>
    <w:rsid w:val="00D24D1B"/>
    <w:rsid w:val="00D312E6"/>
    <w:rsid w:val="00D31432"/>
    <w:rsid w:val="00D35F49"/>
    <w:rsid w:val="00D37097"/>
    <w:rsid w:val="00D50A27"/>
    <w:rsid w:val="00D60BC0"/>
    <w:rsid w:val="00D74612"/>
    <w:rsid w:val="00D74E8B"/>
    <w:rsid w:val="00D906EB"/>
    <w:rsid w:val="00D90B1D"/>
    <w:rsid w:val="00D96634"/>
    <w:rsid w:val="00DA1A8C"/>
    <w:rsid w:val="00DA2624"/>
    <w:rsid w:val="00DA28B6"/>
    <w:rsid w:val="00DA6096"/>
    <w:rsid w:val="00DB14E8"/>
    <w:rsid w:val="00DB402E"/>
    <w:rsid w:val="00DB5F6A"/>
    <w:rsid w:val="00DB6539"/>
    <w:rsid w:val="00DB6772"/>
    <w:rsid w:val="00DC76A5"/>
    <w:rsid w:val="00DD204D"/>
    <w:rsid w:val="00DD72F6"/>
    <w:rsid w:val="00DF0F05"/>
    <w:rsid w:val="00DF7947"/>
    <w:rsid w:val="00E001E1"/>
    <w:rsid w:val="00E03171"/>
    <w:rsid w:val="00E0521D"/>
    <w:rsid w:val="00E068BD"/>
    <w:rsid w:val="00E14E7C"/>
    <w:rsid w:val="00E2058B"/>
    <w:rsid w:val="00E223DB"/>
    <w:rsid w:val="00E249EB"/>
    <w:rsid w:val="00E315FA"/>
    <w:rsid w:val="00E32E33"/>
    <w:rsid w:val="00E351E2"/>
    <w:rsid w:val="00E44BE6"/>
    <w:rsid w:val="00E632D9"/>
    <w:rsid w:val="00E63624"/>
    <w:rsid w:val="00E63A19"/>
    <w:rsid w:val="00E65AF7"/>
    <w:rsid w:val="00E660E2"/>
    <w:rsid w:val="00E7177C"/>
    <w:rsid w:val="00E93C65"/>
    <w:rsid w:val="00E95A68"/>
    <w:rsid w:val="00EA0F1F"/>
    <w:rsid w:val="00EA5C08"/>
    <w:rsid w:val="00EC20EB"/>
    <w:rsid w:val="00EC62F3"/>
    <w:rsid w:val="00ED2B96"/>
    <w:rsid w:val="00EE0C92"/>
    <w:rsid w:val="00EE2E6E"/>
    <w:rsid w:val="00EE45A6"/>
    <w:rsid w:val="00EE66AA"/>
    <w:rsid w:val="00EF1BBA"/>
    <w:rsid w:val="00F06AD0"/>
    <w:rsid w:val="00F12B9B"/>
    <w:rsid w:val="00F135A2"/>
    <w:rsid w:val="00F26C9A"/>
    <w:rsid w:val="00F319F2"/>
    <w:rsid w:val="00F47E8B"/>
    <w:rsid w:val="00F61DC8"/>
    <w:rsid w:val="00F62A5C"/>
    <w:rsid w:val="00F7589B"/>
    <w:rsid w:val="00F7601E"/>
    <w:rsid w:val="00F76E91"/>
    <w:rsid w:val="00F82068"/>
    <w:rsid w:val="00F83555"/>
    <w:rsid w:val="00F943DD"/>
    <w:rsid w:val="00FA16A1"/>
    <w:rsid w:val="00FA2B4A"/>
    <w:rsid w:val="00FA3280"/>
    <w:rsid w:val="00FB1FD7"/>
    <w:rsid w:val="00FB6508"/>
    <w:rsid w:val="00FC08B0"/>
    <w:rsid w:val="00FC2081"/>
    <w:rsid w:val="00FC22B1"/>
    <w:rsid w:val="00FC5E16"/>
    <w:rsid w:val="00FD2117"/>
    <w:rsid w:val="00FD2BA9"/>
    <w:rsid w:val="00FE1C40"/>
    <w:rsid w:val="00FE1EDF"/>
    <w:rsid w:val="00FE3DD4"/>
    <w:rsid w:val="00FE5C0C"/>
    <w:rsid w:val="00FF0A68"/>
    <w:rsid w:val="00FF145F"/>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F9478"/>
  <w15:docId w15:val="{F7FC96CB-3CDF-41E1-92DB-3A2BF43A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cp:revision>
  <cp:lastPrinted>2021-10-21T06:00:00Z</cp:lastPrinted>
  <dcterms:created xsi:type="dcterms:W3CDTF">2024-07-22T07:10:00Z</dcterms:created>
  <dcterms:modified xsi:type="dcterms:W3CDTF">2024-07-22T07:10:00Z</dcterms:modified>
</cp:coreProperties>
</file>