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404" w:rsidRDefault="00B16FC9" w:rsidP="00C2440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ZIMBABWE REVENUE AUTHORITY </w:t>
      </w:r>
    </w:p>
    <w:p w:rsidR="00B16FC9" w:rsidRDefault="00B16FC9"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16FC9" w:rsidRDefault="00B16FC9"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REGIONAL MANAGER </w:t>
      </w:r>
    </w:p>
    <w:p w:rsidR="00B16FC9" w:rsidRDefault="00B16FC9"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(ZIMRA FORBES ENVIRONS REGIONS)</w:t>
      </w:r>
    </w:p>
    <w:p w:rsidR="00B16FC9" w:rsidRDefault="00B16FC9"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16FC9" w:rsidRDefault="00B16FC9"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(ZIMRA)</w:t>
      </w:r>
    </w:p>
    <w:p w:rsidR="00B16FC9" w:rsidRDefault="00B16FC9"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24404" w:rsidRDefault="00C24404"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42411" w:rsidRDefault="00D60640"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EZEKIEL MASAMVU</w:t>
      </w:r>
    </w:p>
    <w:p w:rsidR="00842411" w:rsidRDefault="00D60640"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42411" w:rsidRDefault="00D60640"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ENOCK CHIBATI</w:t>
      </w:r>
    </w:p>
    <w:p w:rsidR="00AB0A71" w:rsidRDefault="000C5A2F" w:rsidP="000C5A2F">
      <w:pPr>
        <w:tabs>
          <w:tab w:val="left" w:pos="17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D4CEF" w:rsidRDefault="008D4CEF"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0C5A2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AB0A71">
        <w:rPr>
          <w:rFonts w:ascii="Times New Roman" w:hAnsi="Times New Roman" w:cs="Times New Roman"/>
          <w:sz w:val="24"/>
          <w:szCs w:val="24"/>
        </w:rPr>
        <w:t>MUZENDA J</w:t>
      </w:r>
      <w:r>
        <w:rPr>
          <w:rFonts w:ascii="Times New Roman" w:hAnsi="Times New Roman" w:cs="Times New Roman"/>
          <w:sz w:val="24"/>
          <w:szCs w:val="24"/>
        </w:rPr>
        <w:t>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A6369D">
        <w:rPr>
          <w:rFonts w:ascii="Times New Roman" w:hAnsi="Times New Roman" w:cs="Times New Roman"/>
          <w:sz w:val="24"/>
          <w:szCs w:val="24"/>
        </w:rPr>
        <w:t>25</w:t>
      </w:r>
      <w:r w:rsidR="00180C42">
        <w:rPr>
          <w:rFonts w:ascii="Times New Roman" w:hAnsi="Times New Roman" w:cs="Times New Roman"/>
          <w:sz w:val="24"/>
          <w:szCs w:val="24"/>
        </w:rPr>
        <w:t xml:space="preserve"> March 2020</w:t>
      </w:r>
      <w:r w:rsidR="003E7B9B">
        <w:rPr>
          <w:rFonts w:ascii="Times New Roman" w:hAnsi="Times New Roman" w:cs="Times New Roman"/>
          <w:sz w:val="24"/>
          <w:szCs w:val="24"/>
        </w:rPr>
        <w:t xml:space="preserve"> and 2 July 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A6369D"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Civil Appeal </w:t>
      </w:r>
    </w:p>
    <w:p w:rsidR="007A4F08" w:rsidRDefault="007A4F08" w:rsidP="00512C69">
      <w:pPr>
        <w:spacing w:after="0" w:line="240" w:lineRule="auto"/>
        <w:rPr>
          <w:rFonts w:ascii="Times New Roman" w:hAnsi="Times New Roman" w:cs="Times New Roman"/>
          <w:b/>
          <w:sz w:val="24"/>
          <w:szCs w:val="24"/>
        </w:rPr>
      </w:pPr>
    </w:p>
    <w:p w:rsidR="007A4F08" w:rsidRDefault="007A4F08" w:rsidP="00512C69">
      <w:pPr>
        <w:spacing w:after="0" w:line="240" w:lineRule="auto"/>
        <w:rPr>
          <w:rFonts w:ascii="Times New Roman" w:hAnsi="Times New Roman" w:cs="Times New Roman"/>
          <w:b/>
          <w:sz w:val="24"/>
          <w:szCs w:val="24"/>
        </w:rPr>
      </w:pPr>
    </w:p>
    <w:p w:rsidR="007A4F08" w:rsidRDefault="007A4F08"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J Zviuya</w:t>
      </w:r>
      <w:r>
        <w:rPr>
          <w:rFonts w:ascii="Times New Roman" w:hAnsi="Times New Roman" w:cs="Times New Roman"/>
          <w:sz w:val="24"/>
          <w:szCs w:val="24"/>
        </w:rPr>
        <w:t xml:space="preserve">, for the appellants </w:t>
      </w:r>
    </w:p>
    <w:p w:rsidR="007A4F08" w:rsidRPr="007A4F08" w:rsidRDefault="007A4F08"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H. B. R. T Tanaya</w:t>
      </w:r>
      <w:r>
        <w:rPr>
          <w:rFonts w:ascii="Times New Roman" w:hAnsi="Times New Roman" w:cs="Times New Roman"/>
          <w:sz w:val="24"/>
          <w:szCs w:val="24"/>
        </w:rPr>
        <w:t xml:space="preserve">, for the respondents </w:t>
      </w:r>
    </w:p>
    <w:p w:rsidR="00AD4ACA" w:rsidRDefault="00AD4ACA" w:rsidP="00512C69">
      <w:pPr>
        <w:spacing w:after="0" w:line="240" w:lineRule="auto"/>
        <w:rPr>
          <w:rFonts w:ascii="Times New Roman" w:hAnsi="Times New Roman" w:cs="Times New Roman"/>
          <w:b/>
          <w:sz w:val="24"/>
          <w:szCs w:val="24"/>
        </w:rPr>
      </w:pPr>
    </w:p>
    <w:p w:rsidR="00AD4ACA" w:rsidRDefault="00AD4ACA" w:rsidP="00512C69">
      <w:pPr>
        <w:spacing w:after="0" w:line="240" w:lineRule="auto"/>
        <w:rPr>
          <w:rFonts w:ascii="Times New Roman" w:hAnsi="Times New Roman" w:cs="Times New Roman"/>
          <w:b/>
          <w:sz w:val="24"/>
          <w:szCs w:val="24"/>
        </w:rPr>
      </w:pPr>
    </w:p>
    <w:p w:rsidR="00044D60" w:rsidRDefault="00921977" w:rsidP="007A4F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440C">
        <w:rPr>
          <w:rFonts w:ascii="Times New Roman" w:hAnsi="Times New Roman" w:cs="Times New Roman"/>
          <w:sz w:val="24"/>
          <w:szCs w:val="24"/>
        </w:rPr>
        <w:t xml:space="preserve">MUZENDA J: </w:t>
      </w:r>
      <w:r w:rsidR="007A4F08">
        <w:rPr>
          <w:rFonts w:ascii="Times New Roman" w:hAnsi="Times New Roman" w:cs="Times New Roman"/>
          <w:sz w:val="24"/>
          <w:szCs w:val="24"/>
        </w:rPr>
        <w:t>This is an appeal</w:t>
      </w:r>
      <w:r w:rsidR="0023590F">
        <w:rPr>
          <w:rFonts w:ascii="Times New Roman" w:hAnsi="Times New Roman" w:cs="Times New Roman"/>
          <w:sz w:val="24"/>
          <w:szCs w:val="24"/>
        </w:rPr>
        <w:t xml:space="preserve"> filed by the appellants against the judgment of the magistrate sitting at Mutasa on 30 April 2019 and the appellants outlined the grounds of appeal as follows: </w:t>
      </w:r>
    </w:p>
    <w:p w:rsidR="0085674F" w:rsidRDefault="0085674F" w:rsidP="007A4F08">
      <w:pPr>
        <w:spacing w:after="0" w:line="360" w:lineRule="auto"/>
        <w:jc w:val="both"/>
        <w:rPr>
          <w:rFonts w:ascii="Times New Roman" w:hAnsi="Times New Roman" w:cs="Times New Roman"/>
          <w:sz w:val="24"/>
          <w:szCs w:val="24"/>
        </w:rPr>
      </w:pPr>
    </w:p>
    <w:p w:rsidR="0085674F" w:rsidRDefault="0085674F" w:rsidP="007A4F0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GROUNDS OF APPEAL</w:t>
      </w:r>
    </w:p>
    <w:p w:rsidR="0085674F" w:rsidRDefault="0085674F" w:rsidP="0085674F">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grossly erred and misdirected himself on facts and law in concluding that the appellants had been properly cited and that the Notice of Intention to sue was properly served in this matter and in purporting to condone the improper citation and the purported service </w:t>
      </w:r>
      <w:r>
        <w:rPr>
          <w:rFonts w:ascii="Times New Roman" w:hAnsi="Times New Roman" w:cs="Times New Roman"/>
          <w:i/>
          <w:sz w:val="24"/>
          <w:szCs w:val="24"/>
        </w:rPr>
        <w:t>mero motu</w:t>
      </w:r>
      <w:r>
        <w:rPr>
          <w:rFonts w:ascii="Times New Roman" w:hAnsi="Times New Roman" w:cs="Times New Roman"/>
          <w:sz w:val="24"/>
          <w:szCs w:val="24"/>
        </w:rPr>
        <w:t xml:space="preserve">. </w:t>
      </w:r>
    </w:p>
    <w:p w:rsidR="00044D60" w:rsidRDefault="0001150A" w:rsidP="0001150A">
      <w:pPr>
        <w:pStyle w:val="ListParagraph"/>
        <w:numPr>
          <w:ilvl w:val="0"/>
          <w:numId w:val="38"/>
        </w:numPr>
        <w:spacing w:after="0" w:line="360" w:lineRule="auto"/>
        <w:jc w:val="both"/>
        <w:rPr>
          <w:rFonts w:ascii="Times New Roman" w:hAnsi="Times New Roman" w:cs="Times New Roman"/>
          <w:sz w:val="24"/>
          <w:szCs w:val="24"/>
        </w:rPr>
      </w:pPr>
      <w:r w:rsidRPr="0001150A">
        <w:rPr>
          <w:rFonts w:ascii="Times New Roman" w:hAnsi="Times New Roman" w:cs="Times New Roman"/>
          <w:sz w:val="24"/>
          <w:szCs w:val="24"/>
        </w:rPr>
        <w:t>The Learned Magistrate grossly erred and misdirected himself</w:t>
      </w:r>
      <w:r>
        <w:rPr>
          <w:rFonts w:ascii="Times New Roman" w:hAnsi="Times New Roman" w:cs="Times New Roman"/>
          <w:sz w:val="24"/>
          <w:szCs w:val="24"/>
        </w:rPr>
        <w:t xml:space="preserve"> on facts and law in concluding that the respondents had exhausted domestic remedies prior to approaching the Magistrates Court for relief. </w:t>
      </w:r>
    </w:p>
    <w:p w:rsidR="0001150A" w:rsidRDefault="0001150A" w:rsidP="0001150A">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grossly erred and misdirected </w:t>
      </w:r>
      <w:r w:rsidR="00701FE0">
        <w:rPr>
          <w:rFonts w:ascii="Times New Roman" w:hAnsi="Times New Roman" w:cs="Times New Roman"/>
          <w:sz w:val="24"/>
          <w:szCs w:val="24"/>
        </w:rPr>
        <w:t xml:space="preserve">himself on facts and law in concluding that there were no material disputes of facts in the matter. </w:t>
      </w:r>
    </w:p>
    <w:p w:rsidR="00701FE0" w:rsidRDefault="00701FE0" w:rsidP="0001150A">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Learned Magistrate grossly erred and misdirected himself on facts and the law in concluding that respon</w:t>
      </w:r>
      <w:r w:rsidR="00915E39">
        <w:rPr>
          <w:rFonts w:ascii="Times New Roman" w:hAnsi="Times New Roman" w:cs="Times New Roman"/>
          <w:sz w:val="24"/>
          <w:szCs w:val="24"/>
        </w:rPr>
        <w:t>dents did not smuggle the goods/</w:t>
      </w:r>
      <w:r>
        <w:rPr>
          <w:rFonts w:ascii="Times New Roman" w:hAnsi="Times New Roman" w:cs="Times New Roman"/>
          <w:sz w:val="24"/>
          <w:szCs w:val="24"/>
        </w:rPr>
        <w:t>sugar when there was overwhelming evide</w:t>
      </w:r>
      <w:r w:rsidR="00915E39">
        <w:rPr>
          <w:rFonts w:ascii="Times New Roman" w:hAnsi="Times New Roman" w:cs="Times New Roman"/>
          <w:sz w:val="24"/>
          <w:szCs w:val="24"/>
        </w:rPr>
        <w:t>nce which proved that the goods/</w:t>
      </w:r>
      <w:r>
        <w:rPr>
          <w:rFonts w:ascii="Times New Roman" w:hAnsi="Times New Roman" w:cs="Times New Roman"/>
          <w:sz w:val="24"/>
          <w:szCs w:val="24"/>
        </w:rPr>
        <w:t xml:space="preserve">sugar were smuggled. </w:t>
      </w:r>
    </w:p>
    <w:p w:rsidR="00701FE0" w:rsidRDefault="00701FE0" w:rsidP="0001150A">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grossly erred and misdirected himself on facts and the law in ordering the release of the seized sugar in circumstances where the notice of seizure was never challenged in terms of the requisite tax legislation and the respondents failed to discharge the onus upon them by the law to the satisfaction of the appellants. </w:t>
      </w:r>
    </w:p>
    <w:p w:rsidR="00345644" w:rsidRDefault="00345644" w:rsidP="0001150A">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grossly erred and misdirected himself on the law in failing to appreciate that he is at law not empowered to determine the validity or review of the Notice of seizure.</w:t>
      </w:r>
    </w:p>
    <w:p w:rsidR="00E0752D" w:rsidRDefault="00E0752D" w:rsidP="00E0752D">
      <w:pPr>
        <w:spacing w:after="0" w:line="360" w:lineRule="auto"/>
        <w:jc w:val="both"/>
        <w:rPr>
          <w:rFonts w:ascii="Times New Roman" w:hAnsi="Times New Roman" w:cs="Times New Roman"/>
          <w:sz w:val="24"/>
          <w:szCs w:val="24"/>
        </w:rPr>
      </w:pPr>
    </w:p>
    <w:p w:rsidR="00E0752D" w:rsidRDefault="00E0752D" w:rsidP="00E0752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BACKGROUND FACTS </w:t>
      </w:r>
    </w:p>
    <w:p w:rsidR="004105D1" w:rsidRDefault="00E0752D" w:rsidP="00E075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738C">
        <w:rPr>
          <w:rFonts w:ascii="Times New Roman" w:hAnsi="Times New Roman" w:cs="Times New Roman"/>
          <w:sz w:val="24"/>
          <w:szCs w:val="24"/>
        </w:rPr>
        <w:t xml:space="preserve">The first respondent, </w:t>
      </w:r>
      <w:r w:rsidR="00915E39">
        <w:rPr>
          <w:rFonts w:ascii="Times New Roman" w:hAnsi="Times New Roman" w:cs="Times New Roman"/>
          <w:sz w:val="24"/>
          <w:szCs w:val="24"/>
        </w:rPr>
        <w:t>Ezekiel</w:t>
      </w:r>
      <w:r w:rsidR="00F1738C">
        <w:rPr>
          <w:rFonts w:ascii="Times New Roman" w:hAnsi="Times New Roman" w:cs="Times New Roman"/>
          <w:sz w:val="24"/>
          <w:szCs w:val="24"/>
        </w:rPr>
        <w:t xml:space="preserve"> Masamvu, had hi</w:t>
      </w:r>
      <w:r w:rsidR="00915E39">
        <w:rPr>
          <w:rFonts w:ascii="Times New Roman" w:hAnsi="Times New Roman" w:cs="Times New Roman"/>
          <w:sz w:val="24"/>
          <w:szCs w:val="24"/>
        </w:rPr>
        <w:t>S</w:t>
      </w:r>
      <w:r w:rsidR="00F1738C">
        <w:rPr>
          <w:rFonts w:ascii="Times New Roman" w:hAnsi="Times New Roman" w:cs="Times New Roman"/>
          <w:sz w:val="24"/>
          <w:szCs w:val="24"/>
        </w:rPr>
        <w:t xml:space="preserve"> sugar packaged in Portuguese inscribed satchels seized by first appellant’s officers. Both respondents appeared at Mutasa Magistrates </w:t>
      </w:r>
      <w:r w:rsidR="00CA038F">
        <w:rPr>
          <w:rFonts w:ascii="Times New Roman" w:hAnsi="Times New Roman" w:cs="Times New Roman"/>
          <w:sz w:val="24"/>
          <w:szCs w:val="24"/>
        </w:rPr>
        <w:t xml:space="preserve">Court for criminal </w:t>
      </w:r>
      <w:r w:rsidR="00C37169">
        <w:rPr>
          <w:rFonts w:ascii="Times New Roman" w:hAnsi="Times New Roman" w:cs="Times New Roman"/>
          <w:sz w:val="24"/>
          <w:szCs w:val="24"/>
        </w:rPr>
        <w:t>charges</w:t>
      </w:r>
      <w:r w:rsidR="00CA038F">
        <w:rPr>
          <w:rFonts w:ascii="Times New Roman" w:hAnsi="Times New Roman" w:cs="Times New Roman"/>
          <w:sz w:val="24"/>
          <w:szCs w:val="24"/>
        </w:rPr>
        <w:t xml:space="preserve"> of being found with goods not duly accounted for, the state had abandoned the original charge of smuggling in respect </w:t>
      </w:r>
      <w:r w:rsidR="00527284">
        <w:rPr>
          <w:rFonts w:ascii="Times New Roman" w:hAnsi="Times New Roman" w:cs="Times New Roman"/>
          <w:sz w:val="24"/>
          <w:szCs w:val="24"/>
        </w:rPr>
        <w:t>of first respondent, the state also charged</w:t>
      </w:r>
      <w:r w:rsidR="0004230F">
        <w:rPr>
          <w:rFonts w:ascii="Times New Roman" w:hAnsi="Times New Roman" w:cs="Times New Roman"/>
          <w:sz w:val="24"/>
          <w:szCs w:val="24"/>
        </w:rPr>
        <w:t xml:space="preserve"> first respondent herein with s 4 (1) (b) (ii) as read with s 5 of the Food and Food Standards Act [</w:t>
      </w:r>
      <w:r w:rsidR="0004230F">
        <w:rPr>
          <w:rFonts w:ascii="Times New Roman" w:hAnsi="Times New Roman" w:cs="Times New Roman"/>
          <w:i/>
          <w:sz w:val="24"/>
          <w:szCs w:val="24"/>
        </w:rPr>
        <w:t>Chapter 15:04</w:t>
      </w:r>
      <w:r w:rsidR="0004230F">
        <w:rPr>
          <w:rFonts w:ascii="Times New Roman" w:hAnsi="Times New Roman" w:cs="Times New Roman"/>
          <w:sz w:val="24"/>
          <w:szCs w:val="24"/>
        </w:rPr>
        <w:t>]</w:t>
      </w:r>
      <w:r w:rsidR="004105D1">
        <w:rPr>
          <w:rFonts w:ascii="Times New Roman" w:hAnsi="Times New Roman" w:cs="Times New Roman"/>
          <w:sz w:val="24"/>
          <w:szCs w:val="24"/>
        </w:rPr>
        <w:t xml:space="preserve">, for false </w:t>
      </w:r>
      <w:r w:rsidR="00115894">
        <w:rPr>
          <w:rFonts w:ascii="Times New Roman" w:hAnsi="Times New Roman" w:cs="Times New Roman"/>
          <w:sz w:val="24"/>
          <w:szCs w:val="24"/>
        </w:rPr>
        <w:t xml:space="preserve">description </w:t>
      </w:r>
      <w:r w:rsidR="004105D1">
        <w:rPr>
          <w:rFonts w:ascii="Times New Roman" w:hAnsi="Times New Roman" w:cs="Times New Roman"/>
          <w:sz w:val="24"/>
          <w:szCs w:val="24"/>
        </w:rPr>
        <w:t>of goods.</w:t>
      </w:r>
    </w:p>
    <w:p w:rsidR="00B56D7F" w:rsidRDefault="004105D1" w:rsidP="00E075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5894">
        <w:rPr>
          <w:rFonts w:ascii="Times New Roman" w:hAnsi="Times New Roman" w:cs="Times New Roman"/>
          <w:sz w:val="24"/>
          <w:szCs w:val="24"/>
        </w:rPr>
        <w:t>The respondents were acquitted on the charge in terms of the Act, however first respondent pleaded guilty to the charge involving false description</w:t>
      </w:r>
      <w:r w:rsidR="004F70C3">
        <w:rPr>
          <w:rFonts w:ascii="Times New Roman" w:hAnsi="Times New Roman" w:cs="Times New Roman"/>
          <w:sz w:val="24"/>
          <w:szCs w:val="24"/>
        </w:rPr>
        <w:t xml:space="preserve"> of goods. The criminal court at Mutasa ordered the state to immediately release the sugar to the respondents, on condition that the sugar would not be sold in the offensive Portuguese packaging. The appellant</w:t>
      </w:r>
      <w:r w:rsidR="003C097A">
        <w:rPr>
          <w:rFonts w:ascii="Times New Roman" w:hAnsi="Times New Roman" w:cs="Times New Roman"/>
          <w:sz w:val="24"/>
          <w:szCs w:val="24"/>
        </w:rPr>
        <w:t xml:space="preserve">s refused to release the sugar. Having been acquitted of violating the Act, the respondents approached the court </w:t>
      </w:r>
      <w:r w:rsidR="003C097A">
        <w:rPr>
          <w:rFonts w:ascii="Times New Roman" w:hAnsi="Times New Roman" w:cs="Times New Roman"/>
          <w:i/>
          <w:sz w:val="24"/>
          <w:szCs w:val="24"/>
        </w:rPr>
        <w:t>a quo</w:t>
      </w:r>
      <w:r w:rsidR="003C097A">
        <w:rPr>
          <w:rFonts w:ascii="Times New Roman" w:hAnsi="Times New Roman" w:cs="Times New Roman"/>
          <w:sz w:val="24"/>
          <w:szCs w:val="24"/>
        </w:rPr>
        <w:t xml:space="preserve"> for the release of the sugar in terms of s 193 (9) of the Customs and excise Act. The magistrates court made a finding that the appellants release the sugar to the respondents. </w:t>
      </w:r>
      <w:r w:rsidR="00006D67">
        <w:rPr>
          <w:rFonts w:ascii="Times New Roman" w:hAnsi="Times New Roman" w:cs="Times New Roman"/>
          <w:sz w:val="24"/>
          <w:szCs w:val="24"/>
        </w:rPr>
        <w:t xml:space="preserve">It is that order which the appellants seek to be set aside on appeal. The appeal is opposed. </w:t>
      </w:r>
      <w:r w:rsidR="0011589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35726" w:rsidRDefault="00B56D7F" w:rsidP="00E075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 xml:space="preserve">HBRT Tanaya </w:t>
      </w:r>
      <w:r>
        <w:rPr>
          <w:rFonts w:ascii="Times New Roman" w:hAnsi="Times New Roman" w:cs="Times New Roman"/>
          <w:sz w:val="24"/>
          <w:szCs w:val="24"/>
        </w:rPr>
        <w:t>for the respondents raised p</w:t>
      </w:r>
      <w:r w:rsidR="00915E39">
        <w:rPr>
          <w:rFonts w:ascii="Times New Roman" w:hAnsi="Times New Roman" w:cs="Times New Roman"/>
          <w:sz w:val="24"/>
          <w:szCs w:val="24"/>
        </w:rPr>
        <w:t>O</w:t>
      </w:r>
      <w:r>
        <w:rPr>
          <w:rFonts w:ascii="Times New Roman" w:hAnsi="Times New Roman" w:cs="Times New Roman"/>
          <w:sz w:val="24"/>
          <w:szCs w:val="24"/>
        </w:rPr>
        <w:t xml:space="preserve">ints </w:t>
      </w:r>
      <w:r>
        <w:rPr>
          <w:rFonts w:ascii="Times New Roman" w:hAnsi="Times New Roman" w:cs="Times New Roman"/>
          <w:i/>
          <w:sz w:val="24"/>
          <w:szCs w:val="24"/>
        </w:rPr>
        <w:t>in limine</w:t>
      </w:r>
      <w:r>
        <w:rPr>
          <w:rFonts w:ascii="Times New Roman" w:hAnsi="Times New Roman" w:cs="Times New Roman"/>
          <w:sz w:val="24"/>
          <w:szCs w:val="24"/>
        </w:rPr>
        <w:t xml:space="preserve"> relating to the defective grounds of appeal and submitted that if these</w:t>
      </w:r>
      <w:r w:rsidR="00FE5BE3">
        <w:rPr>
          <w:rFonts w:ascii="Times New Roman" w:hAnsi="Times New Roman" w:cs="Times New Roman"/>
          <w:sz w:val="24"/>
          <w:szCs w:val="24"/>
        </w:rPr>
        <w:t xml:space="preserve"> points are upheld by us the unavoidable consequence will be to strike off the appeal from the roll.  </w:t>
      </w:r>
    </w:p>
    <w:p w:rsidR="002176C3" w:rsidRDefault="00635726" w:rsidP="00E075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2176C3">
        <w:rPr>
          <w:rFonts w:ascii="Times New Roman" w:hAnsi="Times New Roman" w:cs="Times New Roman"/>
          <w:sz w:val="24"/>
          <w:szCs w:val="24"/>
        </w:rPr>
        <w:t>first ground of appeal requires qu</w:t>
      </w:r>
      <w:r w:rsidR="00915E39">
        <w:rPr>
          <w:rFonts w:ascii="Times New Roman" w:hAnsi="Times New Roman" w:cs="Times New Roman"/>
          <w:sz w:val="24"/>
          <w:szCs w:val="24"/>
        </w:rPr>
        <w:t>o</w:t>
      </w:r>
      <w:r w:rsidR="002176C3">
        <w:rPr>
          <w:rFonts w:ascii="Times New Roman" w:hAnsi="Times New Roman" w:cs="Times New Roman"/>
          <w:sz w:val="24"/>
          <w:szCs w:val="24"/>
        </w:rPr>
        <w:t xml:space="preserve">ting </w:t>
      </w:r>
      <w:r w:rsidR="002176C3" w:rsidRPr="00915E39">
        <w:rPr>
          <w:rFonts w:ascii="Times New Roman" w:hAnsi="Times New Roman" w:cs="Times New Roman"/>
          <w:i/>
          <w:sz w:val="24"/>
          <w:szCs w:val="24"/>
        </w:rPr>
        <w:t>verbatim</w:t>
      </w:r>
      <w:r w:rsidR="002176C3">
        <w:rPr>
          <w:rFonts w:ascii="Times New Roman" w:hAnsi="Times New Roman" w:cs="Times New Roman"/>
          <w:sz w:val="24"/>
          <w:szCs w:val="24"/>
        </w:rPr>
        <w:t xml:space="preserve">: </w:t>
      </w:r>
    </w:p>
    <w:p w:rsidR="00E0752D" w:rsidRPr="00915E39" w:rsidRDefault="00C9439C" w:rsidP="00C9439C">
      <w:pPr>
        <w:spacing w:after="0" w:line="240" w:lineRule="auto"/>
        <w:ind w:left="720"/>
        <w:jc w:val="both"/>
        <w:rPr>
          <w:rFonts w:ascii="Times New Roman" w:hAnsi="Times New Roman" w:cs="Times New Roman"/>
          <w:i/>
        </w:rPr>
      </w:pPr>
      <w:r w:rsidRPr="00915E39">
        <w:rPr>
          <w:rFonts w:ascii="Times New Roman" w:hAnsi="Times New Roman" w:cs="Times New Roman"/>
          <w:i/>
        </w:rPr>
        <w:t>“The Learned Magistrate grossly erred and misdirected himself</w:t>
      </w:r>
      <w:r w:rsidR="00F1738C" w:rsidRPr="00915E39">
        <w:rPr>
          <w:rFonts w:ascii="Times New Roman" w:hAnsi="Times New Roman" w:cs="Times New Roman"/>
          <w:i/>
        </w:rPr>
        <w:t xml:space="preserve"> </w:t>
      </w:r>
      <w:r w:rsidRPr="00915E39">
        <w:rPr>
          <w:rFonts w:ascii="Times New Roman" w:hAnsi="Times New Roman" w:cs="Times New Roman"/>
          <w:i/>
        </w:rPr>
        <w:t>on facts and law in concluding that the appellants had been properly cited and that the Notice of Intention to sue was properly served in this matter and in purporting to condone the improper citation and the purported service mero motu”</w:t>
      </w:r>
    </w:p>
    <w:p w:rsidR="00C9439C" w:rsidRDefault="00131B07" w:rsidP="00131B07">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The respondents submitted that this is not </w:t>
      </w:r>
      <w:r w:rsidR="00E269F3">
        <w:rPr>
          <w:rFonts w:ascii="Times New Roman" w:hAnsi="Times New Roman" w:cs="Times New Roman"/>
          <w:sz w:val="24"/>
        </w:rPr>
        <w:t>a valid</w:t>
      </w:r>
      <w:r>
        <w:rPr>
          <w:rFonts w:ascii="Times New Roman" w:hAnsi="Times New Roman" w:cs="Times New Roman"/>
          <w:sz w:val="24"/>
        </w:rPr>
        <w:t xml:space="preserve"> ground of appeal as</w:t>
      </w:r>
      <w:r w:rsidR="00E269F3">
        <w:rPr>
          <w:rFonts w:ascii="Times New Roman" w:hAnsi="Times New Roman" w:cs="Times New Roman"/>
          <w:sz w:val="24"/>
        </w:rPr>
        <w:t xml:space="preserve"> it is not precise nor concise but comes across a</w:t>
      </w:r>
      <w:r w:rsidR="00915E39">
        <w:rPr>
          <w:rFonts w:ascii="Times New Roman" w:hAnsi="Times New Roman" w:cs="Times New Roman"/>
          <w:sz w:val="24"/>
        </w:rPr>
        <w:t>s a</w:t>
      </w:r>
      <w:r w:rsidR="00E269F3">
        <w:rPr>
          <w:rFonts w:ascii="Times New Roman" w:hAnsi="Times New Roman" w:cs="Times New Roman"/>
          <w:sz w:val="24"/>
        </w:rPr>
        <w:t xml:space="preserve"> rumbling statement of several complaints bundled into one statement purporting to be a ground of appeal. The ground of appeal is so crude that it raises several arguments or points of arguments in one sentence. The respondents further contended that the so called ground alleges that the magistrate erred and misdirected himself “</w:t>
      </w:r>
      <w:r w:rsidR="00E269F3" w:rsidRPr="00915E39">
        <w:rPr>
          <w:rFonts w:ascii="Times New Roman" w:hAnsi="Times New Roman" w:cs="Times New Roman"/>
          <w:sz w:val="24"/>
          <w:u w:val="single"/>
        </w:rPr>
        <w:t>on facts and</w:t>
      </w:r>
      <w:r w:rsidR="00E269F3">
        <w:rPr>
          <w:rFonts w:ascii="Times New Roman" w:hAnsi="Times New Roman" w:cs="Times New Roman"/>
          <w:sz w:val="24"/>
        </w:rPr>
        <w:t xml:space="preserve"> </w:t>
      </w:r>
      <w:r w:rsidR="00E269F3" w:rsidRPr="00915E39">
        <w:rPr>
          <w:rFonts w:ascii="Times New Roman" w:hAnsi="Times New Roman" w:cs="Times New Roman"/>
          <w:sz w:val="24"/>
          <w:u w:val="single"/>
        </w:rPr>
        <w:t>law</w:t>
      </w:r>
      <w:r w:rsidR="00E269F3">
        <w:rPr>
          <w:rFonts w:ascii="Times New Roman" w:hAnsi="Times New Roman" w:cs="Times New Roman"/>
          <w:sz w:val="24"/>
        </w:rPr>
        <w:t>” without stating any single finding of fact by the magistrate no</w:t>
      </w:r>
      <w:r w:rsidR="00915E39">
        <w:rPr>
          <w:rFonts w:ascii="Times New Roman" w:hAnsi="Times New Roman" w:cs="Times New Roman"/>
          <w:sz w:val="24"/>
        </w:rPr>
        <w:t>r</w:t>
      </w:r>
      <w:r w:rsidR="00E269F3">
        <w:rPr>
          <w:rFonts w:ascii="Times New Roman" w:hAnsi="Times New Roman" w:cs="Times New Roman"/>
          <w:sz w:val="24"/>
        </w:rPr>
        <w:t xml:space="preserve"> does it indicate why each finding of fact or ruling of law that is to be criticised as wrong is said to be wrong. The ground attacks</w:t>
      </w:r>
      <w:r w:rsidR="00323BA6">
        <w:rPr>
          <w:rFonts w:ascii="Times New Roman" w:hAnsi="Times New Roman" w:cs="Times New Roman"/>
          <w:sz w:val="24"/>
        </w:rPr>
        <w:t xml:space="preserve"> </w:t>
      </w:r>
      <w:r w:rsidR="00112A5B">
        <w:rPr>
          <w:rFonts w:ascii="Times New Roman" w:hAnsi="Times New Roman" w:cs="Times New Roman"/>
          <w:sz w:val="24"/>
        </w:rPr>
        <w:t xml:space="preserve">the magistrate’s conclusions and his exercise of discretion without showing why such deserve to be attacked or impugned. The statement of complaints does not comply with the rules, it was submitted. The respondents condemn same as not being a ground of appeal and moved that it be abandoned or struck off. </w:t>
      </w:r>
      <w:r>
        <w:rPr>
          <w:rFonts w:ascii="Times New Roman" w:hAnsi="Times New Roman" w:cs="Times New Roman"/>
          <w:sz w:val="24"/>
        </w:rPr>
        <w:t xml:space="preserve"> </w:t>
      </w:r>
    </w:p>
    <w:p w:rsidR="00112A5B" w:rsidRDefault="00112A5B" w:rsidP="00131B07">
      <w:pPr>
        <w:spacing w:after="0" w:line="360" w:lineRule="auto"/>
        <w:jc w:val="both"/>
        <w:rPr>
          <w:rFonts w:ascii="Times New Roman" w:hAnsi="Times New Roman" w:cs="Times New Roman"/>
          <w:sz w:val="24"/>
        </w:rPr>
      </w:pPr>
      <w:r>
        <w:rPr>
          <w:rFonts w:ascii="Times New Roman" w:hAnsi="Times New Roman" w:cs="Times New Roman"/>
          <w:sz w:val="24"/>
        </w:rPr>
        <w:tab/>
        <w:t>The second ground of appeal reads:</w:t>
      </w:r>
    </w:p>
    <w:p w:rsidR="00112A5B" w:rsidRPr="00915E39" w:rsidRDefault="00112A5B" w:rsidP="00112A5B">
      <w:pPr>
        <w:pStyle w:val="ListParagraph"/>
        <w:spacing w:after="0" w:line="240" w:lineRule="auto"/>
        <w:jc w:val="both"/>
        <w:rPr>
          <w:rFonts w:ascii="Times New Roman" w:hAnsi="Times New Roman" w:cs="Times New Roman"/>
          <w:i/>
          <w:szCs w:val="24"/>
        </w:rPr>
      </w:pPr>
      <w:r w:rsidRPr="00915E39">
        <w:rPr>
          <w:rFonts w:ascii="Times New Roman" w:hAnsi="Times New Roman" w:cs="Times New Roman"/>
          <w:i/>
          <w:szCs w:val="24"/>
        </w:rPr>
        <w:t>“The Learned Magistrate grossly erred and misdirected himself on facts and law in concluding that the respondents had exhausted domestic remedies prior to approaching the Magistrates Court for relief.”</w:t>
      </w:r>
    </w:p>
    <w:p w:rsidR="00112A5B" w:rsidRDefault="00112A5B" w:rsidP="00131B07">
      <w:pPr>
        <w:spacing w:after="0" w:line="360" w:lineRule="auto"/>
        <w:jc w:val="both"/>
        <w:rPr>
          <w:rFonts w:ascii="Times New Roman" w:hAnsi="Times New Roman" w:cs="Times New Roman"/>
          <w:sz w:val="24"/>
        </w:rPr>
      </w:pPr>
      <w:r>
        <w:rPr>
          <w:rFonts w:ascii="Times New Roman" w:hAnsi="Times New Roman" w:cs="Times New Roman"/>
          <w:sz w:val="24"/>
        </w:rPr>
        <w:tab/>
      </w:r>
    </w:p>
    <w:p w:rsidR="005A479C" w:rsidRDefault="00112A5B" w:rsidP="00131B07">
      <w:pPr>
        <w:spacing w:after="0" w:line="360" w:lineRule="auto"/>
        <w:jc w:val="both"/>
        <w:rPr>
          <w:rFonts w:ascii="Times New Roman" w:hAnsi="Times New Roman" w:cs="Times New Roman"/>
          <w:sz w:val="24"/>
        </w:rPr>
      </w:pPr>
      <w:r>
        <w:rPr>
          <w:rFonts w:ascii="Times New Roman" w:hAnsi="Times New Roman" w:cs="Times New Roman"/>
          <w:sz w:val="24"/>
        </w:rPr>
        <w:tab/>
        <w:t>The respondents’ counsel, submitted that the second ground of appeal is bereft of specific</w:t>
      </w:r>
      <w:r w:rsidR="00915E39">
        <w:rPr>
          <w:rFonts w:ascii="Times New Roman" w:hAnsi="Times New Roman" w:cs="Times New Roman"/>
          <w:sz w:val="24"/>
        </w:rPr>
        <w:t>ity</w:t>
      </w:r>
      <w:r>
        <w:rPr>
          <w:rFonts w:ascii="Times New Roman" w:hAnsi="Times New Roman" w:cs="Times New Roman"/>
          <w:sz w:val="24"/>
        </w:rPr>
        <w:t xml:space="preserve"> just as the first one. It is not </w:t>
      </w:r>
      <w:r w:rsidR="0063482E">
        <w:rPr>
          <w:rFonts w:ascii="Times New Roman" w:hAnsi="Times New Roman" w:cs="Times New Roman"/>
          <w:sz w:val="24"/>
        </w:rPr>
        <w:t xml:space="preserve">concise nor is it clear. It also attacks the Honourable Magistrate’s </w:t>
      </w:r>
      <w:r w:rsidR="00B952EC">
        <w:rPr>
          <w:rFonts w:ascii="Times New Roman" w:hAnsi="Times New Roman" w:cs="Times New Roman"/>
          <w:sz w:val="24"/>
        </w:rPr>
        <w:t xml:space="preserve">decision without stating why that conclusion is wrong. The ground of appeal does not disclose whether there were any available domestic remedies that were not exhausted. It also does not originate from the judgment that is being appealed against but from a distinct judgment. Respondents further submitted that </w:t>
      </w:r>
      <w:r w:rsidR="00915E39">
        <w:rPr>
          <w:rFonts w:ascii="Times New Roman" w:hAnsi="Times New Roman" w:cs="Times New Roman"/>
          <w:sz w:val="24"/>
        </w:rPr>
        <w:t xml:space="preserve">the </w:t>
      </w:r>
      <w:r w:rsidR="00B952EC">
        <w:rPr>
          <w:rFonts w:ascii="Times New Roman" w:hAnsi="Times New Roman" w:cs="Times New Roman"/>
          <w:sz w:val="24"/>
        </w:rPr>
        <w:t xml:space="preserve">court </w:t>
      </w:r>
      <w:r w:rsidR="00B952EC">
        <w:rPr>
          <w:rFonts w:ascii="Times New Roman" w:hAnsi="Times New Roman" w:cs="Times New Roman"/>
          <w:i/>
          <w:sz w:val="24"/>
        </w:rPr>
        <w:t>a quo</w:t>
      </w:r>
      <w:r w:rsidR="00B952EC">
        <w:rPr>
          <w:rFonts w:ascii="Times New Roman" w:hAnsi="Times New Roman" w:cs="Times New Roman"/>
          <w:sz w:val="24"/>
        </w:rPr>
        <w:t xml:space="preserve"> ruled that the proviso to s 193 of Act gave it jurisdiction to entertain the application and that the respondents had a </w:t>
      </w:r>
      <w:r w:rsidR="00915E39">
        <w:rPr>
          <w:rFonts w:ascii="Times New Roman" w:hAnsi="Times New Roman" w:cs="Times New Roman"/>
          <w:sz w:val="24"/>
        </w:rPr>
        <w:t>c</w:t>
      </w:r>
      <w:r w:rsidR="00B952EC">
        <w:rPr>
          <w:rFonts w:ascii="Times New Roman" w:hAnsi="Times New Roman" w:cs="Times New Roman"/>
          <w:sz w:val="24"/>
        </w:rPr>
        <w:t>onstitutional right to approach the magistrates court if aggrieved.</w:t>
      </w:r>
      <w:r w:rsidR="00A30DF0">
        <w:rPr>
          <w:rFonts w:ascii="Times New Roman" w:hAnsi="Times New Roman" w:cs="Times New Roman"/>
          <w:sz w:val="24"/>
        </w:rPr>
        <w:t xml:space="preserve"> </w:t>
      </w:r>
    </w:p>
    <w:p w:rsidR="00112A5B" w:rsidRDefault="005A479C" w:rsidP="005A479C">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court </w:t>
      </w:r>
      <w:r>
        <w:rPr>
          <w:rFonts w:ascii="Times New Roman" w:hAnsi="Times New Roman" w:cs="Times New Roman"/>
          <w:i/>
          <w:sz w:val="24"/>
        </w:rPr>
        <w:t>a quo</w:t>
      </w:r>
      <w:r>
        <w:rPr>
          <w:rFonts w:ascii="Times New Roman" w:hAnsi="Times New Roman" w:cs="Times New Roman"/>
          <w:sz w:val="24"/>
        </w:rPr>
        <w:t xml:space="preserve"> never decided that the respondents had exhausted local remedies or that there were local remedies to be exhausted. In any case the respondents added that the second ground of appeal was frivolous</w:t>
      </w:r>
      <w:r w:rsidR="00AA274E">
        <w:rPr>
          <w:rFonts w:ascii="Times New Roman" w:hAnsi="Times New Roman" w:cs="Times New Roman"/>
          <w:sz w:val="24"/>
        </w:rPr>
        <w:t>, the course of action open to the respondents was to institute civil proceedings against the appellants once the goods were not released</w:t>
      </w:r>
      <w:r w:rsidR="00AA274E">
        <w:rPr>
          <w:rStyle w:val="FootnoteReference"/>
          <w:rFonts w:ascii="Times New Roman" w:hAnsi="Times New Roman" w:cs="Times New Roman"/>
          <w:sz w:val="24"/>
        </w:rPr>
        <w:footnoteReference w:id="1"/>
      </w:r>
      <w:r w:rsidR="00347411">
        <w:rPr>
          <w:rFonts w:ascii="Times New Roman" w:hAnsi="Times New Roman" w:cs="Times New Roman"/>
          <w:sz w:val="24"/>
        </w:rPr>
        <w:t>.</w:t>
      </w:r>
      <w:r w:rsidR="00B952EC">
        <w:rPr>
          <w:rFonts w:ascii="Times New Roman" w:hAnsi="Times New Roman" w:cs="Times New Roman"/>
          <w:sz w:val="24"/>
        </w:rPr>
        <w:t xml:space="preserve"> </w:t>
      </w:r>
      <w:r w:rsidR="0063482E">
        <w:rPr>
          <w:rFonts w:ascii="Times New Roman" w:hAnsi="Times New Roman" w:cs="Times New Roman"/>
          <w:sz w:val="24"/>
        </w:rPr>
        <w:t xml:space="preserve"> </w:t>
      </w:r>
    </w:p>
    <w:p w:rsidR="00901B6D" w:rsidRDefault="00901B6D" w:rsidP="005A479C">
      <w:pPr>
        <w:spacing w:after="0" w:line="360" w:lineRule="auto"/>
        <w:ind w:firstLine="720"/>
        <w:jc w:val="both"/>
        <w:rPr>
          <w:rFonts w:ascii="Times New Roman" w:hAnsi="Times New Roman" w:cs="Times New Roman"/>
          <w:sz w:val="24"/>
        </w:rPr>
      </w:pPr>
      <w:r>
        <w:rPr>
          <w:rFonts w:ascii="Times New Roman" w:hAnsi="Times New Roman" w:cs="Times New Roman"/>
          <w:sz w:val="24"/>
        </w:rPr>
        <w:t>The Third Grounds Of Appeal Reads:</w:t>
      </w:r>
    </w:p>
    <w:p w:rsidR="00EF4BB3" w:rsidRPr="00915E39" w:rsidRDefault="00EF4BB3" w:rsidP="00EF4BB3">
      <w:pPr>
        <w:pStyle w:val="ListParagraph"/>
        <w:spacing w:after="0" w:line="240" w:lineRule="auto"/>
        <w:jc w:val="both"/>
        <w:rPr>
          <w:rFonts w:ascii="Times New Roman" w:hAnsi="Times New Roman" w:cs="Times New Roman"/>
          <w:i/>
          <w:szCs w:val="24"/>
        </w:rPr>
      </w:pPr>
      <w:r w:rsidRPr="00915E39">
        <w:rPr>
          <w:rFonts w:ascii="Times New Roman" w:hAnsi="Times New Roman" w:cs="Times New Roman"/>
          <w:i/>
          <w:szCs w:val="24"/>
        </w:rPr>
        <w:t>“The Learned Magistrate grossly erred and misdirected himself on facts and law in concluding that there were no material disputes of facts in the matter.”</w:t>
      </w:r>
    </w:p>
    <w:p w:rsidR="00EF4BB3" w:rsidRDefault="00EF4BB3" w:rsidP="005A479C">
      <w:pPr>
        <w:spacing w:after="0" w:line="360" w:lineRule="auto"/>
        <w:ind w:firstLine="720"/>
        <w:jc w:val="both"/>
        <w:rPr>
          <w:rFonts w:ascii="Times New Roman" w:hAnsi="Times New Roman" w:cs="Times New Roman"/>
          <w:sz w:val="24"/>
        </w:rPr>
      </w:pPr>
    </w:p>
    <w:p w:rsidR="001E7957" w:rsidRDefault="00A5544C" w:rsidP="005A479C">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respondents contend that this ground of appeal is equally fatally defective for the reasons advanced already whilst addressing grounds one and two above. The alleged material disputes of facts were not itemised even up to the time the appellants prepared their heads. </w:t>
      </w:r>
    </w:p>
    <w:p w:rsidR="002A3D4E" w:rsidRDefault="002A3D4E" w:rsidP="005A479C">
      <w:pPr>
        <w:spacing w:after="0" w:line="360" w:lineRule="auto"/>
        <w:ind w:firstLine="720"/>
        <w:jc w:val="both"/>
        <w:rPr>
          <w:rFonts w:ascii="Times New Roman" w:hAnsi="Times New Roman" w:cs="Times New Roman"/>
          <w:sz w:val="24"/>
        </w:rPr>
      </w:pPr>
      <w:r>
        <w:rPr>
          <w:rFonts w:ascii="Times New Roman" w:hAnsi="Times New Roman" w:cs="Times New Roman"/>
          <w:sz w:val="24"/>
        </w:rPr>
        <w:t>The fourth ground of appeal was crafted by the appellants as follows:</w:t>
      </w:r>
    </w:p>
    <w:p w:rsidR="007C4180" w:rsidRPr="00915E39" w:rsidRDefault="007C4180" w:rsidP="007C4180">
      <w:pPr>
        <w:spacing w:after="0" w:line="240" w:lineRule="auto"/>
        <w:ind w:left="720"/>
        <w:jc w:val="both"/>
        <w:rPr>
          <w:rFonts w:ascii="Times New Roman" w:hAnsi="Times New Roman" w:cs="Times New Roman"/>
          <w:i/>
        </w:rPr>
      </w:pPr>
      <w:r w:rsidRPr="00915E39">
        <w:rPr>
          <w:rFonts w:ascii="Times New Roman" w:hAnsi="Times New Roman" w:cs="Times New Roman"/>
          <w:i/>
          <w:szCs w:val="24"/>
        </w:rPr>
        <w:t>“The Learned Magistrate grossly erred and misdirected himself on facts and the law in concluding that respondents did not smuggle the goods sugar when there was overwhelming evidence which proved that the goods</w:t>
      </w:r>
      <w:r w:rsidR="00915E39" w:rsidRPr="00915E39">
        <w:rPr>
          <w:rFonts w:ascii="Times New Roman" w:hAnsi="Times New Roman" w:cs="Times New Roman"/>
          <w:i/>
          <w:szCs w:val="24"/>
        </w:rPr>
        <w:t>/</w:t>
      </w:r>
      <w:r w:rsidRPr="00915E39">
        <w:rPr>
          <w:rFonts w:ascii="Times New Roman" w:hAnsi="Times New Roman" w:cs="Times New Roman"/>
          <w:i/>
          <w:szCs w:val="24"/>
        </w:rPr>
        <w:t>sugar were smuggled</w:t>
      </w:r>
      <w:r w:rsidRPr="00915E39">
        <w:rPr>
          <w:rFonts w:ascii="Times New Roman" w:hAnsi="Times New Roman" w:cs="Times New Roman"/>
          <w:i/>
          <w:sz w:val="24"/>
          <w:szCs w:val="24"/>
        </w:rPr>
        <w:t>.”</w:t>
      </w:r>
    </w:p>
    <w:p w:rsidR="00EF4BB3" w:rsidRDefault="00EF4BB3" w:rsidP="005A479C">
      <w:pPr>
        <w:spacing w:after="0" w:line="360" w:lineRule="auto"/>
        <w:ind w:firstLine="720"/>
        <w:jc w:val="both"/>
        <w:rPr>
          <w:rFonts w:ascii="Times New Roman" w:hAnsi="Times New Roman" w:cs="Times New Roman"/>
          <w:sz w:val="24"/>
        </w:rPr>
      </w:pPr>
    </w:p>
    <w:p w:rsidR="007F2C6A" w:rsidRDefault="007F2C6A" w:rsidP="005A479C">
      <w:pPr>
        <w:spacing w:after="0" w:line="360" w:lineRule="auto"/>
        <w:ind w:firstLine="720"/>
        <w:jc w:val="both"/>
        <w:rPr>
          <w:rFonts w:ascii="Times New Roman" w:hAnsi="Times New Roman" w:cs="Times New Roman"/>
          <w:sz w:val="24"/>
        </w:rPr>
      </w:pPr>
      <w:r>
        <w:rPr>
          <w:rFonts w:ascii="Times New Roman" w:hAnsi="Times New Roman" w:cs="Times New Roman"/>
          <w:sz w:val="24"/>
        </w:rPr>
        <w:t>I</w:t>
      </w:r>
      <w:r w:rsidR="00915E39">
        <w:rPr>
          <w:rFonts w:ascii="Times New Roman" w:hAnsi="Times New Roman" w:cs="Times New Roman"/>
          <w:sz w:val="24"/>
        </w:rPr>
        <w:t>t i</w:t>
      </w:r>
      <w:r>
        <w:rPr>
          <w:rFonts w:ascii="Times New Roman" w:hAnsi="Times New Roman" w:cs="Times New Roman"/>
          <w:sz w:val="24"/>
        </w:rPr>
        <w:t>s the contention of the respondents that the fourth ground of appeal is not valid. It is equally not succinct concise or clear. It does not specify why the appellant says there was overwhelming evidence which the court below did not see. Such evidence is not identified within the body of the ground of appeal</w:t>
      </w:r>
      <w:r>
        <w:rPr>
          <w:rStyle w:val="FootnoteReference"/>
          <w:rFonts w:ascii="Times New Roman" w:hAnsi="Times New Roman" w:cs="Times New Roman"/>
          <w:sz w:val="24"/>
        </w:rPr>
        <w:footnoteReference w:id="2"/>
      </w:r>
      <w:r w:rsidR="00A20D01">
        <w:rPr>
          <w:rFonts w:ascii="Times New Roman" w:hAnsi="Times New Roman" w:cs="Times New Roman"/>
          <w:sz w:val="24"/>
        </w:rPr>
        <w:t>.</w:t>
      </w:r>
    </w:p>
    <w:p w:rsidR="00A20D01" w:rsidRDefault="00A20D01" w:rsidP="005A479C">
      <w:pPr>
        <w:spacing w:after="0" w:line="360" w:lineRule="auto"/>
        <w:ind w:firstLine="720"/>
        <w:jc w:val="both"/>
        <w:rPr>
          <w:rFonts w:ascii="Times New Roman" w:hAnsi="Times New Roman" w:cs="Times New Roman"/>
          <w:sz w:val="24"/>
        </w:rPr>
      </w:pPr>
      <w:r>
        <w:rPr>
          <w:rFonts w:ascii="Times New Roman" w:hAnsi="Times New Roman" w:cs="Times New Roman"/>
          <w:sz w:val="24"/>
        </w:rPr>
        <w:t>The fifth ground of appeal was presented by the appellants as follows:</w:t>
      </w:r>
    </w:p>
    <w:p w:rsidR="00034441" w:rsidRPr="00915E39" w:rsidRDefault="00034441" w:rsidP="00034441">
      <w:pPr>
        <w:spacing w:after="0" w:line="240" w:lineRule="auto"/>
        <w:ind w:left="720"/>
        <w:jc w:val="both"/>
        <w:rPr>
          <w:rFonts w:ascii="Times New Roman" w:hAnsi="Times New Roman" w:cs="Times New Roman"/>
          <w:i/>
        </w:rPr>
      </w:pPr>
      <w:r w:rsidRPr="00915E39">
        <w:rPr>
          <w:rFonts w:ascii="Times New Roman" w:hAnsi="Times New Roman" w:cs="Times New Roman"/>
          <w:i/>
          <w:szCs w:val="24"/>
        </w:rPr>
        <w:t>“The Learned Magistrate grossly erred and misdirected himself on facts and the law in ordering the release of the seized sugar in circumstances where the notice of seizure was never challenged in terms of the requisite tax legislation and the respondents failed to discharge the onus upon them by the law to the satisfaction of the appellants.”</w:t>
      </w:r>
    </w:p>
    <w:p w:rsidR="00E01400" w:rsidRDefault="00E01400" w:rsidP="00044D60">
      <w:pPr>
        <w:spacing w:after="0" w:line="360" w:lineRule="auto"/>
        <w:ind w:firstLine="720"/>
        <w:jc w:val="both"/>
        <w:rPr>
          <w:rFonts w:ascii="Times New Roman" w:hAnsi="Times New Roman" w:cs="Times New Roman"/>
        </w:rPr>
      </w:pPr>
    </w:p>
    <w:p w:rsidR="00755448" w:rsidRDefault="00815991" w:rsidP="00044D60">
      <w:pPr>
        <w:spacing w:after="0" w:line="360" w:lineRule="auto"/>
        <w:ind w:firstLine="720"/>
        <w:jc w:val="both"/>
        <w:rPr>
          <w:rFonts w:ascii="Times New Roman" w:hAnsi="Times New Roman" w:cs="Times New Roman"/>
          <w:sz w:val="24"/>
          <w:szCs w:val="24"/>
        </w:rPr>
      </w:pPr>
      <w:r w:rsidRPr="00EF0AC8">
        <w:rPr>
          <w:rFonts w:ascii="Times New Roman" w:hAnsi="Times New Roman" w:cs="Times New Roman"/>
          <w:sz w:val="24"/>
        </w:rPr>
        <w:t>The</w:t>
      </w:r>
      <w:r w:rsidR="00EF0AC8">
        <w:rPr>
          <w:rFonts w:ascii="Times New Roman" w:hAnsi="Times New Roman" w:cs="Times New Roman"/>
          <w:sz w:val="24"/>
          <w:szCs w:val="24"/>
        </w:rPr>
        <w:t xml:space="preserve"> respondents submitted that the fifth ground is similarly imprecise and unclear as the first to fourth grounds of appeal. The fifth ground lacked particular</w:t>
      </w:r>
      <w:r w:rsidR="00915E39">
        <w:rPr>
          <w:rFonts w:ascii="Times New Roman" w:hAnsi="Times New Roman" w:cs="Times New Roman"/>
          <w:sz w:val="24"/>
          <w:szCs w:val="24"/>
        </w:rPr>
        <w:t>it</w:t>
      </w:r>
      <w:r w:rsidR="00EF0AC8">
        <w:rPr>
          <w:rFonts w:ascii="Times New Roman" w:hAnsi="Times New Roman" w:cs="Times New Roman"/>
          <w:sz w:val="24"/>
          <w:szCs w:val="24"/>
        </w:rPr>
        <w:t xml:space="preserve">y </w:t>
      </w:r>
      <w:r w:rsidR="00755448">
        <w:rPr>
          <w:rFonts w:ascii="Times New Roman" w:hAnsi="Times New Roman" w:cs="Times New Roman"/>
          <w:sz w:val="24"/>
          <w:szCs w:val="24"/>
        </w:rPr>
        <w:t>that could enable the magistrate to meaningfully respond.</w:t>
      </w:r>
    </w:p>
    <w:p w:rsidR="00A23AA2" w:rsidRDefault="00A23AA2" w:rsidP="00044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ground of appeal by the appellants reads:</w:t>
      </w:r>
    </w:p>
    <w:p w:rsidR="00EC3757" w:rsidRPr="00915E39" w:rsidRDefault="00EC3757" w:rsidP="00EC3757">
      <w:pPr>
        <w:pStyle w:val="ListParagraph"/>
        <w:spacing w:after="0" w:line="240" w:lineRule="auto"/>
        <w:jc w:val="both"/>
        <w:rPr>
          <w:rFonts w:ascii="Times New Roman" w:hAnsi="Times New Roman" w:cs="Times New Roman"/>
          <w:i/>
          <w:szCs w:val="24"/>
        </w:rPr>
      </w:pPr>
      <w:r w:rsidRPr="00915E39">
        <w:rPr>
          <w:rFonts w:ascii="Times New Roman" w:hAnsi="Times New Roman" w:cs="Times New Roman"/>
          <w:i/>
          <w:szCs w:val="24"/>
        </w:rPr>
        <w:t>“The Learned Magistrate grossly erred and misdirected himself on the law in failing to appreciate that he is at law not empowered to determine the validity or review of the Notice of Seizure.”</w:t>
      </w:r>
    </w:p>
    <w:p w:rsidR="00622CB7" w:rsidRDefault="00815991" w:rsidP="00044D60">
      <w:pPr>
        <w:spacing w:after="0" w:line="360" w:lineRule="auto"/>
        <w:ind w:firstLine="720"/>
        <w:jc w:val="both"/>
        <w:rPr>
          <w:rFonts w:ascii="Times New Roman" w:hAnsi="Times New Roman" w:cs="Times New Roman"/>
          <w:sz w:val="24"/>
          <w:szCs w:val="24"/>
        </w:rPr>
      </w:pPr>
      <w:r w:rsidRPr="00EF0AC8">
        <w:rPr>
          <w:rFonts w:ascii="Times New Roman" w:hAnsi="Times New Roman" w:cs="Times New Roman"/>
          <w:sz w:val="24"/>
          <w:szCs w:val="24"/>
        </w:rPr>
        <w:t xml:space="preserve"> </w:t>
      </w:r>
    </w:p>
    <w:p w:rsidR="00E225FA" w:rsidRDefault="00705EF2" w:rsidP="00044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argue that this is not a valid ground of appeal. An alleged failure to appreciate the law cannot be a ground of appeal as it does not amount to an attack of the court’s judgment. Respondents added that it will be infeasible for one to fail to appreciate an aspect of law and not still deliver a legally sound judgment on</w:t>
      </w:r>
      <w:r w:rsidR="00915E39">
        <w:rPr>
          <w:rFonts w:ascii="Times New Roman" w:hAnsi="Times New Roman" w:cs="Times New Roman"/>
          <w:sz w:val="24"/>
          <w:szCs w:val="24"/>
        </w:rPr>
        <w:t xml:space="preserve"> the matter before that court. I</w:t>
      </w:r>
      <w:r>
        <w:rPr>
          <w:rFonts w:ascii="Times New Roman" w:hAnsi="Times New Roman" w:cs="Times New Roman"/>
          <w:sz w:val="24"/>
          <w:szCs w:val="24"/>
        </w:rPr>
        <w:t xml:space="preserve">n any </w:t>
      </w:r>
      <w:r w:rsidR="00915E39">
        <w:rPr>
          <w:rFonts w:ascii="Times New Roman" w:hAnsi="Times New Roman" w:cs="Times New Roman"/>
          <w:sz w:val="24"/>
          <w:szCs w:val="24"/>
        </w:rPr>
        <w:t>case the respondents, submitted</w:t>
      </w:r>
      <w:r>
        <w:rPr>
          <w:rFonts w:ascii="Times New Roman" w:hAnsi="Times New Roman" w:cs="Times New Roman"/>
          <w:sz w:val="24"/>
          <w:szCs w:val="24"/>
        </w:rPr>
        <w:t xml:space="preserve"> the validity of the notice of seizure was never an issue before the court </w:t>
      </w:r>
      <w:r>
        <w:rPr>
          <w:rFonts w:ascii="Times New Roman" w:hAnsi="Times New Roman" w:cs="Times New Roman"/>
          <w:i/>
          <w:sz w:val="24"/>
          <w:szCs w:val="24"/>
        </w:rPr>
        <w:t>a quo</w:t>
      </w:r>
      <w:r>
        <w:rPr>
          <w:rFonts w:ascii="Times New Roman" w:hAnsi="Times New Roman" w:cs="Times New Roman"/>
          <w:sz w:val="24"/>
          <w:szCs w:val="24"/>
        </w:rPr>
        <w:t>, no court application for review was ever b</w:t>
      </w:r>
      <w:r w:rsidR="00915E39">
        <w:rPr>
          <w:rFonts w:ascii="Times New Roman" w:hAnsi="Times New Roman" w:cs="Times New Roman"/>
          <w:sz w:val="24"/>
          <w:szCs w:val="24"/>
        </w:rPr>
        <w:t>r</w:t>
      </w:r>
      <w:r>
        <w:rPr>
          <w:rFonts w:ascii="Times New Roman" w:hAnsi="Times New Roman" w:cs="Times New Roman"/>
          <w:sz w:val="24"/>
          <w:szCs w:val="24"/>
        </w:rPr>
        <w:t xml:space="preserve">ought before the court </w:t>
      </w:r>
      <w:r>
        <w:rPr>
          <w:rFonts w:ascii="Times New Roman" w:hAnsi="Times New Roman" w:cs="Times New Roman"/>
          <w:i/>
          <w:sz w:val="24"/>
          <w:szCs w:val="24"/>
        </w:rPr>
        <w:t>a quo</w:t>
      </w:r>
      <w:r>
        <w:rPr>
          <w:rFonts w:ascii="Times New Roman" w:hAnsi="Times New Roman" w:cs="Times New Roman"/>
          <w:sz w:val="24"/>
          <w:szCs w:val="24"/>
        </w:rPr>
        <w:t>.</w:t>
      </w:r>
    </w:p>
    <w:p w:rsidR="00A12012" w:rsidRDefault="00A12012" w:rsidP="00044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the respondents submitted that the whole set of grounds of appeal filed by the appellants is a complete nullity and must be </w:t>
      </w:r>
      <w:r w:rsidR="007D719A">
        <w:rPr>
          <w:rFonts w:ascii="Times New Roman" w:hAnsi="Times New Roman" w:cs="Times New Roman"/>
          <w:sz w:val="24"/>
          <w:szCs w:val="24"/>
        </w:rPr>
        <w:t>struck off the roll with costs on legal practitioner – client scale.</w:t>
      </w:r>
      <w:r w:rsidR="00DF170A">
        <w:rPr>
          <w:rFonts w:ascii="Times New Roman" w:hAnsi="Times New Roman" w:cs="Times New Roman"/>
          <w:sz w:val="24"/>
          <w:szCs w:val="24"/>
        </w:rPr>
        <w:t xml:space="preserve"> </w:t>
      </w:r>
    </w:p>
    <w:p w:rsidR="00625001" w:rsidRDefault="00625001" w:rsidP="00044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preliminary points relating to the grounds of appeal were raised in respondent’s heads of argument, the appellants did not apply</w:t>
      </w:r>
      <w:r w:rsidR="00FB7A66">
        <w:rPr>
          <w:rFonts w:ascii="Times New Roman" w:hAnsi="Times New Roman" w:cs="Times New Roman"/>
          <w:sz w:val="24"/>
          <w:szCs w:val="24"/>
        </w:rPr>
        <w:t xml:space="preserve"> to this court to file supplementary </w:t>
      </w:r>
      <w:r w:rsidR="00900F37">
        <w:rPr>
          <w:rFonts w:ascii="Times New Roman" w:hAnsi="Times New Roman" w:cs="Times New Roman"/>
          <w:sz w:val="24"/>
          <w:szCs w:val="24"/>
        </w:rPr>
        <w:t xml:space="preserve">heads addressing the quality or appropriateness of the grounds of appeal. Having closely examined and analysed the six grounds of </w:t>
      </w:r>
      <w:r w:rsidR="00D971CE">
        <w:rPr>
          <w:rFonts w:ascii="Times New Roman" w:hAnsi="Times New Roman" w:cs="Times New Roman"/>
          <w:sz w:val="24"/>
          <w:szCs w:val="24"/>
        </w:rPr>
        <w:t>appeal filed</w:t>
      </w:r>
      <w:r w:rsidR="0082643B">
        <w:rPr>
          <w:rFonts w:ascii="Times New Roman" w:hAnsi="Times New Roman" w:cs="Times New Roman"/>
          <w:sz w:val="24"/>
          <w:szCs w:val="24"/>
        </w:rPr>
        <w:t xml:space="preserve"> on behalf of the appellants the preliminary points raised by the respondents have a basis. </w:t>
      </w:r>
    </w:p>
    <w:p w:rsidR="001630DC" w:rsidRDefault="001630DC" w:rsidP="00044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Order 31 (i) (4) (b) of the Magistrates Court (Civil) Rules, 2019, 2019, a valid ground of appeal shall state:</w:t>
      </w:r>
    </w:p>
    <w:p w:rsidR="008574EA" w:rsidRPr="002969AF" w:rsidRDefault="008574EA" w:rsidP="00B70058">
      <w:pPr>
        <w:spacing w:after="0" w:line="240" w:lineRule="auto"/>
        <w:ind w:left="1440" w:hanging="720"/>
        <w:jc w:val="both"/>
        <w:rPr>
          <w:rFonts w:ascii="Times New Roman" w:hAnsi="Times New Roman" w:cs="Times New Roman"/>
          <w:i/>
          <w:szCs w:val="24"/>
        </w:rPr>
      </w:pPr>
      <w:r w:rsidRPr="002969AF">
        <w:rPr>
          <w:rFonts w:ascii="Times New Roman" w:hAnsi="Times New Roman" w:cs="Times New Roman"/>
          <w:i/>
          <w:szCs w:val="24"/>
        </w:rPr>
        <w:t>“(b)</w:t>
      </w:r>
      <w:r w:rsidRPr="002969AF">
        <w:rPr>
          <w:rFonts w:ascii="Times New Roman" w:hAnsi="Times New Roman" w:cs="Times New Roman"/>
          <w:i/>
          <w:szCs w:val="24"/>
        </w:rPr>
        <w:tab/>
        <w:t xml:space="preserve">in the grounds of appeal concisely and clearly </w:t>
      </w:r>
      <w:r w:rsidR="00B70058" w:rsidRPr="002969AF">
        <w:rPr>
          <w:rFonts w:ascii="Times New Roman" w:hAnsi="Times New Roman" w:cs="Times New Roman"/>
          <w:i/>
          <w:szCs w:val="24"/>
        </w:rPr>
        <w:t xml:space="preserve">the findings of fact or ruling of law appealed against.” </w:t>
      </w:r>
    </w:p>
    <w:p w:rsidR="00E01400" w:rsidRDefault="00E01400" w:rsidP="00044D60">
      <w:pPr>
        <w:spacing w:after="0" w:line="360" w:lineRule="auto"/>
        <w:ind w:firstLine="720"/>
        <w:jc w:val="both"/>
        <w:rPr>
          <w:rFonts w:ascii="Times New Roman" w:hAnsi="Times New Roman" w:cs="Times New Roman"/>
          <w:sz w:val="24"/>
          <w:szCs w:val="24"/>
        </w:rPr>
      </w:pPr>
    </w:p>
    <w:p w:rsidR="00340178" w:rsidRDefault="00306D4B" w:rsidP="00044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 ground of appeal to be acceptably valid, it must be specific and hence if it is impressive that ground is not a valid one at law.</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0B5159">
        <w:rPr>
          <w:rFonts w:ascii="Times New Roman" w:hAnsi="Times New Roman" w:cs="Times New Roman"/>
          <w:sz w:val="24"/>
          <w:szCs w:val="24"/>
        </w:rPr>
        <w:t xml:space="preserve">In the matter of </w:t>
      </w:r>
      <w:r w:rsidR="000B5159">
        <w:rPr>
          <w:rFonts w:ascii="Times New Roman" w:hAnsi="Times New Roman" w:cs="Times New Roman"/>
          <w:i/>
          <w:sz w:val="24"/>
          <w:szCs w:val="24"/>
        </w:rPr>
        <w:t>Kodzwa v Yambuka Holdings and Others</w:t>
      </w:r>
      <w:r w:rsidR="000B5159">
        <w:rPr>
          <w:rStyle w:val="FootnoteReference"/>
          <w:rFonts w:ascii="Times New Roman" w:hAnsi="Times New Roman" w:cs="Times New Roman"/>
          <w:i/>
          <w:sz w:val="24"/>
          <w:szCs w:val="24"/>
        </w:rPr>
        <w:footnoteReference w:id="4"/>
      </w:r>
      <w:r w:rsidR="00D61623">
        <w:rPr>
          <w:rFonts w:ascii="Times New Roman" w:hAnsi="Times New Roman" w:cs="Times New Roman"/>
          <w:sz w:val="24"/>
          <w:szCs w:val="24"/>
        </w:rPr>
        <w:t xml:space="preserve"> the court remarked dealing with the Old Magistrates Court Rules:</w:t>
      </w:r>
    </w:p>
    <w:p w:rsidR="006B1CBF" w:rsidRDefault="006B1CBF" w:rsidP="006B1CBF">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“At the hearing of the matter I asked the appellant’s legal practitioner whether the notice of appeal complied with Order 31 r 2 (4). </w:t>
      </w:r>
      <w:r w:rsidRPr="002969AF">
        <w:rPr>
          <w:rFonts w:ascii="Times New Roman" w:hAnsi="Times New Roman" w:cs="Times New Roman"/>
          <w:i/>
          <w:szCs w:val="24"/>
        </w:rPr>
        <w:t>Mr Muchineripi</w:t>
      </w:r>
      <w:r>
        <w:rPr>
          <w:rFonts w:ascii="Times New Roman" w:hAnsi="Times New Roman" w:cs="Times New Roman"/>
          <w:szCs w:val="24"/>
        </w:rPr>
        <w:t xml:space="preserve"> vigorously defended the notice of appeal. He states that the grounds of appeal are clearly set out in the Notice of Appeal Rule 2 (4) provides: </w:t>
      </w:r>
    </w:p>
    <w:p w:rsidR="006B1CBF" w:rsidRDefault="006B1CBF" w:rsidP="006B1CBF">
      <w:pPr>
        <w:spacing w:after="0" w:line="240" w:lineRule="auto"/>
        <w:ind w:left="720"/>
        <w:jc w:val="both"/>
        <w:rPr>
          <w:rFonts w:ascii="Times New Roman" w:hAnsi="Times New Roman" w:cs="Times New Roman"/>
          <w:szCs w:val="24"/>
        </w:rPr>
      </w:pPr>
    </w:p>
    <w:p w:rsidR="006B1CBF" w:rsidRPr="002969AF" w:rsidRDefault="006B1CBF" w:rsidP="006B1CBF">
      <w:pPr>
        <w:spacing w:after="0" w:line="240" w:lineRule="auto"/>
        <w:ind w:left="720"/>
        <w:jc w:val="both"/>
        <w:rPr>
          <w:rFonts w:ascii="Times New Roman" w:hAnsi="Times New Roman" w:cs="Times New Roman"/>
          <w:b/>
          <w:i/>
          <w:szCs w:val="24"/>
        </w:rPr>
      </w:pPr>
      <w:r>
        <w:rPr>
          <w:rFonts w:ascii="Times New Roman" w:hAnsi="Times New Roman" w:cs="Times New Roman"/>
          <w:szCs w:val="24"/>
        </w:rPr>
        <w:tab/>
      </w:r>
      <w:r w:rsidRPr="002969AF">
        <w:rPr>
          <w:rFonts w:ascii="Times New Roman" w:hAnsi="Times New Roman" w:cs="Times New Roman"/>
          <w:b/>
          <w:i/>
          <w:szCs w:val="24"/>
        </w:rPr>
        <w:t>‘(4) A notice of appeal or cross-appeal shall state (a) …..</w:t>
      </w:r>
    </w:p>
    <w:p w:rsidR="006B1CBF" w:rsidRPr="002969AF" w:rsidRDefault="006B1CBF" w:rsidP="006B1CBF">
      <w:pPr>
        <w:spacing w:after="0" w:line="240" w:lineRule="auto"/>
        <w:ind w:left="1440"/>
        <w:jc w:val="both"/>
        <w:rPr>
          <w:rFonts w:ascii="Times New Roman" w:hAnsi="Times New Roman" w:cs="Times New Roman"/>
          <w:b/>
          <w:i/>
          <w:szCs w:val="24"/>
        </w:rPr>
      </w:pPr>
      <w:r w:rsidRPr="002969AF">
        <w:rPr>
          <w:rFonts w:ascii="Times New Roman" w:hAnsi="Times New Roman" w:cs="Times New Roman"/>
          <w:b/>
          <w:i/>
          <w:szCs w:val="24"/>
        </w:rPr>
        <w:t xml:space="preserve">(b) the grounds of appeal specifying the findings of fact or rulings of law appealed against. </w:t>
      </w:r>
    </w:p>
    <w:p w:rsidR="006B1CBF" w:rsidRDefault="006B1CBF" w:rsidP="006B1CBF">
      <w:pPr>
        <w:spacing w:after="0" w:line="240" w:lineRule="auto"/>
        <w:jc w:val="both"/>
        <w:rPr>
          <w:rFonts w:ascii="Times New Roman" w:hAnsi="Times New Roman" w:cs="Times New Roman"/>
          <w:szCs w:val="24"/>
        </w:rPr>
      </w:pPr>
    </w:p>
    <w:p w:rsidR="00AC3710" w:rsidRDefault="006B1CBF" w:rsidP="00AC3710">
      <w:pPr>
        <w:spacing w:after="0" w:line="240" w:lineRule="auto"/>
        <w:ind w:left="720"/>
        <w:jc w:val="both"/>
        <w:rPr>
          <w:rFonts w:ascii="Times New Roman" w:hAnsi="Times New Roman" w:cs="Times New Roman"/>
          <w:sz w:val="24"/>
          <w:szCs w:val="24"/>
        </w:rPr>
      </w:pPr>
      <w:r>
        <w:rPr>
          <w:rFonts w:ascii="Times New Roman" w:hAnsi="Times New Roman" w:cs="Times New Roman"/>
          <w:szCs w:val="24"/>
        </w:rPr>
        <w:t xml:space="preserve">The word ‘specify’ was defined in the </w:t>
      </w:r>
      <w:r>
        <w:rPr>
          <w:rFonts w:ascii="Times New Roman" w:hAnsi="Times New Roman" w:cs="Times New Roman"/>
          <w:i/>
          <w:szCs w:val="24"/>
        </w:rPr>
        <w:t xml:space="preserve">Oxford English Dictionary </w:t>
      </w:r>
      <w:r>
        <w:rPr>
          <w:rFonts w:ascii="Times New Roman" w:hAnsi="Times New Roman" w:cs="Times New Roman"/>
          <w:szCs w:val="24"/>
        </w:rPr>
        <w:t>as “to state explicitly”. In other words the appellant is expected to clearly define and outline his or her grounds</w:t>
      </w:r>
      <w:r w:rsidR="00AC3710">
        <w:rPr>
          <w:rFonts w:ascii="Times New Roman" w:hAnsi="Times New Roman" w:cs="Times New Roman"/>
          <w:szCs w:val="24"/>
        </w:rPr>
        <w:t xml:space="preserve"> o</w:t>
      </w:r>
      <w:r w:rsidR="00AC3710">
        <w:rPr>
          <w:rFonts w:ascii="Times New Roman" w:hAnsi="Times New Roman" w:cs="Times New Roman"/>
          <w:sz w:val="24"/>
          <w:szCs w:val="24"/>
        </w:rPr>
        <w:t>f appeal. The above issue was dealt in s. v Mc Nab</w:t>
      </w:r>
      <w:r w:rsidR="00AC3710">
        <w:rPr>
          <w:rStyle w:val="FootnoteReference"/>
          <w:rFonts w:ascii="Times New Roman" w:hAnsi="Times New Roman" w:cs="Times New Roman"/>
          <w:sz w:val="24"/>
          <w:szCs w:val="24"/>
        </w:rPr>
        <w:footnoteReference w:id="5"/>
      </w:r>
      <w:r w:rsidR="009E4B46">
        <w:rPr>
          <w:rFonts w:ascii="Times New Roman" w:hAnsi="Times New Roman" w:cs="Times New Roman"/>
          <w:sz w:val="24"/>
          <w:szCs w:val="24"/>
        </w:rPr>
        <w:t>. T</w:t>
      </w:r>
      <w:r w:rsidR="00AC3710">
        <w:rPr>
          <w:rFonts w:ascii="Times New Roman" w:hAnsi="Times New Roman" w:cs="Times New Roman"/>
          <w:sz w:val="24"/>
          <w:szCs w:val="24"/>
        </w:rPr>
        <w:t xml:space="preserve">he above decision was followed in s. v Jack </w:t>
      </w:r>
      <w:r w:rsidR="00AC3710">
        <w:rPr>
          <w:rStyle w:val="FootnoteReference"/>
          <w:rFonts w:ascii="Times New Roman" w:hAnsi="Times New Roman" w:cs="Times New Roman"/>
          <w:sz w:val="24"/>
          <w:szCs w:val="24"/>
        </w:rPr>
        <w:footnoteReference w:id="6"/>
      </w:r>
      <w:r w:rsidR="009E4B46">
        <w:rPr>
          <w:rFonts w:ascii="Times New Roman" w:hAnsi="Times New Roman" w:cs="Times New Roman"/>
          <w:sz w:val="24"/>
          <w:szCs w:val="24"/>
        </w:rPr>
        <w:t xml:space="preserve"> where it was he</w:t>
      </w:r>
      <w:r w:rsidR="00AC3710">
        <w:rPr>
          <w:rFonts w:ascii="Times New Roman" w:hAnsi="Times New Roman" w:cs="Times New Roman"/>
          <w:sz w:val="24"/>
          <w:szCs w:val="24"/>
        </w:rPr>
        <w:t xml:space="preserve">ld that rule 22 contained in SI 504 of 1979, requires a notice “setting out clearly and specifically the grounds of appeal”. </w:t>
      </w:r>
    </w:p>
    <w:p w:rsidR="00AC3710" w:rsidRDefault="00AC3710" w:rsidP="00AC3710">
      <w:pPr>
        <w:spacing w:after="0" w:line="240" w:lineRule="auto"/>
        <w:jc w:val="both"/>
        <w:rPr>
          <w:rFonts w:ascii="Times New Roman" w:hAnsi="Times New Roman" w:cs="Times New Roman"/>
          <w:sz w:val="24"/>
          <w:szCs w:val="24"/>
        </w:rPr>
      </w:pPr>
    </w:p>
    <w:p w:rsidR="00AC3710" w:rsidRDefault="00AC3710" w:rsidP="00AC37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this was a criminal matter, the same can be said of a notice of appeal in civil matters </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FA6396">
        <w:rPr>
          <w:rFonts w:ascii="Times New Roman" w:hAnsi="Times New Roman" w:cs="Times New Roman"/>
          <w:i/>
          <w:sz w:val="24"/>
          <w:szCs w:val="24"/>
        </w:rPr>
        <w:t>in casu</w:t>
      </w:r>
      <w:r>
        <w:rPr>
          <w:rFonts w:ascii="Times New Roman" w:hAnsi="Times New Roman" w:cs="Times New Roman"/>
          <w:sz w:val="24"/>
          <w:szCs w:val="24"/>
        </w:rPr>
        <w:t>, the appellant’s grounds of appeal are far from being concise and specific.  The notice of ap</w:t>
      </w:r>
      <w:r w:rsidR="009E4B46">
        <w:rPr>
          <w:rFonts w:ascii="Times New Roman" w:hAnsi="Times New Roman" w:cs="Times New Roman"/>
          <w:sz w:val="24"/>
          <w:szCs w:val="24"/>
        </w:rPr>
        <w:t>peal is four typed pages in a si</w:t>
      </w:r>
      <w:r>
        <w:rPr>
          <w:rFonts w:ascii="Times New Roman" w:hAnsi="Times New Roman" w:cs="Times New Roman"/>
          <w:sz w:val="24"/>
          <w:szCs w:val="24"/>
        </w:rPr>
        <w:t xml:space="preserve">mple matter of rescission of judgement.  They are long, winding and rumbling. From a mere reading of the grounds of appeal, it is difficult to decipher what the appellant is attacking in the judgement of the court </w:t>
      </w:r>
      <w:r w:rsidRPr="00FB0BA9">
        <w:rPr>
          <w:rFonts w:ascii="Times New Roman" w:hAnsi="Times New Roman" w:cs="Times New Roman"/>
          <w:i/>
          <w:sz w:val="24"/>
          <w:szCs w:val="24"/>
        </w:rPr>
        <w:t>a quo</w:t>
      </w:r>
      <w:r>
        <w:rPr>
          <w:rFonts w:ascii="Times New Roman" w:hAnsi="Times New Roman" w:cs="Times New Roman"/>
          <w:sz w:val="24"/>
          <w:szCs w:val="24"/>
        </w:rPr>
        <w:t>. The court is left in a situation where it has to attempt to make out the grounds of appeal. This the court cannot do, as</w:t>
      </w:r>
      <w:r w:rsidR="009E4B46">
        <w:rPr>
          <w:rFonts w:ascii="Times New Roman" w:hAnsi="Times New Roman" w:cs="Times New Roman"/>
          <w:sz w:val="24"/>
          <w:szCs w:val="24"/>
        </w:rPr>
        <w:t xml:space="preserve"> it amou</w:t>
      </w:r>
      <w:r>
        <w:rPr>
          <w:rFonts w:ascii="Times New Roman" w:hAnsi="Times New Roman" w:cs="Times New Roman"/>
          <w:sz w:val="24"/>
          <w:szCs w:val="24"/>
        </w:rPr>
        <w:t>nts to drafting grounds of appeal on behalf of the appellant”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rsidR="00AC3710" w:rsidRDefault="00AC3710" w:rsidP="00AC37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case of </w:t>
      </w:r>
      <w:r w:rsidRPr="00621A3D">
        <w:rPr>
          <w:rFonts w:ascii="Times New Roman" w:hAnsi="Times New Roman" w:cs="Times New Roman"/>
          <w:i/>
          <w:sz w:val="24"/>
          <w:szCs w:val="24"/>
        </w:rPr>
        <w:t>Kunonga v The Church of the Province of Central Africa</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the Supreme Court dealing with the issue relating to the fact that “grounds must be clear and concise” stated:</w:t>
      </w:r>
    </w:p>
    <w:p w:rsidR="00AC3710" w:rsidRDefault="00AC3710" w:rsidP="00AC3710">
      <w:pPr>
        <w:spacing w:after="0" w:line="240" w:lineRule="auto"/>
        <w:ind w:left="720" w:firstLine="60"/>
        <w:jc w:val="both"/>
        <w:rPr>
          <w:rFonts w:ascii="Times New Roman" w:hAnsi="Times New Roman" w:cs="Times New Roman"/>
        </w:rPr>
      </w:pPr>
      <w:r w:rsidRPr="00391D38">
        <w:rPr>
          <w:rFonts w:ascii="Times New Roman" w:hAnsi="Times New Roman" w:cs="Times New Roman"/>
        </w:rPr>
        <w:t xml:space="preserve">“ [21] in  </w:t>
      </w:r>
      <w:r w:rsidR="00DB39BA" w:rsidRPr="00DB39BA">
        <w:rPr>
          <w:rFonts w:ascii="Times New Roman" w:hAnsi="Times New Roman" w:cs="Times New Roman"/>
          <w:i/>
        </w:rPr>
        <w:t>S</w:t>
      </w:r>
      <w:r w:rsidRPr="00DB39BA">
        <w:rPr>
          <w:rFonts w:ascii="Times New Roman" w:hAnsi="Times New Roman" w:cs="Times New Roman"/>
          <w:i/>
        </w:rPr>
        <w:t xml:space="preserve"> v McNab</w:t>
      </w:r>
      <w:r w:rsidRPr="00391D38">
        <w:rPr>
          <w:rStyle w:val="FootnoteReference"/>
          <w:rFonts w:ascii="Times New Roman" w:hAnsi="Times New Roman" w:cs="Times New Roman"/>
        </w:rPr>
        <w:footnoteReference w:id="10"/>
      </w:r>
      <w:r w:rsidRPr="00391D38">
        <w:rPr>
          <w:rFonts w:ascii="Times New Roman" w:hAnsi="Times New Roman" w:cs="Times New Roman"/>
        </w:rPr>
        <w:t xml:space="preserve"> the only ground of appeal before this court was that: ‘ The learned Trial Magistrate erred  in fact and law in holding that the state has proved the appellant was so drunk as to be incapable of having proper control of his motor vehicle’ this court held that the above ground did not comply with the rules of court and more specifically that the notice of appeal did not set out clearly and specifically the grounds of appeal. The court remarked at page 282 F-G:</w:t>
      </w:r>
    </w:p>
    <w:p w:rsidR="00AC3710" w:rsidRDefault="00AC3710" w:rsidP="00AC3710">
      <w:pPr>
        <w:spacing w:after="0" w:line="240" w:lineRule="auto"/>
        <w:ind w:left="720" w:firstLine="60"/>
        <w:jc w:val="both"/>
        <w:rPr>
          <w:rFonts w:ascii="Times New Roman" w:hAnsi="Times New Roman" w:cs="Times New Roman"/>
        </w:rPr>
      </w:pPr>
      <w:r>
        <w:rPr>
          <w:rFonts w:ascii="Times New Roman" w:hAnsi="Times New Roman" w:cs="Times New Roman"/>
        </w:rPr>
        <w:tab/>
      </w:r>
    </w:p>
    <w:p w:rsidR="00AC3710" w:rsidRPr="009E4B46" w:rsidRDefault="00AC3710" w:rsidP="00AC3710">
      <w:pPr>
        <w:spacing w:after="0" w:line="240" w:lineRule="auto"/>
        <w:ind w:left="1440"/>
        <w:jc w:val="both"/>
        <w:rPr>
          <w:rFonts w:ascii="Times New Roman" w:hAnsi="Times New Roman" w:cs="Times New Roman"/>
          <w:i/>
        </w:rPr>
      </w:pPr>
      <w:r w:rsidRPr="009E4B46">
        <w:rPr>
          <w:rFonts w:ascii="Times New Roman" w:hAnsi="Times New Roman" w:cs="Times New Roman"/>
          <w:i/>
        </w:rPr>
        <w:t>‘… there must be stated in the Notice of Appeal’ a precise statement of the points on which the applicant relies”. A statement that the magistrate erred in fact and in law in holding that the state had proved appellant was so drunk to be incapable of having proper control of his motor vehicle’ is not precise enough … it does not tell the respondent or the magistrate what is it that is being attacked. The respondent is, required to prepare his answer to the allegations made in the Notice of Appeal ….’</w:t>
      </w:r>
    </w:p>
    <w:p w:rsidR="00AC3710" w:rsidRDefault="00AC3710" w:rsidP="00AC3710">
      <w:pPr>
        <w:spacing w:after="0" w:line="240" w:lineRule="auto"/>
        <w:jc w:val="both"/>
        <w:rPr>
          <w:rFonts w:ascii="Times New Roman" w:hAnsi="Times New Roman" w:cs="Times New Roman"/>
        </w:rPr>
      </w:pPr>
    </w:p>
    <w:p w:rsidR="00AC3710" w:rsidRDefault="00AC3710" w:rsidP="00AC3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Songono v Minister of Law and O</w:t>
      </w:r>
      <w:r w:rsidRPr="005A5FF5">
        <w:rPr>
          <w:rFonts w:ascii="Times New Roman" w:hAnsi="Times New Roman" w:cs="Times New Roman"/>
          <w:i/>
          <w:sz w:val="24"/>
          <w:szCs w:val="24"/>
        </w:rPr>
        <w:t>rder</w:t>
      </w:r>
      <w:r>
        <w:rPr>
          <w:rFonts w:ascii="Times New Roman" w:hAnsi="Times New Roman" w:cs="Times New Roman"/>
          <w:sz w:val="24"/>
          <w:szCs w:val="24"/>
        </w:rPr>
        <w:t xml:space="preserve"> it was held:</w:t>
      </w:r>
    </w:p>
    <w:p w:rsidR="00AC3710" w:rsidRDefault="00AC3710" w:rsidP="00AC3710">
      <w:pPr>
        <w:spacing w:after="0" w:line="240" w:lineRule="auto"/>
        <w:ind w:left="720"/>
        <w:jc w:val="both"/>
        <w:rPr>
          <w:rFonts w:ascii="Times New Roman" w:hAnsi="Times New Roman" w:cs="Times New Roman"/>
        </w:rPr>
      </w:pPr>
      <w:r>
        <w:rPr>
          <w:rFonts w:ascii="Times New Roman" w:hAnsi="Times New Roman" w:cs="Times New Roman"/>
          <w:sz w:val="24"/>
          <w:szCs w:val="24"/>
        </w:rPr>
        <w:t>“it</w:t>
      </w:r>
      <w:r>
        <w:rPr>
          <w:rFonts w:ascii="Times New Roman" w:hAnsi="Times New Roman" w:cs="Times New Roman"/>
        </w:rPr>
        <w:t xml:space="preserve"> has been held that grounds of appeal are bad if they are so widely expresse</w:t>
      </w:r>
      <w:r w:rsidR="009E4B46">
        <w:rPr>
          <w:rFonts w:ascii="Times New Roman" w:hAnsi="Times New Roman" w:cs="Times New Roman"/>
        </w:rPr>
        <w:t>d</w:t>
      </w:r>
      <w:r>
        <w:rPr>
          <w:rFonts w:ascii="Times New Roman" w:hAnsi="Times New Roman" w:cs="Times New Roman"/>
        </w:rPr>
        <w:t xml:space="preserve"> that it leaves the appellant free to canvass every funding of fact and every ruling of the law by the court a quo, or if they specify the findings of facts or ruling of law appealed against so vaguely as to be of no value either to the court or to the respondents, or if they, in general fail to specify clearly and in unambiguous terms exactly what case the respondent must be prepared to meet…</w:t>
      </w:r>
    </w:p>
    <w:p w:rsidR="00AC3710" w:rsidRDefault="00AC3710" w:rsidP="00AC3710">
      <w:pPr>
        <w:spacing w:after="0" w:line="240" w:lineRule="auto"/>
        <w:ind w:left="720"/>
        <w:jc w:val="both"/>
        <w:rPr>
          <w:rFonts w:ascii="Times New Roman" w:hAnsi="Times New Roman" w:cs="Times New Roman"/>
        </w:rPr>
      </w:pPr>
      <w:r>
        <w:rPr>
          <w:rFonts w:ascii="Times New Roman" w:hAnsi="Times New Roman" w:cs="Times New Roman"/>
        </w:rPr>
        <w:t>The lengthy and rambling notice of appeal filed in case falls woefully short of what was required, Mr Bursey suggested that grounds of appeal could be gleaned from the notice but that is not for the court to have to analyse a lengthy document in an attempt to establish what grounds the applicant intended to rely upon but did not clearly set out …”</w:t>
      </w:r>
    </w:p>
    <w:p w:rsidR="00AC3710" w:rsidRDefault="00AC3710" w:rsidP="00AC3710">
      <w:pPr>
        <w:spacing w:after="0" w:line="240" w:lineRule="auto"/>
        <w:jc w:val="both"/>
        <w:rPr>
          <w:rFonts w:ascii="Times New Roman" w:hAnsi="Times New Roman" w:cs="Times New Roman"/>
        </w:rPr>
      </w:pPr>
    </w:p>
    <w:p w:rsidR="00AC3710" w:rsidRDefault="00AC3710" w:rsidP="00AC3710">
      <w:pPr>
        <w:spacing w:after="0" w:line="360" w:lineRule="auto"/>
        <w:ind w:firstLine="720"/>
        <w:jc w:val="both"/>
        <w:rPr>
          <w:rFonts w:ascii="Times New Roman" w:hAnsi="Times New Roman" w:cs="Times New Roman"/>
          <w:sz w:val="24"/>
          <w:szCs w:val="24"/>
        </w:rPr>
      </w:pPr>
      <w:r w:rsidRPr="00110E36">
        <w:rPr>
          <w:rFonts w:ascii="Times New Roman" w:hAnsi="Times New Roman" w:cs="Times New Roman"/>
          <w:sz w:val="24"/>
          <w:szCs w:val="24"/>
        </w:rPr>
        <w:t>It is not adequate for the appellant to prepare document</w:t>
      </w:r>
      <w:r w:rsidR="009E4B46">
        <w:rPr>
          <w:rFonts w:ascii="Times New Roman" w:hAnsi="Times New Roman" w:cs="Times New Roman"/>
          <w:sz w:val="24"/>
          <w:szCs w:val="24"/>
        </w:rPr>
        <w:t>s</w:t>
      </w:r>
      <w:r w:rsidRPr="00110E36">
        <w:rPr>
          <w:rFonts w:ascii="Times New Roman" w:hAnsi="Times New Roman" w:cs="Times New Roman"/>
          <w:sz w:val="24"/>
          <w:szCs w:val="24"/>
        </w:rPr>
        <w:t xml:space="preserve"> and inscribe on it that it is a notice of appeal and then write a list of complaints against a judicial officer’s ruling or decision or conclusion and take it to a court of appeal for that court to randomly rummage what it can discern to be the complaint of the appellant against the lower court. Dealing with the similar provision of the </w:t>
      </w:r>
      <w:r w:rsidRPr="009061D0">
        <w:rPr>
          <w:rFonts w:ascii="Times New Roman" w:hAnsi="Times New Roman" w:cs="Times New Roman"/>
          <w:i/>
          <w:sz w:val="24"/>
          <w:szCs w:val="24"/>
        </w:rPr>
        <w:t>Magistrates Court Rules of South Africa</w:t>
      </w:r>
      <w:r w:rsidRPr="00110E36">
        <w:rPr>
          <w:rFonts w:ascii="Times New Roman" w:hAnsi="Times New Roman" w:cs="Times New Roman"/>
          <w:sz w:val="24"/>
          <w:szCs w:val="24"/>
        </w:rPr>
        <w:t xml:space="preserve">, </w:t>
      </w:r>
      <w:r w:rsidRPr="009061D0">
        <w:rPr>
          <w:rFonts w:ascii="Times New Roman" w:hAnsi="Times New Roman" w:cs="Times New Roman"/>
          <w:smallCaps/>
          <w:sz w:val="24"/>
          <w:szCs w:val="24"/>
        </w:rPr>
        <w:t>Stegmann</w:t>
      </w:r>
      <w:r w:rsidRPr="00110E36">
        <w:rPr>
          <w:rFonts w:ascii="Times New Roman" w:hAnsi="Times New Roman" w:cs="Times New Roman"/>
          <w:sz w:val="24"/>
          <w:szCs w:val="24"/>
        </w:rPr>
        <w:t xml:space="preserve"> J</w:t>
      </w:r>
      <w:r w:rsidRPr="00110E36">
        <w:rPr>
          <w:rStyle w:val="FootnoteReference"/>
          <w:rFonts w:ascii="Times New Roman" w:hAnsi="Times New Roman" w:cs="Times New Roman"/>
          <w:sz w:val="24"/>
          <w:szCs w:val="24"/>
        </w:rPr>
        <w:footnoteReference w:id="11"/>
      </w:r>
      <w:r w:rsidRPr="00110E36">
        <w:rPr>
          <w:rFonts w:ascii="Times New Roman" w:hAnsi="Times New Roman" w:cs="Times New Roman"/>
          <w:sz w:val="24"/>
          <w:szCs w:val="24"/>
        </w:rPr>
        <w:t xml:space="preserve"> spelt out distinct requirements, both of which have to be satisfied for a proper notice of appeal for it to qualify as a valid one: the notice must specify details of what is appealed against (i.e. the particular findings of facts and ruling of law that are to be criticised on appeal as being wrong or misdirection) and secondly; the grounds of appeal</w:t>
      </w:r>
      <w:r>
        <w:rPr>
          <w:rFonts w:ascii="Times New Roman" w:hAnsi="Times New Roman" w:cs="Times New Roman"/>
          <w:sz w:val="24"/>
          <w:szCs w:val="24"/>
        </w:rPr>
        <w:t xml:space="preserve"> </w:t>
      </w:r>
      <w:r w:rsidRPr="00110E36">
        <w:rPr>
          <w:rFonts w:ascii="Times New Roman" w:hAnsi="Times New Roman" w:cs="Times New Roman"/>
          <w:sz w:val="24"/>
          <w:szCs w:val="24"/>
        </w:rPr>
        <w:t xml:space="preserve">(that is it must indicate why each finding of fact or ruling of law that is to be criticised as wrong is said to be wrong, for example that the finding of fact appealed against is inconsistent with some documentary evidence that shows to the contrary or because it is inconsistent with the oral evidence of one or more witnesses, or </w:t>
      </w:r>
      <w:r w:rsidRPr="00110E36">
        <w:rPr>
          <w:rFonts w:ascii="Times New Roman" w:hAnsi="Times New Roman" w:cs="Times New Roman"/>
          <w:sz w:val="24"/>
          <w:szCs w:val="24"/>
        </w:rPr>
        <w:lastRenderedPageBreak/>
        <w:t>because it was against the probabilities peculiar to the matter under consideration. Such comparative analysis would then be ratified in detail in the heads of argument by referring to particular pages of the record of proceedings and evidence adduced by the parties during the hearing. The trial officer and the respondent will be availed with enough and clear grounds for them to respond meaningfully. Such grounds of appeal however have to be concise and brief but albeit comprehensive in expression</w:t>
      </w:r>
      <w:r w:rsidRPr="00110E36">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p>
    <w:p w:rsidR="00AC3710" w:rsidRDefault="00AC3710" w:rsidP="00AC3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887011">
        <w:rPr>
          <w:rFonts w:ascii="Times New Roman" w:hAnsi="Times New Roman" w:cs="Times New Roman"/>
          <w:i/>
          <w:sz w:val="24"/>
          <w:szCs w:val="24"/>
        </w:rPr>
        <w:t xml:space="preserve">Dzinoreva v The </w:t>
      </w:r>
      <w:r>
        <w:rPr>
          <w:rFonts w:ascii="Times New Roman" w:hAnsi="Times New Roman" w:cs="Times New Roman"/>
          <w:i/>
          <w:sz w:val="24"/>
          <w:szCs w:val="24"/>
        </w:rPr>
        <w:t>S</w:t>
      </w:r>
      <w:r w:rsidRPr="00887011">
        <w:rPr>
          <w:rFonts w:ascii="Times New Roman" w:hAnsi="Times New Roman" w:cs="Times New Roman"/>
          <w:i/>
          <w:sz w:val="24"/>
          <w:szCs w:val="24"/>
        </w:rPr>
        <w:t>tate</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the court defined the nullity of the defectiveness of grounds of appeal: </w:t>
      </w:r>
    </w:p>
    <w:p w:rsidR="00AC3710" w:rsidRDefault="009E4B46" w:rsidP="00AC3710">
      <w:pPr>
        <w:spacing w:after="0" w:line="240" w:lineRule="auto"/>
        <w:ind w:left="720"/>
        <w:jc w:val="both"/>
        <w:rPr>
          <w:rFonts w:ascii="Times New Roman" w:hAnsi="Times New Roman" w:cs="Times New Roman"/>
        </w:rPr>
      </w:pPr>
      <w:r>
        <w:rPr>
          <w:rFonts w:ascii="Times New Roman" w:hAnsi="Times New Roman" w:cs="Times New Roman"/>
        </w:rPr>
        <w:t>“</w:t>
      </w:r>
      <w:r w:rsidR="00AC3710">
        <w:rPr>
          <w:rFonts w:ascii="Times New Roman" w:hAnsi="Times New Roman" w:cs="Times New Roman"/>
        </w:rPr>
        <w:t>The third grounds of appeal attacks conviction on the vague averments that the state failed to prove its case beyond a reasonable doubt. It is trite that such a ground is too vague a ground to constitute a ground of appeal. It is the same as saying the appellant is not guilty because he is not guilty. The magistrate who is seized with such a notice and grounds of appeal is entitled not to respond to it at all. He cannot possibly know what it is which is being attacked in his judgement. A notice of appeal without meaningful grounds is not a notice of appeal. As such it is a nullity which cannot be amended”</w:t>
      </w:r>
    </w:p>
    <w:p w:rsidR="00AC3710" w:rsidRDefault="00AC3710" w:rsidP="00AC3710">
      <w:pPr>
        <w:spacing w:after="0" w:line="360" w:lineRule="auto"/>
        <w:jc w:val="both"/>
        <w:rPr>
          <w:rFonts w:ascii="Times New Roman" w:hAnsi="Times New Roman" w:cs="Times New Roman"/>
          <w:sz w:val="24"/>
          <w:szCs w:val="24"/>
        </w:rPr>
      </w:pPr>
    </w:p>
    <w:p w:rsidR="00AC3710" w:rsidRDefault="00AC3710" w:rsidP="00AC3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sidRPr="0013471E">
        <w:rPr>
          <w:rFonts w:ascii="Times New Roman" w:hAnsi="Times New Roman" w:cs="Times New Roman"/>
          <w:i/>
          <w:sz w:val="24"/>
          <w:szCs w:val="24"/>
        </w:rPr>
        <w:t>Kunonga</w:t>
      </w:r>
      <w:r>
        <w:rPr>
          <w:rFonts w:ascii="Times New Roman" w:hAnsi="Times New Roman" w:cs="Times New Roman"/>
          <w:sz w:val="24"/>
          <w:szCs w:val="24"/>
        </w:rPr>
        <w:t xml:space="preserve"> (</w:t>
      </w:r>
      <w:r w:rsidRPr="00FC6964">
        <w:rPr>
          <w:rFonts w:ascii="Times New Roman" w:hAnsi="Times New Roman" w:cs="Times New Roman"/>
          <w:i/>
          <w:sz w:val="24"/>
          <w:szCs w:val="24"/>
        </w:rPr>
        <w:t>supra</w:t>
      </w:r>
      <w:r>
        <w:rPr>
          <w:rFonts w:ascii="Times New Roman" w:hAnsi="Times New Roman" w:cs="Times New Roman"/>
          <w:sz w:val="24"/>
          <w:szCs w:val="24"/>
        </w:rPr>
        <w:t>) the supreme court summarised almost all the previously decided cases relating to the grounds of appeal, such as that “</w:t>
      </w:r>
      <w:r w:rsidRPr="00E472EC">
        <w:rPr>
          <w:rFonts w:ascii="Times New Roman" w:hAnsi="Times New Roman" w:cs="Times New Roman"/>
          <w:b/>
          <w:sz w:val="24"/>
          <w:szCs w:val="24"/>
        </w:rPr>
        <w:t>the judgement was against the weight of evidence</w:t>
      </w:r>
      <w:r>
        <w:rPr>
          <w:rFonts w:ascii="Times New Roman" w:hAnsi="Times New Roman" w:cs="Times New Roman"/>
          <w:sz w:val="24"/>
          <w:szCs w:val="24"/>
        </w:rPr>
        <w:t>” that a court’s finding is wrong because of “</w:t>
      </w:r>
      <w:r w:rsidRPr="00E472EC">
        <w:rPr>
          <w:rFonts w:ascii="Times New Roman" w:hAnsi="Times New Roman" w:cs="Times New Roman"/>
          <w:b/>
          <w:sz w:val="24"/>
          <w:szCs w:val="24"/>
        </w:rPr>
        <w:t>the fact that the charge was not substantiated</w:t>
      </w:r>
      <w:r>
        <w:rPr>
          <w:rFonts w:ascii="Times New Roman" w:hAnsi="Times New Roman" w:cs="Times New Roman"/>
          <w:sz w:val="24"/>
          <w:szCs w:val="24"/>
        </w:rPr>
        <w:t>” or that “</w:t>
      </w:r>
      <w:r w:rsidRPr="00E472EC">
        <w:rPr>
          <w:rFonts w:ascii="Times New Roman" w:hAnsi="Times New Roman" w:cs="Times New Roman"/>
          <w:b/>
          <w:sz w:val="24"/>
          <w:szCs w:val="24"/>
        </w:rPr>
        <w:t>the learned magistrate erred in accepting the complainant’s evidence</w:t>
      </w:r>
      <w:r>
        <w:rPr>
          <w:rFonts w:ascii="Times New Roman" w:hAnsi="Times New Roman" w:cs="Times New Roman"/>
          <w:sz w:val="24"/>
          <w:szCs w:val="24"/>
        </w:rPr>
        <w:t xml:space="preserve">” “ </w:t>
      </w:r>
      <w:r w:rsidRPr="00E472EC">
        <w:rPr>
          <w:rFonts w:ascii="Times New Roman" w:hAnsi="Times New Roman" w:cs="Times New Roman"/>
          <w:b/>
          <w:sz w:val="24"/>
          <w:szCs w:val="24"/>
        </w:rPr>
        <w:t>the conviction is against the weight of the evidence</w:t>
      </w:r>
      <w:r>
        <w:rPr>
          <w:rFonts w:ascii="Times New Roman" w:hAnsi="Times New Roman" w:cs="Times New Roman"/>
          <w:sz w:val="24"/>
          <w:szCs w:val="24"/>
        </w:rPr>
        <w:t>” “</w:t>
      </w:r>
      <w:r w:rsidRPr="00E472EC">
        <w:rPr>
          <w:rFonts w:ascii="Times New Roman" w:hAnsi="Times New Roman" w:cs="Times New Roman"/>
          <w:b/>
          <w:sz w:val="24"/>
          <w:szCs w:val="24"/>
        </w:rPr>
        <w:t>the evidence does not support the conviction</w:t>
      </w:r>
      <w:r>
        <w:rPr>
          <w:rFonts w:ascii="Times New Roman" w:hAnsi="Times New Roman" w:cs="Times New Roman"/>
          <w:sz w:val="24"/>
          <w:szCs w:val="24"/>
        </w:rPr>
        <w:t>” “</w:t>
      </w:r>
      <w:r w:rsidRPr="00E472EC">
        <w:rPr>
          <w:rFonts w:ascii="Times New Roman" w:hAnsi="Times New Roman" w:cs="Times New Roman"/>
          <w:b/>
          <w:sz w:val="24"/>
          <w:szCs w:val="24"/>
        </w:rPr>
        <w:t>the conviction is wrong in law</w:t>
      </w:r>
      <w:r>
        <w:rPr>
          <w:rFonts w:ascii="Times New Roman" w:hAnsi="Times New Roman" w:cs="Times New Roman"/>
          <w:sz w:val="24"/>
          <w:szCs w:val="24"/>
        </w:rPr>
        <w:t xml:space="preserve">” or that “ </w:t>
      </w:r>
      <w:r w:rsidRPr="00E472EC">
        <w:rPr>
          <w:rFonts w:ascii="Times New Roman" w:hAnsi="Times New Roman" w:cs="Times New Roman"/>
          <w:b/>
          <w:sz w:val="24"/>
          <w:szCs w:val="24"/>
        </w:rPr>
        <w:t>the learned magistrate erred in convicting the accused person in the absence of any concrete evidence showing beyond a reasonable doubt … that he committed the offence</w:t>
      </w:r>
      <w:r>
        <w:rPr>
          <w:rFonts w:ascii="Times New Roman" w:hAnsi="Times New Roman" w:cs="Times New Roman"/>
          <w:sz w:val="24"/>
          <w:szCs w:val="24"/>
        </w:rPr>
        <w:t>” were held to be all incurably bad. They do not tell anyone what is it that is being attacked. Such grounds were  held to be “</w:t>
      </w:r>
      <w:r w:rsidRPr="00E472EC">
        <w:rPr>
          <w:rFonts w:ascii="Times New Roman" w:hAnsi="Times New Roman" w:cs="Times New Roman"/>
          <w:b/>
          <w:sz w:val="24"/>
          <w:szCs w:val="24"/>
        </w:rPr>
        <w:t>meaningless</w:t>
      </w:r>
      <w:r>
        <w:rPr>
          <w:rFonts w:ascii="Times New Roman" w:hAnsi="Times New Roman" w:cs="Times New Roman"/>
          <w:sz w:val="24"/>
          <w:szCs w:val="24"/>
        </w:rPr>
        <w:t>”</w:t>
      </w:r>
    </w:p>
    <w:p w:rsidR="00AC3710" w:rsidRDefault="00AC3710" w:rsidP="00AC3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471E">
        <w:rPr>
          <w:rFonts w:ascii="Times New Roman" w:hAnsi="Times New Roman" w:cs="Times New Roman"/>
          <w:i/>
          <w:sz w:val="24"/>
          <w:szCs w:val="24"/>
        </w:rPr>
        <w:t>In casu</w:t>
      </w:r>
      <w:r>
        <w:rPr>
          <w:rFonts w:ascii="Times New Roman" w:hAnsi="Times New Roman" w:cs="Times New Roman"/>
          <w:sz w:val="24"/>
          <w:szCs w:val="24"/>
        </w:rPr>
        <w:t xml:space="preserve"> t</w:t>
      </w:r>
      <w:r w:rsidR="00E472EC">
        <w:rPr>
          <w:rFonts w:ascii="Times New Roman" w:hAnsi="Times New Roman" w:cs="Times New Roman"/>
          <w:sz w:val="24"/>
          <w:szCs w:val="24"/>
        </w:rPr>
        <w:t>he appellants ground of appeal a</w:t>
      </w:r>
      <w:r>
        <w:rPr>
          <w:rFonts w:ascii="Times New Roman" w:hAnsi="Times New Roman" w:cs="Times New Roman"/>
          <w:sz w:val="24"/>
          <w:szCs w:val="24"/>
        </w:rPr>
        <w:t>ver that “</w:t>
      </w:r>
      <w:r w:rsidRPr="00E472EC">
        <w:rPr>
          <w:rFonts w:ascii="Times New Roman" w:hAnsi="Times New Roman" w:cs="Times New Roman"/>
          <w:b/>
          <w:sz w:val="24"/>
          <w:szCs w:val="24"/>
        </w:rPr>
        <w:t>the learned magistrate grossly erred and misdirected himself on facts and law</w:t>
      </w:r>
      <w:r>
        <w:rPr>
          <w:rFonts w:ascii="Times New Roman" w:hAnsi="Times New Roman" w:cs="Times New Roman"/>
          <w:sz w:val="24"/>
          <w:szCs w:val="24"/>
        </w:rPr>
        <w:t xml:space="preserve"> “</w:t>
      </w:r>
      <w:r w:rsidRPr="00E472EC">
        <w:rPr>
          <w:rFonts w:ascii="Times New Roman" w:hAnsi="Times New Roman" w:cs="Times New Roman"/>
          <w:b/>
          <w:sz w:val="24"/>
          <w:szCs w:val="24"/>
        </w:rPr>
        <w:t>in concluding</w:t>
      </w:r>
      <w:r>
        <w:rPr>
          <w:rFonts w:ascii="Times New Roman" w:hAnsi="Times New Roman" w:cs="Times New Roman"/>
          <w:sz w:val="24"/>
          <w:szCs w:val="24"/>
        </w:rPr>
        <w:t>” or “</w:t>
      </w:r>
      <w:r w:rsidRPr="00E472EC">
        <w:rPr>
          <w:rFonts w:ascii="Times New Roman" w:hAnsi="Times New Roman" w:cs="Times New Roman"/>
          <w:b/>
          <w:sz w:val="24"/>
          <w:szCs w:val="24"/>
        </w:rPr>
        <w:t>in ordering</w:t>
      </w:r>
      <w:r>
        <w:rPr>
          <w:rFonts w:ascii="Times New Roman" w:hAnsi="Times New Roman" w:cs="Times New Roman"/>
          <w:sz w:val="24"/>
          <w:szCs w:val="24"/>
        </w:rPr>
        <w:t>” or “</w:t>
      </w:r>
      <w:r w:rsidRPr="00E472EC">
        <w:rPr>
          <w:rFonts w:ascii="Times New Roman" w:hAnsi="Times New Roman" w:cs="Times New Roman"/>
          <w:b/>
          <w:sz w:val="24"/>
          <w:szCs w:val="24"/>
        </w:rPr>
        <w:t>in putting to appropriate</w:t>
      </w:r>
      <w:r>
        <w:rPr>
          <w:rFonts w:ascii="Times New Roman" w:hAnsi="Times New Roman" w:cs="Times New Roman"/>
          <w:sz w:val="24"/>
          <w:szCs w:val="24"/>
        </w:rPr>
        <w:t xml:space="preserve">”, the use of all the words attacks the judgement of court or order granted as a result of a judgement or a ruling. All the grounds spelt by the appellants do not disclose what is it the appellants are complaining about, no wonder why the trial magistrate in his response to the grounds of appeal, properly in our view wrote that he stood by the reasons </w:t>
      </w:r>
      <w:r>
        <w:rPr>
          <w:rFonts w:ascii="Times New Roman" w:hAnsi="Times New Roman" w:cs="Times New Roman"/>
          <w:sz w:val="24"/>
          <w:szCs w:val="24"/>
        </w:rPr>
        <w:lastRenderedPageBreak/>
        <w:t xml:space="preserve">for his judgement filed of record, because he failed to appreciate what it was that he had failed or erred in his judgement. The points </w:t>
      </w:r>
      <w:r w:rsidRPr="0013471E">
        <w:rPr>
          <w:rFonts w:ascii="Times New Roman" w:hAnsi="Times New Roman" w:cs="Times New Roman"/>
          <w:i/>
          <w:sz w:val="24"/>
          <w:szCs w:val="24"/>
        </w:rPr>
        <w:t>in</w:t>
      </w:r>
      <w:r>
        <w:rPr>
          <w:rFonts w:ascii="Times New Roman" w:hAnsi="Times New Roman" w:cs="Times New Roman"/>
          <w:sz w:val="24"/>
          <w:szCs w:val="24"/>
        </w:rPr>
        <w:t xml:space="preserve"> </w:t>
      </w:r>
      <w:r w:rsidRPr="00E02B0C">
        <w:rPr>
          <w:rFonts w:ascii="Times New Roman" w:hAnsi="Times New Roman" w:cs="Times New Roman"/>
          <w:i/>
          <w:sz w:val="24"/>
          <w:szCs w:val="24"/>
        </w:rPr>
        <w:t>lemine</w:t>
      </w:r>
      <w:r>
        <w:rPr>
          <w:rFonts w:ascii="Times New Roman" w:hAnsi="Times New Roman" w:cs="Times New Roman"/>
          <w:sz w:val="24"/>
          <w:szCs w:val="24"/>
        </w:rPr>
        <w:t xml:space="preserve"> filed by the respondents are upheld. </w:t>
      </w:r>
    </w:p>
    <w:p w:rsidR="00AC3710" w:rsidRDefault="00AC3710" w:rsidP="00AC3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need for this court to express its displeasure towards this business as usual by legal practitioners in the drafting of the grounds of appeal before a legal practitioner embarks to draft his or her client’s notice of appeal in order at least to comply with the rules of the court. Failure to do so would lead to an order of costs </w:t>
      </w:r>
      <w:r w:rsidRPr="001A5C77">
        <w:rPr>
          <w:rFonts w:ascii="Times New Roman" w:hAnsi="Times New Roman" w:cs="Times New Roman"/>
          <w:i/>
          <w:sz w:val="24"/>
          <w:szCs w:val="24"/>
        </w:rPr>
        <w:t>de bonis propriis</w:t>
      </w:r>
      <w:r>
        <w:rPr>
          <w:rFonts w:ascii="Times New Roman" w:hAnsi="Times New Roman" w:cs="Times New Roman"/>
          <w:i/>
          <w:sz w:val="24"/>
          <w:szCs w:val="24"/>
        </w:rPr>
        <w:t xml:space="preserve"> </w:t>
      </w:r>
      <w:r>
        <w:rPr>
          <w:rFonts w:ascii="Times New Roman" w:hAnsi="Times New Roman" w:cs="Times New Roman"/>
          <w:sz w:val="24"/>
          <w:szCs w:val="24"/>
        </w:rPr>
        <w:t xml:space="preserve">on attorney client scale.  The appellants having received the respondents’ heads did not take any steps at least to apply for the amendment of the notice of appeal nor did the appellants engage the respondents and withdraw the defective notice from the court. Appellants nonchalantly proceeded to indicate and agree with the respondents to have the matter </w:t>
      </w:r>
      <w:r w:rsidR="00E472EC">
        <w:rPr>
          <w:rFonts w:ascii="Times New Roman" w:hAnsi="Times New Roman" w:cs="Times New Roman"/>
          <w:sz w:val="24"/>
          <w:szCs w:val="24"/>
        </w:rPr>
        <w:t xml:space="preserve">be </w:t>
      </w:r>
      <w:r>
        <w:rPr>
          <w:rFonts w:ascii="Times New Roman" w:hAnsi="Times New Roman" w:cs="Times New Roman"/>
          <w:sz w:val="24"/>
          <w:szCs w:val="24"/>
        </w:rPr>
        <w:t xml:space="preserve">decided on paper. That was </w:t>
      </w:r>
      <w:r w:rsidR="00E472EC">
        <w:rPr>
          <w:rFonts w:ascii="Times New Roman" w:hAnsi="Times New Roman" w:cs="Times New Roman"/>
          <w:sz w:val="24"/>
          <w:szCs w:val="24"/>
        </w:rPr>
        <w:t xml:space="preserve">not </w:t>
      </w:r>
      <w:r>
        <w:rPr>
          <w:rFonts w:ascii="Times New Roman" w:hAnsi="Times New Roman" w:cs="Times New Roman"/>
          <w:sz w:val="24"/>
          <w:szCs w:val="24"/>
        </w:rPr>
        <w:t>the proper attitude by the appellants.</w:t>
      </w:r>
    </w:p>
    <w:p w:rsidR="00AC3710" w:rsidRDefault="00AC3710" w:rsidP="00AC3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as follows:</w:t>
      </w:r>
    </w:p>
    <w:p w:rsidR="00AC3710" w:rsidRPr="001A5C77" w:rsidRDefault="00AC3710" w:rsidP="00AC3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is struck of the roll with costs on attorney and client scale.</w:t>
      </w:r>
    </w:p>
    <w:p w:rsidR="00AC3710" w:rsidRPr="00110E36" w:rsidRDefault="00AC3710" w:rsidP="00AC3710">
      <w:pPr>
        <w:spacing w:after="0" w:line="360" w:lineRule="auto"/>
        <w:ind w:firstLine="720"/>
        <w:jc w:val="both"/>
        <w:rPr>
          <w:rFonts w:ascii="Times New Roman" w:hAnsi="Times New Roman" w:cs="Times New Roman"/>
          <w:sz w:val="24"/>
          <w:szCs w:val="24"/>
        </w:rPr>
      </w:pPr>
    </w:p>
    <w:p w:rsidR="00AC3710" w:rsidRPr="00110E36" w:rsidRDefault="00AC3710" w:rsidP="00AC3710">
      <w:pPr>
        <w:spacing w:after="0" w:line="360" w:lineRule="auto"/>
        <w:ind w:firstLine="720"/>
        <w:jc w:val="both"/>
        <w:rPr>
          <w:rFonts w:ascii="Times New Roman" w:hAnsi="Times New Roman" w:cs="Times New Roman"/>
          <w:sz w:val="24"/>
          <w:szCs w:val="24"/>
        </w:rPr>
      </w:pPr>
      <w:r w:rsidRPr="00110E36">
        <w:rPr>
          <w:rFonts w:ascii="Times New Roman" w:hAnsi="Times New Roman" w:cs="Times New Roman"/>
          <w:sz w:val="24"/>
          <w:szCs w:val="24"/>
        </w:rPr>
        <w:t xml:space="preserve"> </w:t>
      </w:r>
    </w:p>
    <w:p w:rsidR="00AC3710" w:rsidRDefault="00AC3710" w:rsidP="00AC3710">
      <w:pPr>
        <w:spacing w:after="0" w:line="360" w:lineRule="auto"/>
        <w:jc w:val="both"/>
        <w:rPr>
          <w:rFonts w:ascii="Times New Roman" w:hAnsi="Times New Roman" w:cs="Times New Roman"/>
          <w:sz w:val="24"/>
          <w:szCs w:val="24"/>
        </w:rPr>
      </w:pPr>
    </w:p>
    <w:p w:rsidR="00AC3710" w:rsidRDefault="00AC3710" w:rsidP="00AC3710">
      <w:pPr>
        <w:spacing w:after="0" w:line="360" w:lineRule="auto"/>
        <w:jc w:val="both"/>
        <w:rPr>
          <w:rFonts w:ascii="Times New Roman" w:hAnsi="Times New Roman" w:cs="Times New Roman"/>
          <w:sz w:val="24"/>
          <w:szCs w:val="24"/>
        </w:rPr>
      </w:pPr>
    </w:p>
    <w:p w:rsidR="00D37772" w:rsidRDefault="00D37772" w:rsidP="00AC3710">
      <w:pPr>
        <w:spacing w:after="0" w:line="360" w:lineRule="auto"/>
        <w:jc w:val="both"/>
        <w:rPr>
          <w:rFonts w:ascii="Times New Roman" w:hAnsi="Times New Roman" w:cs="Times New Roman"/>
          <w:sz w:val="24"/>
          <w:szCs w:val="24"/>
        </w:rPr>
      </w:pPr>
    </w:p>
    <w:p w:rsidR="00AC3710" w:rsidRDefault="00AC3710" w:rsidP="00AC3710">
      <w:pPr>
        <w:spacing w:after="0" w:line="360" w:lineRule="auto"/>
        <w:jc w:val="both"/>
        <w:rPr>
          <w:rFonts w:ascii="Times New Roman" w:hAnsi="Times New Roman" w:cs="Times New Roman"/>
          <w:sz w:val="24"/>
          <w:szCs w:val="24"/>
        </w:rPr>
      </w:pPr>
    </w:p>
    <w:p w:rsidR="007D60CA" w:rsidRPr="00465643" w:rsidRDefault="00AC3710" w:rsidP="00921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w:t>
      </w:r>
    </w:p>
    <w:sectPr w:rsidR="007D60CA" w:rsidRPr="0046564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2FC" w:rsidRDefault="00D372FC" w:rsidP="00A170B3">
      <w:pPr>
        <w:spacing w:after="0" w:line="240" w:lineRule="auto"/>
      </w:pPr>
      <w:r>
        <w:separator/>
      </w:r>
    </w:p>
  </w:endnote>
  <w:endnote w:type="continuationSeparator" w:id="0">
    <w:p w:rsidR="00D372FC" w:rsidRDefault="00D372FC"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2FC" w:rsidRDefault="00D372FC" w:rsidP="00A170B3">
      <w:pPr>
        <w:spacing w:after="0" w:line="240" w:lineRule="auto"/>
      </w:pPr>
      <w:r>
        <w:separator/>
      </w:r>
    </w:p>
  </w:footnote>
  <w:footnote w:type="continuationSeparator" w:id="0">
    <w:p w:rsidR="00D372FC" w:rsidRDefault="00D372FC" w:rsidP="00A170B3">
      <w:pPr>
        <w:spacing w:after="0" w:line="240" w:lineRule="auto"/>
      </w:pPr>
      <w:r>
        <w:continuationSeparator/>
      </w:r>
    </w:p>
  </w:footnote>
  <w:footnote w:id="1">
    <w:p w:rsidR="00AA274E" w:rsidRDefault="00AA274E">
      <w:pPr>
        <w:pStyle w:val="FootnoteText"/>
      </w:pPr>
      <w:r>
        <w:rPr>
          <w:rStyle w:val="FootnoteReference"/>
        </w:rPr>
        <w:footnoteRef/>
      </w:r>
      <w:r>
        <w:t xml:space="preserve"> </w:t>
      </w:r>
      <w:r w:rsidR="00347411">
        <w:t>QINGSHAM INVESTMENTS (</w:t>
      </w:r>
      <w:r w:rsidR="00915E39">
        <w:t>PRIVATE)</w:t>
      </w:r>
      <w:r w:rsidR="00347411">
        <w:t xml:space="preserve"> LIMITYED V ZIMBABWE REVENUE AUTHORITY HH 207/17.</w:t>
      </w:r>
    </w:p>
  </w:footnote>
  <w:footnote w:id="2">
    <w:p w:rsidR="007F2C6A" w:rsidRDefault="007F2C6A">
      <w:pPr>
        <w:pStyle w:val="FootnoteText"/>
      </w:pPr>
      <w:r>
        <w:rPr>
          <w:rStyle w:val="FootnoteReference"/>
        </w:rPr>
        <w:footnoteRef/>
      </w:r>
      <w:r>
        <w:t xml:space="preserve"> See DZINOREVA V THE STATE HH 780/15</w:t>
      </w:r>
    </w:p>
  </w:footnote>
  <w:footnote w:id="3">
    <w:p w:rsidR="00306D4B" w:rsidRPr="00306D4B" w:rsidRDefault="00306D4B">
      <w:pPr>
        <w:pStyle w:val="FootnoteText"/>
      </w:pPr>
      <w:r>
        <w:rPr>
          <w:rStyle w:val="FootnoteReference"/>
        </w:rPr>
        <w:footnoteRef/>
      </w:r>
      <w:r>
        <w:t xml:space="preserve"> KODZWA V YAMBUKA &amp; ORS </w:t>
      </w:r>
      <w:r>
        <w:rPr>
          <w:i/>
        </w:rPr>
        <w:t xml:space="preserve"> </w:t>
      </w:r>
      <w:r>
        <w:t>HH 389/16</w:t>
      </w:r>
    </w:p>
  </w:footnote>
  <w:footnote w:id="4">
    <w:p w:rsidR="000B5159" w:rsidRPr="000B5159" w:rsidRDefault="000B5159">
      <w:pPr>
        <w:pStyle w:val="FootnoteText"/>
      </w:pPr>
      <w:r>
        <w:rPr>
          <w:rStyle w:val="FootnoteReference"/>
        </w:rPr>
        <w:footnoteRef/>
      </w:r>
      <w:r>
        <w:t xml:space="preserve"> (</w:t>
      </w:r>
      <w:r>
        <w:rPr>
          <w:i/>
        </w:rPr>
        <w:t>supra</w:t>
      </w:r>
      <w:r>
        <w:t>)</w:t>
      </w:r>
    </w:p>
  </w:footnote>
  <w:footnote w:id="5">
    <w:p w:rsidR="00AC3710" w:rsidRDefault="00AC3710" w:rsidP="00AC3710">
      <w:pPr>
        <w:pStyle w:val="FootnoteText"/>
      </w:pPr>
      <w:r>
        <w:rPr>
          <w:rStyle w:val="FootnoteReference"/>
        </w:rPr>
        <w:footnoteRef/>
      </w:r>
      <w:r>
        <w:rPr>
          <w:rStyle w:val="FootnoteReference"/>
        </w:rPr>
        <w:footnoteRef/>
      </w:r>
      <w:r>
        <w:t xml:space="preserve"> 1986 (2) 280 (SC at 282 B-E</w:t>
      </w:r>
    </w:p>
  </w:footnote>
  <w:footnote w:id="6">
    <w:p w:rsidR="00AC3710" w:rsidRDefault="00AC3710" w:rsidP="00AC3710">
      <w:pPr>
        <w:pStyle w:val="FootnoteText"/>
      </w:pPr>
      <w:r>
        <w:rPr>
          <w:rStyle w:val="FootnoteReference"/>
        </w:rPr>
        <w:footnoteRef/>
      </w:r>
      <w:r>
        <w:t xml:space="preserve"> 1990 (2) ZLR 166 (SC)</w:t>
      </w:r>
    </w:p>
  </w:footnote>
  <w:footnote w:id="7">
    <w:p w:rsidR="00AC3710" w:rsidRDefault="00AC3710" w:rsidP="00AC3710">
      <w:pPr>
        <w:pStyle w:val="FootnoteText"/>
      </w:pPr>
      <w:r>
        <w:rPr>
          <w:rStyle w:val="FootnoteReference"/>
        </w:rPr>
        <w:footnoteRef/>
      </w:r>
      <w:r>
        <w:t xml:space="preserve"> S v Sibanda 2001 (2) ZLR 514 (H) </w:t>
      </w:r>
    </w:p>
  </w:footnote>
  <w:footnote w:id="8">
    <w:p w:rsidR="00AC3710" w:rsidRDefault="00AC3710" w:rsidP="00AC3710">
      <w:pPr>
        <w:pStyle w:val="FootnoteText"/>
      </w:pPr>
      <w:r>
        <w:rPr>
          <w:rStyle w:val="FootnoteReference"/>
        </w:rPr>
        <w:footnoteRef/>
      </w:r>
      <w:r>
        <w:t xml:space="preserve"> See also the matter of Jonga v Minister of Lands HH 243/17</w:t>
      </w:r>
    </w:p>
  </w:footnote>
  <w:footnote w:id="9">
    <w:p w:rsidR="00AC3710" w:rsidRDefault="00AC3710" w:rsidP="00AC3710">
      <w:pPr>
        <w:pStyle w:val="FootnoteText"/>
      </w:pPr>
      <w:r>
        <w:rPr>
          <w:rStyle w:val="FootnoteReference"/>
        </w:rPr>
        <w:footnoteRef/>
      </w:r>
      <w:r>
        <w:t xml:space="preserve"> SC 25/17</w:t>
      </w:r>
    </w:p>
  </w:footnote>
  <w:footnote w:id="10">
    <w:p w:rsidR="00AC3710" w:rsidRDefault="00AC3710" w:rsidP="00AC3710">
      <w:pPr>
        <w:pStyle w:val="FootnoteText"/>
      </w:pPr>
      <w:r>
        <w:rPr>
          <w:rStyle w:val="FootnoteReference"/>
        </w:rPr>
        <w:footnoteRef/>
      </w:r>
      <w:r>
        <w:t xml:space="preserve"> Supra </w:t>
      </w:r>
    </w:p>
  </w:footnote>
  <w:footnote w:id="11">
    <w:p w:rsidR="00AC3710" w:rsidRDefault="00AC3710" w:rsidP="00AC3710">
      <w:pPr>
        <w:pStyle w:val="FootnoteText"/>
      </w:pPr>
      <w:r>
        <w:rPr>
          <w:rStyle w:val="FootnoteReference"/>
        </w:rPr>
        <w:footnoteRef/>
      </w:r>
      <w:r>
        <w:t xml:space="preserve"> In Van de Walt v Abreu 1994 (4) SA 85 (w) </w:t>
      </w:r>
    </w:p>
  </w:footnote>
  <w:footnote w:id="12">
    <w:p w:rsidR="00AC3710" w:rsidRDefault="00AC3710" w:rsidP="00AC3710">
      <w:pPr>
        <w:pStyle w:val="FootnoteText"/>
      </w:pPr>
      <w:r>
        <w:rPr>
          <w:rStyle w:val="FootnoteReference"/>
        </w:rPr>
        <w:footnoteRef/>
      </w:r>
      <w:r>
        <w:t xml:space="preserve"> Chikura No. &amp; Another AL Sham Global BVI Ltd SC 17/2017</w:t>
      </w:r>
    </w:p>
  </w:footnote>
  <w:footnote w:id="13">
    <w:p w:rsidR="00AC3710" w:rsidRDefault="00AC3710" w:rsidP="00AC3710">
      <w:pPr>
        <w:pStyle w:val="FootnoteText"/>
      </w:pPr>
      <w:r>
        <w:rPr>
          <w:rStyle w:val="FootnoteReference"/>
        </w:rPr>
        <w:footnoteRef/>
      </w:r>
      <w:r>
        <w:t xml:space="preserve"> HH 780/15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511F8F">
          <w:rPr>
            <w:rFonts w:ascii="Times New Roman" w:hAnsi="Times New Roman" w:cs="Times New Roman"/>
            <w:noProof/>
          </w:rPr>
          <w:t>1</w:t>
        </w:r>
        <w:r w:rsidRPr="00A170B3">
          <w:rPr>
            <w:rFonts w:ascii="Times New Roman" w:hAnsi="Times New Roman" w:cs="Times New Roman"/>
            <w:noProof/>
          </w:rPr>
          <w:fldChar w:fldCharType="end"/>
        </w:r>
      </w:p>
      <w:p w:rsidR="00A170B3" w:rsidRDefault="009E595D">
        <w:pPr>
          <w:pStyle w:val="Header"/>
          <w:jc w:val="right"/>
          <w:rPr>
            <w:rFonts w:ascii="Times New Roman" w:hAnsi="Times New Roman" w:cs="Times New Roman"/>
            <w:noProof/>
          </w:rPr>
        </w:pPr>
        <w:r>
          <w:rPr>
            <w:rFonts w:ascii="Times New Roman" w:hAnsi="Times New Roman" w:cs="Times New Roman"/>
            <w:noProof/>
          </w:rPr>
          <w:t>HMT 37-20</w:t>
        </w:r>
      </w:p>
      <w:p w:rsidR="00A170B3" w:rsidRPr="00A170B3" w:rsidRDefault="00B16FC9">
        <w:pPr>
          <w:pStyle w:val="Header"/>
          <w:jc w:val="right"/>
          <w:rPr>
            <w:rFonts w:ascii="Times New Roman" w:hAnsi="Times New Roman" w:cs="Times New Roman"/>
          </w:rPr>
        </w:pPr>
        <w:r>
          <w:rPr>
            <w:rFonts w:ascii="Times New Roman" w:hAnsi="Times New Roman" w:cs="Times New Roman"/>
          </w:rPr>
          <w:t>CIV ‘A’ 18/19</w:t>
        </w:r>
      </w:p>
    </w:sdtContent>
  </w:sdt>
  <w:p w:rsidR="00A170B3" w:rsidRPr="00A170B3" w:rsidRDefault="00B16FC9" w:rsidP="00B16FC9">
    <w:pPr>
      <w:pStyle w:val="Header"/>
      <w:tabs>
        <w:tab w:val="clear" w:pos="4513"/>
        <w:tab w:val="clear" w:pos="9026"/>
        <w:tab w:val="left" w:pos="8175"/>
      </w:tabs>
      <w:rPr>
        <w:rFonts w:ascii="Times New Roman" w:hAnsi="Times New Roman" w:cs="Times New Roman"/>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7C8"/>
    <w:multiLevelType w:val="hybridMultilevel"/>
    <w:tmpl w:val="BC0CAD2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015835C6"/>
    <w:multiLevelType w:val="hybridMultilevel"/>
    <w:tmpl w:val="31FA962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2483A7C"/>
    <w:multiLevelType w:val="hybridMultilevel"/>
    <w:tmpl w:val="DDF213AC"/>
    <w:lvl w:ilvl="0" w:tplc="62E2D5E2">
      <w:start w:val="19"/>
      <w:numFmt w:val="upp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03272EE5"/>
    <w:multiLevelType w:val="hybridMultilevel"/>
    <w:tmpl w:val="67A6A41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6" w15:restartNumberingAfterBreak="0">
    <w:nsid w:val="0B1377FF"/>
    <w:multiLevelType w:val="hybridMultilevel"/>
    <w:tmpl w:val="627A752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0DA94418"/>
    <w:multiLevelType w:val="hybridMultilevel"/>
    <w:tmpl w:val="FF1C68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0DF11BA9"/>
    <w:multiLevelType w:val="hybridMultilevel"/>
    <w:tmpl w:val="B0984010"/>
    <w:lvl w:ilvl="0" w:tplc="889C37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0F4E4FE6"/>
    <w:multiLevelType w:val="hybridMultilevel"/>
    <w:tmpl w:val="FF04EEE2"/>
    <w:lvl w:ilvl="0" w:tplc="3009000F">
      <w:start w:val="1"/>
      <w:numFmt w:val="decimal"/>
      <w:lvlText w:val="%1."/>
      <w:lvlJc w:val="left"/>
      <w:pPr>
        <w:ind w:left="1498" w:hanging="360"/>
      </w:pPr>
    </w:lvl>
    <w:lvl w:ilvl="1" w:tplc="30090019" w:tentative="1">
      <w:start w:val="1"/>
      <w:numFmt w:val="lowerLetter"/>
      <w:lvlText w:val="%2."/>
      <w:lvlJc w:val="left"/>
      <w:pPr>
        <w:ind w:left="2218" w:hanging="360"/>
      </w:pPr>
    </w:lvl>
    <w:lvl w:ilvl="2" w:tplc="3009001B" w:tentative="1">
      <w:start w:val="1"/>
      <w:numFmt w:val="lowerRoman"/>
      <w:lvlText w:val="%3."/>
      <w:lvlJc w:val="right"/>
      <w:pPr>
        <w:ind w:left="2938" w:hanging="180"/>
      </w:pPr>
    </w:lvl>
    <w:lvl w:ilvl="3" w:tplc="3009000F" w:tentative="1">
      <w:start w:val="1"/>
      <w:numFmt w:val="decimal"/>
      <w:lvlText w:val="%4."/>
      <w:lvlJc w:val="left"/>
      <w:pPr>
        <w:ind w:left="3658" w:hanging="360"/>
      </w:pPr>
    </w:lvl>
    <w:lvl w:ilvl="4" w:tplc="30090019" w:tentative="1">
      <w:start w:val="1"/>
      <w:numFmt w:val="lowerLetter"/>
      <w:lvlText w:val="%5."/>
      <w:lvlJc w:val="left"/>
      <w:pPr>
        <w:ind w:left="4378" w:hanging="360"/>
      </w:pPr>
    </w:lvl>
    <w:lvl w:ilvl="5" w:tplc="3009001B" w:tentative="1">
      <w:start w:val="1"/>
      <w:numFmt w:val="lowerRoman"/>
      <w:lvlText w:val="%6."/>
      <w:lvlJc w:val="right"/>
      <w:pPr>
        <w:ind w:left="5098" w:hanging="180"/>
      </w:pPr>
    </w:lvl>
    <w:lvl w:ilvl="6" w:tplc="3009000F" w:tentative="1">
      <w:start w:val="1"/>
      <w:numFmt w:val="decimal"/>
      <w:lvlText w:val="%7."/>
      <w:lvlJc w:val="left"/>
      <w:pPr>
        <w:ind w:left="5818" w:hanging="360"/>
      </w:pPr>
    </w:lvl>
    <w:lvl w:ilvl="7" w:tplc="30090019" w:tentative="1">
      <w:start w:val="1"/>
      <w:numFmt w:val="lowerLetter"/>
      <w:lvlText w:val="%8."/>
      <w:lvlJc w:val="left"/>
      <w:pPr>
        <w:ind w:left="6538" w:hanging="360"/>
      </w:pPr>
    </w:lvl>
    <w:lvl w:ilvl="8" w:tplc="3009001B" w:tentative="1">
      <w:start w:val="1"/>
      <w:numFmt w:val="lowerRoman"/>
      <w:lvlText w:val="%9."/>
      <w:lvlJc w:val="right"/>
      <w:pPr>
        <w:ind w:left="7258" w:hanging="180"/>
      </w:pPr>
    </w:lvl>
  </w:abstractNum>
  <w:abstractNum w:abstractNumId="11" w15:restartNumberingAfterBreak="0">
    <w:nsid w:val="11360033"/>
    <w:multiLevelType w:val="hybridMultilevel"/>
    <w:tmpl w:val="9FA29136"/>
    <w:lvl w:ilvl="0" w:tplc="39E67E6E">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40115B4"/>
    <w:multiLevelType w:val="hybridMultilevel"/>
    <w:tmpl w:val="1D7A3B1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1D127646"/>
    <w:multiLevelType w:val="hybridMultilevel"/>
    <w:tmpl w:val="0E90F67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1DCE1C73"/>
    <w:multiLevelType w:val="hybridMultilevel"/>
    <w:tmpl w:val="253A7574"/>
    <w:lvl w:ilvl="0" w:tplc="3009000F">
      <w:start w:val="1"/>
      <w:numFmt w:val="decimal"/>
      <w:lvlText w:val="%1."/>
      <w:lvlJc w:val="left"/>
      <w:pPr>
        <w:ind w:left="764" w:hanging="360"/>
      </w:pPr>
    </w:lvl>
    <w:lvl w:ilvl="1" w:tplc="30090019" w:tentative="1">
      <w:start w:val="1"/>
      <w:numFmt w:val="lowerLetter"/>
      <w:lvlText w:val="%2."/>
      <w:lvlJc w:val="left"/>
      <w:pPr>
        <w:ind w:left="1484" w:hanging="360"/>
      </w:pPr>
    </w:lvl>
    <w:lvl w:ilvl="2" w:tplc="3009001B" w:tentative="1">
      <w:start w:val="1"/>
      <w:numFmt w:val="lowerRoman"/>
      <w:lvlText w:val="%3."/>
      <w:lvlJc w:val="right"/>
      <w:pPr>
        <w:ind w:left="2204" w:hanging="180"/>
      </w:pPr>
    </w:lvl>
    <w:lvl w:ilvl="3" w:tplc="3009000F" w:tentative="1">
      <w:start w:val="1"/>
      <w:numFmt w:val="decimal"/>
      <w:lvlText w:val="%4."/>
      <w:lvlJc w:val="left"/>
      <w:pPr>
        <w:ind w:left="2924" w:hanging="360"/>
      </w:pPr>
    </w:lvl>
    <w:lvl w:ilvl="4" w:tplc="30090019" w:tentative="1">
      <w:start w:val="1"/>
      <w:numFmt w:val="lowerLetter"/>
      <w:lvlText w:val="%5."/>
      <w:lvlJc w:val="left"/>
      <w:pPr>
        <w:ind w:left="3644" w:hanging="360"/>
      </w:pPr>
    </w:lvl>
    <w:lvl w:ilvl="5" w:tplc="3009001B" w:tentative="1">
      <w:start w:val="1"/>
      <w:numFmt w:val="lowerRoman"/>
      <w:lvlText w:val="%6."/>
      <w:lvlJc w:val="right"/>
      <w:pPr>
        <w:ind w:left="4364" w:hanging="180"/>
      </w:pPr>
    </w:lvl>
    <w:lvl w:ilvl="6" w:tplc="3009000F" w:tentative="1">
      <w:start w:val="1"/>
      <w:numFmt w:val="decimal"/>
      <w:lvlText w:val="%7."/>
      <w:lvlJc w:val="left"/>
      <w:pPr>
        <w:ind w:left="5084" w:hanging="360"/>
      </w:pPr>
    </w:lvl>
    <w:lvl w:ilvl="7" w:tplc="30090019" w:tentative="1">
      <w:start w:val="1"/>
      <w:numFmt w:val="lowerLetter"/>
      <w:lvlText w:val="%8."/>
      <w:lvlJc w:val="left"/>
      <w:pPr>
        <w:ind w:left="5804" w:hanging="360"/>
      </w:pPr>
    </w:lvl>
    <w:lvl w:ilvl="8" w:tplc="3009001B" w:tentative="1">
      <w:start w:val="1"/>
      <w:numFmt w:val="lowerRoman"/>
      <w:lvlText w:val="%9."/>
      <w:lvlJc w:val="right"/>
      <w:pPr>
        <w:ind w:left="6524" w:hanging="180"/>
      </w:pPr>
    </w:lvl>
  </w:abstractNum>
  <w:abstractNum w:abstractNumId="16" w15:restartNumberingAfterBreak="0">
    <w:nsid w:val="1F2B6146"/>
    <w:multiLevelType w:val="hybridMultilevel"/>
    <w:tmpl w:val="053E948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1F955E35"/>
    <w:multiLevelType w:val="hybridMultilevel"/>
    <w:tmpl w:val="DEEECA4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21E457F3"/>
    <w:multiLevelType w:val="hybridMultilevel"/>
    <w:tmpl w:val="485A3C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245C12D7"/>
    <w:multiLevelType w:val="hybridMultilevel"/>
    <w:tmpl w:val="C81A038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26983C1B"/>
    <w:multiLevelType w:val="hybridMultilevel"/>
    <w:tmpl w:val="A93E36A8"/>
    <w:lvl w:ilvl="0" w:tplc="94DA0D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2F592399"/>
    <w:multiLevelType w:val="hybridMultilevel"/>
    <w:tmpl w:val="C8A2611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319D184D"/>
    <w:multiLevelType w:val="hybridMultilevel"/>
    <w:tmpl w:val="FD2E669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387346B6"/>
    <w:multiLevelType w:val="hybridMultilevel"/>
    <w:tmpl w:val="CBC038AC"/>
    <w:lvl w:ilvl="0" w:tplc="03CCF12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3A6A3D4E"/>
    <w:multiLevelType w:val="hybridMultilevel"/>
    <w:tmpl w:val="7A8A98F2"/>
    <w:lvl w:ilvl="0" w:tplc="A3767A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3B381998"/>
    <w:multiLevelType w:val="multilevel"/>
    <w:tmpl w:val="0180D7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DB62037"/>
    <w:multiLevelType w:val="hybridMultilevel"/>
    <w:tmpl w:val="CDEC5BF4"/>
    <w:lvl w:ilvl="0" w:tplc="6C2AF572">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28" w15:restartNumberingAfterBreak="0">
    <w:nsid w:val="41E24F2E"/>
    <w:multiLevelType w:val="hybridMultilevel"/>
    <w:tmpl w:val="B246D6C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505F0348"/>
    <w:multiLevelType w:val="hybridMultilevel"/>
    <w:tmpl w:val="A00C9E74"/>
    <w:lvl w:ilvl="0" w:tplc="494A186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1614F2A"/>
    <w:multiLevelType w:val="hybridMultilevel"/>
    <w:tmpl w:val="EC0C1AB6"/>
    <w:lvl w:ilvl="0" w:tplc="5DFACB6E">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2"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5DB81A8F"/>
    <w:multiLevelType w:val="hybridMultilevel"/>
    <w:tmpl w:val="79508856"/>
    <w:lvl w:ilvl="0" w:tplc="3009000F">
      <w:start w:val="1"/>
      <w:numFmt w:val="decimal"/>
      <w:lvlText w:val="%1."/>
      <w:lvlJc w:val="left"/>
      <w:pPr>
        <w:ind w:left="720" w:hanging="360"/>
      </w:pPr>
    </w:lvl>
    <w:lvl w:ilvl="1" w:tplc="C9A8B39A">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8F7178D"/>
    <w:multiLevelType w:val="hybridMultilevel"/>
    <w:tmpl w:val="E14003A8"/>
    <w:lvl w:ilvl="0" w:tplc="EB5E0EAA">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5"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36" w15:restartNumberingAfterBreak="0">
    <w:nsid w:val="69372865"/>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670D6E"/>
    <w:multiLevelType w:val="hybridMultilevel"/>
    <w:tmpl w:val="C4128C52"/>
    <w:lvl w:ilvl="0" w:tplc="D44C03F8">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38" w15:restartNumberingAfterBreak="0">
    <w:nsid w:val="7C910A8C"/>
    <w:multiLevelType w:val="hybridMultilevel"/>
    <w:tmpl w:val="0A56DE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29"/>
  </w:num>
  <w:num w:numId="3">
    <w:abstractNumId w:val="19"/>
  </w:num>
  <w:num w:numId="4">
    <w:abstractNumId w:val="4"/>
  </w:num>
  <w:num w:numId="5">
    <w:abstractNumId w:val="14"/>
  </w:num>
  <w:num w:numId="6">
    <w:abstractNumId w:val="32"/>
  </w:num>
  <w:num w:numId="7">
    <w:abstractNumId w:val="35"/>
  </w:num>
  <w:num w:numId="8">
    <w:abstractNumId w:val="5"/>
  </w:num>
  <w:num w:numId="9">
    <w:abstractNumId w:val="25"/>
  </w:num>
  <w:num w:numId="10">
    <w:abstractNumId w:val="8"/>
  </w:num>
  <w:num w:numId="11">
    <w:abstractNumId w:val="24"/>
  </w:num>
  <w:num w:numId="12">
    <w:abstractNumId w:val="26"/>
  </w:num>
  <w:num w:numId="13">
    <w:abstractNumId w:val="30"/>
  </w:num>
  <w:num w:numId="14">
    <w:abstractNumId w:val="21"/>
  </w:num>
  <w:num w:numId="15">
    <w:abstractNumId w:val="20"/>
  </w:num>
  <w:num w:numId="16">
    <w:abstractNumId w:val="10"/>
  </w:num>
  <w:num w:numId="17">
    <w:abstractNumId w:val="17"/>
  </w:num>
  <w:num w:numId="18">
    <w:abstractNumId w:val="15"/>
  </w:num>
  <w:num w:numId="19">
    <w:abstractNumId w:val="7"/>
  </w:num>
  <w:num w:numId="20">
    <w:abstractNumId w:val="13"/>
  </w:num>
  <w:num w:numId="21">
    <w:abstractNumId w:val="18"/>
  </w:num>
  <w:num w:numId="22">
    <w:abstractNumId w:val="33"/>
  </w:num>
  <w:num w:numId="23">
    <w:abstractNumId w:val="28"/>
  </w:num>
  <w:num w:numId="24">
    <w:abstractNumId w:val="22"/>
  </w:num>
  <w:num w:numId="25">
    <w:abstractNumId w:val="3"/>
  </w:num>
  <w:num w:numId="26">
    <w:abstractNumId w:val="0"/>
  </w:num>
  <w:num w:numId="27">
    <w:abstractNumId w:val="16"/>
  </w:num>
  <w:num w:numId="28">
    <w:abstractNumId w:val="11"/>
  </w:num>
  <w:num w:numId="29">
    <w:abstractNumId w:val="36"/>
  </w:num>
  <w:num w:numId="30">
    <w:abstractNumId w:val="1"/>
  </w:num>
  <w:num w:numId="31">
    <w:abstractNumId w:val="38"/>
  </w:num>
  <w:num w:numId="32">
    <w:abstractNumId w:val="6"/>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06D67"/>
    <w:rsid w:val="0001098C"/>
    <w:rsid w:val="0001150A"/>
    <w:rsid w:val="00020D39"/>
    <w:rsid w:val="000221DE"/>
    <w:rsid w:val="00023310"/>
    <w:rsid w:val="00024F44"/>
    <w:rsid w:val="00030491"/>
    <w:rsid w:val="00033468"/>
    <w:rsid w:val="0003397C"/>
    <w:rsid w:val="00034441"/>
    <w:rsid w:val="0004230F"/>
    <w:rsid w:val="00044D60"/>
    <w:rsid w:val="0004595C"/>
    <w:rsid w:val="00055EB0"/>
    <w:rsid w:val="000575F5"/>
    <w:rsid w:val="00060AA4"/>
    <w:rsid w:val="0006192C"/>
    <w:rsid w:val="00066B6C"/>
    <w:rsid w:val="0007450A"/>
    <w:rsid w:val="0007554D"/>
    <w:rsid w:val="000904CE"/>
    <w:rsid w:val="00091E47"/>
    <w:rsid w:val="000A0148"/>
    <w:rsid w:val="000A6C61"/>
    <w:rsid w:val="000B135C"/>
    <w:rsid w:val="000B5159"/>
    <w:rsid w:val="000B545F"/>
    <w:rsid w:val="000B7DEA"/>
    <w:rsid w:val="000C28D1"/>
    <w:rsid w:val="000C41EB"/>
    <w:rsid w:val="000C5A2F"/>
    <w:rsid w:val="000D1FC4"/>
    <w:rsid w:val="000D3721"/>
    <w:rsid w:val="000D492B"/>
    <w:rsid w:val="000D53D0"/>
    <w:rsid w:val="000E13C3"/>
    <w:rsid w:val="000E630D"/>
    <w:rsid w:val="000E6B18"/>
    <w:rsid w:val="000F627A"/>
    <w:rsid w:val="000F63F1"/>
    <w:rsid w:val="0010193D"/>
    <w:rsid w:val="00106A30"/>
    <w:rsid w:val="00107A1A"/>
    <w:rsid w:val="00110822"/>
    <w:rsid w:val="00112A5B"/>
    <w:rsid w:val="00115894"/>
    <w:rsid w:val="00116B9E"/>
    <w:rsid w:val="00117222"/>
    <w:rsid w:val="00120DC8"/>
    <w:rsid w:val="001210C3"/>
    <w:rsid w:val="0012385A"/>
    <w:rsid w:val="001254FF"/>
    <w:rsid w:val="0012792F"/>
    <w:rsid w:val="00130B1E"/>
    <w:rsid w:val="00130EAC"/>
    <w:rsid w:val="00131B07"/>
    <w:rsid w:val="00136DD1"/>
    <w:rsid w:val="001431D1"/>
    <w:rsid w:val="00150567"/>
    <w:rsid w:val="00157825"/>
    <w:rsid w:val="00160662"/>
    <w:rsid w:val="001630DC"/>
    <w:rsid w:val="00163CBD"/>
    <w:rsid w:val="0016704F"/>
    <w:rsid w:val="00172FE3"/>
    <w:rsid w:val="00177D22"/>
    <w:rsid w:val="00177FA9"/>
    <w:rsid w:val="00180C42"/>
    <w:rsid w:val="00182057"/>
    <w:rsid w:val="001821C7"/>
    <w:rsid w:val="001822CF"/>
    <w:rsid w:val="00184123"/>
    <w:rsid w:val="001872F8"/>
    <w:rsid w:val="00187801"/>
    <w:rsid w:val="00193AEC"/>
    <w:rsid w:val="00193EA8"/>
    <w:rsid w:val="00194AEA"/>
    <w:rsid w:val="001A4FE9"/>
    <w:rsid w:val="001A5B7A"/>
    <w:rsid w:val="001A6127"/>
    <w:rsid w:val="001B0A60"/>
    <w:rsid w:val="001B0B03"/>
    <w:rsid w:val="001B2DC3"/>
    <w:rsid w:val="001B33AE"/>
    <w:rsid w:val="001D06BE"/>
    <w:rsid w:val="001D2B53"/>
    <w:rsid w:val="001E22AA"/>
    <w:rsid w:val="001E5084"/>
    <w:rsid w:val="001E7957"/>
    <w:rsid w:val="001F0497"/>
    <w:rsid w:val="001F0BFD"/>
    <w:rsid w:val="001F2157"/>
    <w:rsid w:val="001F3F95"/>
    <w:rsid w:val="001F4085"/>
    <w:rsid w:val="001F56CD"/>
    <w:rsid w:val="001F5BD5"/>
    <w:rsid w:val="001F5DF5"/>
    <w:rsid w:val="00200D89"/>
    <w:rsid w:val="00204999"/>
    <w:rsid w:val="002066D5"/>
    <w:rsid w:val="002110B7"/>
    <w:rsid w:val="002176C3"/>
    <w:rsid w:val="0023590F"/>
    <w:rsid w:val="00237044"/>
    <w:rsid w:val="002440EB"/>
    <w:rsid w:val="002443E9"/>
    <w:rsid w:val="002539CF"/>
    <w:rsid w:val="00253A8D"/>
    <w:rsid w:val="00260E02"/>
    <w:rsid w:val="00262863"/>
    <w:rsid w:val="002631A1"/>
    <w:rsid w:val="002732E0"/>
    <w:rsid w:val="00274476"/>
    <w:rsid w:val="00276839"/>
    <w:rsid w:val="0029206D"/>
    <w:rsid w:val="002969AF"/>
    <w:rsid w:val="00297128"/>
    <w:rsid w:val="002A13F1"/>
    <w:rsid w:val="002A1591"/>
    <w:rsid w:val="002A166F"/>
    <w:rsid w:val="002A3D4E"/>
    <w:rsid w:val="002B1A22"/>
    <w:rsid w:val="002B7826"/>
    <w:rsid w:val="002B7A48"/>
    <w:rsid w:val="002C308B"/>
    <w:rsid w:val="002D211C"/>
    <w:rsid w:val="002E183E"/>
    <w:rsid w:val="002E229A"/>
    <w:rsid w:val="002E3C50"/>
    <w:rsid w:val="002E3CFA"/>
    <w:rsid w:val="002E483F"/>
    <w:rsid w:val="002F4A1A"/>
    <w:rsid w:val="002F4DDE"/>
    <w:rsid w:val="00306D4B"/>
    <w:rsid w:val="003078FA"/>
    <w:rsid w:val="00310823"/>
    <w:rsid w:val="0031198E"/>
    <w:rsid w:val="0031440C"/>
    <w:rsid w:val="00317D3C"/>
    <w:rsid w:val="00321776"/>
    <w:rsid w:val="00321A9D"/>
    <w:rsid w:val="00322C0F"/>
    <w:rsid w:val="003233B9"/>
    <w:rsid w:val="003238DA"/>
    <w:rsid w:val="00323BA6"/>
    <w:rsid w:val="00324A54"/>
    <w:rsid w:val="00327BFB"/>
    <w:rsid w:val="003316A1"/>
    <w:rsid w:val="00331A67"/>
    <w:rsid w:val="0033716F"/>
    <w:rsid w:val="00340178"/>
    <w:rsid w:val="00345644"/>
    <w:rsid w:val="00347411"/>
    <w:rsid w:val="00351A33"/>
    <w:rsid w:val="00353E1B"/>
    <w:rsid w:val="003552C3"/>
    <w:rsid w:val="00356B79"/>
    <w:rsid w:val="00364B17"/>
    <w:rsid w:val="00376037"/>
    <w:rsid w:val="00382CD3"/>
    <w:rsid w:val="003847E1"/>
    <w:rsid w:val="00390F7B"/>
    <w:rsid w:val="003915CC"/>
    <w:rsid w:val="00392005"/>
    <w:rsid w:val="00392B85"/>
    <w:rsid w:val="00393DED"/>
    <w:rsid w:val="0039519E"/>
    <w:rsid w:val="00396451"/>
    <w:rsid w:val="003970E9"/>
    <w:rsid w:val="00397631"/>
    <w:rsid w:val="003B4E3C"/>
    <w:rsid w:val="003B5431"/>
    <w:rsid w:val="003B620E"/>
    <w:rsid w:val="003C097A"/>
    <w:rsid w:val="003C1DE7"/>
    <w:rsid w:val="003C4A8F"/>
    <w:rsid w:val="003C6E17"/>
    <w:rsid w:val="003C79F4"/>
    <w:rsid w:val="003C7D1E"/>
    <w:rsid w:val="003D0435"/>
    <w:rsid w:val="003D0567"/>
    <w:rsid w:val="003D088F"/>
    <w:rsid w:val="003D13F2"/>
    <w:rsid w:val="003D4620"/>
    <w:rsid w:val="003D5F02"/>
    <w:rsid w:val="003E7B9B"/>
    <w:rsid w:val="003F37F0"/>
    <w:rsid w:val="00402C0D"/>
    <w:rsid w:val="004105D1"/>
    <w:rsid w:val="00411265"/>
    <w:rsid w:val="004118EA"/>
    <w:rsid w:val="004136BE"/>
    <w:rsid w:val="004160BA"/>
    <w:rsid w:val="004203B9"/>
    <w:rsid w:val="00423F09"/>
    <w:rsid w:val="00425567"/>
    <w:rsid w:val="00431BA3"/>
    <w:rsid w:val="00434BA5"/>
    <w:rsid w:val="00435226"/>
    <w:rsid w:val="004402B1"/>
    <w:rsid w:val="0044286F"/>
    <w:rsid w:val="00443B02"/>
    <w:rsid w:val="00445166"/>
    <w:rsid w:val="004455A3"/>
    <w:rsid w:val="004456F2"/>
    <w:rsid w:val="0045286F"/>
    <w:rsid w:val="00453063"/>
    <w:rsid w:val="004532FF"/>
    <w:rsid w:val="004535F9"/>
    <w:rsid w:val="004547F3"/>
    <w:rsid w:val="00457423"/>
    <w:rsid w:val="00460194"/>
    <w:rsid w:val="004635B2"/>
    <w:rsid w:val="00465643"/>
    <w:rsid w:val="004658D4"/>
    <w:rsid w:val="0047279B"/>
    <w:rsid w:val="00477543"/>
    <w:rsid w:val="00480955"/>
    <w:rsid w:val="004845DA"/>
    <w:rsid w:val="00493FFF"/>
    <w:rsid w:val="004A33D6"/>
    <w:rsid w:val="004A7A57"/>
    <w:rsid w:val="004B1671"/>
    <w:rsid w:val="004B24E7"/>
    <w:rsid w:val="004B707A"/>
    <w:rsid w:val="004C1930"/>
    <w:rsid w:val="004C3EF2"/>
    <w:rsid w:val="004C757E"/>
    <w:rsid w:val="004D2767"/>
    <w:rsid w:val="004D3D78"/>
    <w:rsid w:val="004D5CB1"/>
    <w:rsid w:val="004D7C4F"/>
    <w:rsid w:val="004E53B9"/>
    <w:rsid w:val="004F27C5"/>
    <w:rsid w:val="004F621A"/>
    <w:rsid w:val="004F70C3"/>
    <w:rsid w:val="004F7EA9"/>
    <w:rsid w:val="00500E23"/>
    <w:rsid w:val="00503F3D"/>
    <w:rsid w:val="005051DB"/>
    <w:rsid w:val="00506888"/>
    <w:rsid w:val="00511F8F"/>
    <w:rsid w:val="00512C69"/>
    <w:rsid w:val="00513F2A"/>
    <w:rsid w:val="00514658"/>
    <w:rsid w:val="005149D8"/>
    <w:rsid w:val="005256ED"/>
    <w:rsid w:val="00526F3E"/>
    <w:rsid w:val="00527284"/>
    <w:rsid w:val="00531AF9"/>
    <w:rsid w:val="005370E4"/>
    <w:rsid w:val="005374DD"/>
    <w:rsid w:val="00542097"/>
    <w:rsid w:val="005430F6"/>
    <w:rsid w:val="005459F7"/>
    <w:rsid w:val="00547317"/>
    <w:rsid w:val="00551C13"/>
    <w:rsid w:val="00553221"/>
    <w:rsid w:val="00554058"/>
    <w:rsid w:val="005554AD"/>
    <w:rsid w:val="00555FBC"/>
    <w:rsid w:val="00557982"/>
    <w:rsid w:val="00561006"/>
    <w:rsid w:val="00561861"/>
    <w:rsid w:val="00564478"/>
    <w:rsid w:val="00565AEE"/>
    <w:rsid w:val="0056604A"/>
    <w:rsid w:val="005742B0"/>
    <w:rsid w:val="0057552F"/>
    <w:rsid w:val="00583305"/>
    <w:rsid w:val="0058547C"/>
    <w:rsid w:val="00587CE2"/>
    <w:rsid w:val="00590416"/>
    <w:rsid w:val="00591B58"/>
    <w:rsid w:val="00592C91"/>
    <w:rsid w:val="00595E78"/>
    <w:rsid w:val="005A03DD"/>
    <w:rsid w:val="005A0733"/>
    <w:rsid w:val="005A25C8"/>
    <w:rsid w:val="005A479C"/>
    <w:rsid w:val="005A6760"/>
    <w:rsid w:val="005B0E68"/>
    <w:rsid w:val="005B5454"/>
    <w:rsid w:val="005C39A5"/>
    <w:rsid w:val="005C685D"/>
    <w:rsid w:val="005D322E"/>
    <w:rsid w:val="005D6FA1"/>
    <w:rsid w:val="005E30B7"/>
    <w:rsid w:val="005E5249"/>
    <w:rsid w:val="005F1353"/>
    <w:rsid w:val="005F31F3"/>
    <w:rsid w:val="005F4FC3"/>
    <w:rsid w:val="006042C6"/>
    <w:rsid w:val="00605D12"/>
    <w:rsid w:val="00606C72"/>
    <w:rsid w:val="00607345"/>
    <w:rsid w:val="006212FF"/>
    <w:rsid w:val="00621DD0"/>
    <w:rsid w:val="00622CB7"/>
    <w:rsid w:val="00625001"/>
    <w:rsid w:val="006252D0"/>
    <w:rsid w:val="0062690B"/>
    <w:rsid w:val="00627037"/>
    <w:rsid w:val="006302B3"/>
    <w:rsid w:val="0063173B"/>
    <w:rsid w:val="0063458A"/>
    <w:rsid w:val="0063482E"/>
    <w:rsid w:val="00635726"/>
    <w:rsid w:val="00640497"/>
    <w:rsid w:val="00640D78"/>
    <w:rsid w:val="0065628F"/>
    <w:rsid w:val="00661148"/>
    <w:rsid w:val="00663DFF"/>
    <w:rsid w:val="00672AE7"/>
    <w:rsid w:val="00676F5C"/>
    <w:rsid w:val="006817BE"/>
    <w:rsid w:val="00682668"/>
    <w:rsid w:val="00682D8E"/>
    <w:rsid w:val="006913BC"/>
    <w:rsid w:val="006B1CBF"/>
    <w:rsid w:val="006B2FC9"/>
    <w:rsid w:val="006B36B0"/>
    <w:rsid w:val="006C60AE"/>
    <w:rsid w:val="006D0121"/>
    <w:rsid w:val="006E69D2"/>
    <w:rsid w:val="006F23D0"/>
    <w:rsid w:val="006F64FE"/>
    <w:rsid w:val="00700703"/>
    <w:rsid w:val="00701C5E"/>
    <w:rsid w:val="00701FE0"/>
    <w:rsid w:val="00702ECE"/>
    <w:rsid w:val="00705EF2"/>
    <w:rsid w:val="00712393"/>
    <w:rsid w:val="0071400C"/>
    <w:rsid w:val="0071539B"/>
    <w:rsid w:val="00721F64"/>
    <w:rsid w:val="00723DAD"/>
    <w:rsid w:val="0072453B"/>
    <w:rsid w:val="0073021B"/>
    <w:rsid w:val="00733D65"/>
    <w:rsid w:val="00733DB3"/>
    <w:rsid w:val="00737AA0"/>
    <w:rsid w:val="00740B2F"/>
    <w:rsid w:val="00744C47"/>
    <w:rsid w:val="00747EC5"/>
    <w:rsid w:val="007535D7"/>
    <w:rsid w:val="00755448"/>
    <w:rsid w:val="007571BD"/>
    <w:rsid w:val="00771B29"/>
    <w:rsid w:val="00774E16"/>
    <w:rsid w:val="00775325"/>
    <w:rsid w:val="00776B63"/>
    <w:rsid w:val="00780745"/>
    <w:rsid w:val="00781FB6"/>
    <w:rsid w:val="0078264F"/>
    <w:rsid w:val="0078593B"/>
    <w:rsid w:val="0078628B"/>
    <w:rsid w:val="007866A3"/>
    <w:rsid w:val="0079130E"/>
    <w:rsid w:val="007935E8"/>
    <w:rsid w:val="007A2059"/>
    <w:rsid w:val="007A4F08"/>
    <w:rsid w:val="007A5660"/>
    <w:rsid w:val="007B0746"/>
    <w:rsid w:val="007B0C08"/>
    <w:rsid w:val="007B2076"/>
    <w:rsid w:val="007B30EA"/>
    <w:rsid w:val="007B5442"/>
    <w:rsid w:val="007B7A95"/>
    <w:rsid w:val="007C0CB4"/>
    <w:rsid w:val="007C3B35"/>
    <w:rsid w:val="007C4180"/>
    <w:rsid w:val="007D098F"/>
    <w:rsid w:val="007D41E1"/>
    <w:rsid w:val="007D4EDA"/>
    <w:rsid w:val="007D60CA"/>
    <w:rsid w:val="007D719A"/>
    <w:rsid w:val="007D7447"/>
    <w:rsid w:val="007D7DFB"/>
    <w:rsid w:val="007E4505"/>
    <w:rsid w:val="007E52DC"/>
    <w:rsid w:val="007E6140"/>
    <w:rsid w:val="007F0954"/>
    <w:rsid w:val="007F2C6A"/>
    <w:rsid w:val="00801B3B"/>
    <w:rsid w:val="00802C92"/>
    <w:rsid w:val="008037D9"/>
    <w:rsid w:val="008042A1"/>
    <w:rsid w:val="00807F23"/>
    <w:rsid w:val="0081095C"/>
    <w:rsid w:val="00812291"/>
    <w:rsid w:val="00815991"/>
    <w:rsid w:val="00822DD8"/>
    <w:rsid w:val="0082643B"/>
    <w:rsid w:val="00831708"/>
    <w:rsid w:val="00831EA5"/>
    <w:rsid w:val="00832AA8"/>
    <w:rsid w:val="00832C18"/>
    <w:rsid w:val="0083718F"/>
    <w:rsid w:val="00842389"/>
    <w:rsid w:val="00842411"/>
    <w:rsid w:val="008443E8"/>
    <w:rsid w:val="00846964"/>
    <w:rsid w:val="00850D2C"/>
    <w:rsid w:val="008524D3"/>
    <w:rsid w:val="0085333B"/>
    <w:rsid w:val="00854F12"/>
    <w:rsid w:val="0085674F"/>
    <w:rsid w:val="008574EA"/>
    <w:rsid w:val="00860B0C"/>
    <w:rsid w:val="00862171"/>
    <w:rsid w:val="00862DF5"/>
    <w:rsid w:val="00876C30"/>
    <w:rsid w:val="008818F7"/>
    <w:rsid w:val="00882D67"/>
    <w:rsid w:val="00884597"/>
    <w:rsid w:val="00890F67"/>
    <w:rsid w:val="0089394E"/>
    <w:rsid w:val="00893FE4"/>
    <w:rsid w:val="008A1C7B"/>
    <w:rsid w:val="008B1948"/>
    <w:rsid w:val="008B289B"/>
    <w:rsid w:val="008B457B"/>
    <w:rsid w:val="008C7A34"/>
    <w:rsid w:val="008D39C5"/>
    <w:rsid w:val="008D3B96"/>
    <w:rsid w:val="008D4026"/>
    <w:rsid w:val="008D4CEF"/>
    <w:rsid w:val="008D4F24"/>
    <w:rsid w:val="008D5F32"/>
    <w:rsid w:val="008E6072"/>
    <w:rsid w:val="00900F37"/>
    <w:rsid w:val="00901B6D"/>
    <w:rsid w:val="00901D3C"/>
    <w:rsid w:val="009057E2"/>
    <w:rsid w:val="00906E2C"/>
    <w:rsid w:val="00914549"/>
    <w:rsid w:val="00915E39"/>
    <w:rsid w:val="00921977"/>
    <w:rsid w:val="009225EF"/>
    <w:rsid w:val="00930339"/>
    <w:rsid w:val="00930401"/>
    <w:rsid w:val="00930628"/>
    <w:rsid w:val="00930A75"/>
    <w:rsid w:val="00932A48"/>
    <w:rsid w:val="00937765"/>
    <w:rsid w:val="00940053"/>
    <w:rsid w:val="00942904"/>
    <w:rsid w:val="00945A9F"/>
    <w:rsid w:val="00953529"/>
    <w:rsid w:val="00957EC7"/>
    <w:rsid w:val="00971C20"/>
    <w:rsid w:val="00984C27"/>
    <w:rsid w:val="00991AB6"/>
    <w:rsid w:val="009929B9"/>
    <w:rsid w:val="0099525A"/>
    <w:rsid w:val="00996927"/>
    <w:rsid w:val="009A0377"/>
    <w:rsid w:val="009A2536"/>
    <w:rsid w:val="009B0172"/>
    <w:rsid w:val="009C0ABA"/>
    <w:rsid w:val="009C304E"/>
    <w:rsid w:val="009C40B3"/>
    <w:rsid w:val="009C67BB"/>
    <w:rsid w:val="009E0FA4"/>
    <w:rsid w:val="009E3FD2"/>
    <w:rsid w:val="009E4B46"/>
    <w:rsid w:val="009E595D"/>
    <w:rsid w:val="009E78FB"/>
    <w:rsid w:val="009F53C0"/>
    <w:rsid w:val="009F5AAB"/>
    <w:rsid w:val="00A01D59"/>
    <w:rsid w:val="00A06F05"/>
    <w:rsid w:val="00A10DF5"/>
    <w:rsid w:val="00A12012"/>
    <w:rsid w:val="00A12EBB"/>
    <w:rsid w:val="00A15814"/>
    <w:rsid w:val="00A170B3"/>
    <w:rsid w:val="00A20D01"/>
    <w:rsid w:val="00A2106E"/>
    <w:rsid w:val="00A2318A"/>
    <w:rsid w:val="00A23AA2"/>
    <w:rsid w:val="00A30DF0"/>
    <w:rsid w:val="00A342AB"/>
    <w:rsid w:val="00A42996"/>
    <w:rsid w:val="00A53C88"/>
    <w:rsid w:val="00A5544C"/>
    <w:rsid w:val="00A62F50"/>
    <w:rsid w:val="00A6369D"/>
    <w:rsid w:val="00A66242"/>
    <w:rsid w:val="00A67A14"/>
    <w:rsid w:val="00A70C6C"/>
    <w:rsid w:val="00A71E3A"/>
    <w:rsid w:val="00A730AD"/>
    <w:rsid w:val="00A93C44"/>
    <w:rsid w:val="00A97A3B"/>
    <w:rsid w:val="00AA09C3"/>
    <w:rsid w:val="00AA0C80"/>
    <w:rsid w:val="00AA274E"/>
    <w:rsid w:val="00AA4EFA"/>
    <w:rsid w:val="00AA657D"/>
    <w:rsid w:val="00AB0A71"/>
    <w:rsid w:val="00AB48A8"/>
    <w:rsid w:val="00AB7032"/>
    <w:rsid w:val="00AB7CAE"/>
    <w:rsid w:val="00AC0710"/>
    <w:rsid w:val="00AC156D"/>
    <w:rsid w:val="00AC16D4"/>
    <w:rsid w:val="00AC3710"/>
    <w:rsid w:val="00AD16DF"/>
    <w:rsid w:val="00AD4ACA"/>
    <w:rsid w:val="00AE0EAB"/>
    <w:rsid w:val="00AE15BA"/>
    <w:rsid w:val="00AE25A7"/>
    <w:rsid w:val="00AE38CE"/>
    <w:rsid w:val="00AE539A"/>
    <w:rsid w:val="00AE7AE8"/>
    <w:rsid w:val="00AF610E"/>
    <w:rsid w:val="00AF6C35"/>
    <w:rsid w:val="00B071BA"/>
    <w:rsid w:val="00B11C1C"/>
    <w:rsid w:val="00B1400E"/>
    <w:rsid w:val="00B1537A"/>
    <w:rsid w:val="00B1590F"/>
    <w:rsid w:val="00B1698E"/>
    <w:rsid w:val="00B16FC9"/>
    <w:rsid w:val="00B20923"/>
    <w:rsid w:val="00B24A34"/>
    <w:rsid w:val="00B26361"/>
    <w:rsid w:val="00B46EAC"/>
    <w:rsid w:val="00B47675"/>
    <w:rsid w:val="00B56D7F"/>
    <w:rsid w:val="00B571DC"/>
    <w:rsid w:val="00B6736C"/>
    <w:rsid w:val="00B70058"/>
    <w:rsid w:val="00B74F5F"/>
    <w:rsid w:val="00B7607D"/>
    <w:rsid w:val="00B81565"/>
    <w:rsid w:val="00B815BD"/>
    <w:rsid w:val="00B95279"/>
    <w:rsid w:val="00B952EA"/>
    <w:rsid w:val="00B952EC"/>
    <w:rsid w:val="00B9625E"/>
    <w:rsid w:val="00BA2161"/>
    <w:rsid w:val="00BA522D"/>
    <w:rsid w:val="00BA78C5"/>
    <w:rsid w:val="00BB6087"/>
    <w:rsid w:val="00BC0DA7"/>
    <w:rsid w:val="00BC4416"/>
    <w:rsid w:val="00BC564A"/>
    <w:rsid w:val="00BC7D31"/>
    <w:rsid w:val="00BD2A13"/>
    <w:rsid w:val="00BD4915"/>
    <w:rsid w:val="00BD7C89"/>
    <w:rsid w:val="00BE3685"/>
    <w:rsid w:val="00BE3F9C"/>
    <w:rsid w:val="00BE6BB4"/>
    <w:rsid w:val="00BF1191"/>
    <w:rsid w:val="00BF387A"/>
    <w:rsid w:val="00BF77C0"/>
    <w:rsid w:val="00C0035E"/>
    <w:rsid w:val="00C01662"/>
    <w:rsid w:val="00C02146"/>
    <w:rsid w:val="00C032F5"/>
    <w:rsid w:val="00C11EAE"/>
    <w:rsid w:val="00C1354D"/>
    <w:rsid w:val="00C17BFC"/>
    <w:rsid w:val="00C24349"/>
    <w:rsid w:val="00C24404"/>
    <w:rsid w:val="00C3249E"/>
    <w:rsid w:val="00C33EB2"/>
    <w:rsid w:val="00C34371"/>
    <w:rsid w:val="00C36108"/>
    <w:rsid w:val="00C37169"/>
    <w:rsid w:val="00C37926"/>
    <w:rsid w:val="00C37E01"/>
    <w:rsid w:val="00C37E0E"/>
    <w:rsid w:val="00C46467"/>
    <w:rsid w:val="00C51B5F"/>
    <w:rsid w:val="00C52FF9"/>
    <w:rsid w:val="00C530F0"/>
    <w:rsid w:val="00C617D4"/>
    <w:rsid w:val="00C64E38"/>
    <w:rsid w:val="00C74B9D"/>
    <w:rsid w:val="00C759E7"/>
    <w:rsid w:val="00C80902"/>
    <w:rsid w:val="00C8745C"/>
    <w:rsid w:val="00C9004B"/>
    <w:rsid w:val="00C9439C"/>
    <w:rsid w:val="00C9795F"/>
    <w:rsid w:val="00CA038F"/>
    <w:rsid w:val="00CA070F"/>
    <w:rsid w:val="00CA2786"/>
    <w:rsid w:val="00CB2CAF"/>
    <w:rsid w:val="00CB5A4E"/>
    <w:rsid w:val="00CB665D"/>
    <w:rsid w:val="00CB7BFE"/>
    <w:rsid w:val="00CC4F09"/>
    <w:rsid w:val="00CC563C"/>
    <w:rsid w:val="00CD19B8"/>
    <w:rsid w:val="00CD265B"/>
    <w:rsid w:val="00CE1BF4"/>
    <w:rsid w:val="00CE4690"/>
    <w:rsid w:val="00CE5C35"/>
    <w:rsid w:val="00CE7610"/>
    <w:rsid w:val="00CF2378"/>
    <w:rsid w:val="00CF58D4"/>
    <w:rsid w:val="00D026AD"/>
    <w:rsid w:val="00D2197D"/>
    <w:rsid w:val="00D22A38"/>
    <w:rsid w:val="00D23D14"/>
    <w:rsid w:val="00D26AE6"/>
    <w:rsid w:val="00D35A83"/>
    <w:rsid w:val="00D36928"/>
    <w:rsid w:val="00D372FC"/>
    <w:rsid w:val="00D37772"/>
    <w:rsid w:val="00D43A8C"/>
    <w:rsid w:val="00D45345"/>
    <w:rsid w:val="00D54E1A"/>
    <w:rsid w:val="00D5652B"/>
    <w:rsid w:val="00D57AE9"/>
    <w:rsid w:val="00D60640"/>
    <w:rsid w:val="00D61623"/>
    <w:rsid w:val="00D61C87"/>
    <w:rsid w:val="00D63251"/>
    <w:rsid w:val="00D63A81"/>
    <w:rsid w:val="00D736F2"/>
    <w:rsid w:val="00D75510"/>
    <w:rsid w:val="00D805A6"/>
    <w:rsid w:val="00D80C3A"/>
    <w:rsid w:val="00D81014"/>
    <w:rsid w:val="00D83305"/>
    <w:rsid w:val="00D8348E"/>
    <w:rsid w:val="00D875A7"/>
    <w:rsid w:val="00D928BE"/>
    <w:rsid w:val="00D9329E"/>
    <w:rsid w:val="00D971CE"/>
    <w:rsid w:val="00DA4E55"/>
    <w:rsid w:val="00DB39BA"/>
    <w:rsid w:val="00DB5719"/>
    <w:rsid w:val="00DB5A05"/>
    <w:rsid w:val="00DC2512"/>
    <w:rsid w:val="00DC27D0"/>
    <w:rsid w:val="00DD20A3"/>
    <w:rsid w:val="00DE30F2"/>
    <w:rsid w:val="00DE67A5"/>
    <w:rsid w:val="00DF0DF0"/>
    <w:rsid w:val="00DF1346"/>
    <w:rsid w:val="00DF170A"/>
    <w:rsid w:val="00DF2B70"/>
    <w:rsid w:val="00DF75E5"/>
    <w:rsid w:val="00E01400"/>
    <w:rsid w:val="00E02770"/>
    <w:rsid w:val="00E02855"/>
    <w:rsid w:val="00E03973"/>
    <w:rsid w:val="00E0463D"/>
    <w:rsid w:val="00E0752D"/>
    <w:rsid w:val="00E14F6C"/>
    <w:rsid w:val="00E14FD4"/>
    <w:rsid w:val="00E1681F"/>
    <w:rsid w:val="00E16E38"/>
    <w:rsid w:val="00E201D3"/>
    <w:rsid w:val="00E20426"/>
    <w:rsid w:val="00E2246C"/>
    <w:rsid w:val="00E225FA"/>
    <w:rsid w:val="00E23770"/>
    <w:rsid w:val="00E25648"/>
    <w:rsid w:val="00E269F3"/>
    <w:rsid w:val="00E30600"/>
    <w:rsid w:val="00E3214E"/>
    <w:rsid w:val="00E323DD"/>
    <w:rsid w:val="00E33471"/>
    <w:rsid w:val="00E413D9"/>
    <w:rsid w:val="00E423BE"/>
    <w:rsid w:val="00E472EC"/>
    <w:rsid w:val="00E479BF"/>
    <w:rsid w:val="00E47EB6"/>
    <w:rsid w:val="00E66025"/>
    <w:rsid w:val="00E67813"/>
    <w:rsid w:val="00E72C18"/>
    <w:rsid w:val="00E76FA0"/>
    <w:rsid w:val="00E813A9"/>
    <w:rsid w:val="00E81514"/>
    <w:rsid w:val="00E81E5D"/>
    <w:rsid w:val="00E87A0D"/>
    <w:rsid w:val="00E96024"/>
    <w:rsid w:val="00E97B42"/>
    <w:rsid w:val="00EB1E86"/>
    <w:rsid w:val="00EB2073"/>
    <w:rsid w:val="00EB58F3"/>
    <w:rsid w:val="00EB5DC8"/>
    <w:rsid w:val="00EC3757"/>
    <w:rsid w:val="00EC4206"/>
    <w:rsid w:val="00EC5CCA"/>
    <w:rsid w:val="00ED05FE"/>
    <w:rsid w:val="00ED6336"/>
    <w:rsid w:val="00EE012A"/>
    <w:rsid w:val="00EE14BB"/>
    <w:rsid w:val="00EE6090"/>
    <w:rsid w:val="00EF0AC8"/>
    <w:rsid w:val="00EF4BB3"/>
    <w:rsid w:val="00F017B0"/>
    <w:rsid w:val="00F0418B"/>
    <w:rsid w:val="00F053DE"/>
    <w:rsid w:val="00F07832"/>
    <w:rsid w:val="00F12FDC"/>
    <w:rsid w:val="00F1355F"/>
    <w:rsid w:val="00F16095"/>
    <w:rsid w:val="00F1738C"/>
    <w:rsid w:val="00F317A6"/>
    <w:rsid w:val="00F32C86"/>
    <w:rsid w:val="00F33681"/>
    <w:rsid w:val="00F37C45"/>
    <w:rsid w:val="00F463F9"/>
    <w:rsid w:val="00F53BCF"/>
    <w:rsid w:val="00F735E4"/>
    <w:rsid w:val="00F7660A"/>
    <w:rsid w:val="00F8223A"/>
    <w:rsid w:val="00F83E22"/>
    <w:rsid w:val="00F91111"/>
    <w:rsid w:val="00F91228"/>
    <w:rsid w:val="00F93AD5"/>
    <w:rsid w:val="00F96F95"/>
    <w:rsid w:val="00FA1003"/>
    <w:rsid w:val="00FA5DB7"/>
    <w:rsid w:val="00FB55DD"/>
    <w:rsid w:val="00FB6A3E"/>
    <w:rsid w:val="00FB7A66"/>
    <w:rsid w:val="00FC38F1"/>
    <w:rsid w:val="00FE40EE"/>
    <w:rsid w:val="00FE51ED"/>
    <w:rsid w:val="00FE5BE3"/>
    <w:rsid w:val="00FE5CAC"/>
    <w:rsid w:val="00FF0AF1"/>
    <w:rsid w:val="00FF146D"/>
    <w:rsid w:val="00FF65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3D4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620"/>
    <w:rPr>
      <w:rFonts w:ascii="Segoe UI" w:hAnsi="Segoe UI" w:cs="Segoe UI"/>
      <w:sz w:val="18"/>
      <w:szCs w:val="18"/>
    </w:rPr>
  </w:style>
  <w:style w:type="character" w:styleId="CommentReference">
    <w:name w:val="annotation reference"/>
    <w:basedOn w:val="DefaultParagraphFont"/>
    <w:uiPriority w:val="99"/>
    <w:semiHidden/>
    <w:unhideWhenUsed/>
    <w:rsid w:val="00AE25A7"/>
    <w:rPr>
      <w:sz w:val="16"/>
      <w:szCs w:val="16"/>
    </w:rPr>
  </w:style>
  <w:style w:type="paragraph" w:styleId="CommentText">
    <w:name w:val="annotation text"/>
    <w:basedOn w:val="Normal"/>
    <w:link w:val="CommentTextChar"/>
    <w:uiPriority w:val="99"/>
    <w:semiHidden/>
    <w:unhideWhenUsed/>
    <w:rsid w:val="00AE25A7"/>
    <w:pPr>
      <w:spacing w:line="240" w:lineRule="auto"/>
    </w:pPr>
    <w:rPr>
      <w:sz w:val="20"/>
      <w:szCs w:val="20"/>
    </w:rPr>
  </w:style>
  <w:style w:type="character" w:customStyle="1" w:styleId="CommentTextChar">
    <w:name w:val="Comment Text Char"/>
    <w:basedOn w:val="DefaultParagraphFont"/>
    <w:link w:val="CommentText"/>
    <w:uiPriority w:val="99"/>
    <w:semiHidden/>
    <w:rsid w:val="00AE25A7"/>
    <w:rPr>
      <w:sz w:val="20"/>
      <w:szCs w:val="20"/>
    </w:rPr>
  </w:style>
  <w:style w:type="paragraph" w:styleId="CommentSubject">
    <w:name w:val="annotation subject"/>
    <w:basedOn w:val="CommentText"/>
    <w:next w:val="CommentText"/>
    <w:link w:val="CommentSubjectChar"/>
    <w:uiPriority w:val="99"/>
    <w:semiHidden/>
    <w:unhideWhenUsed/>
    <w:rsid w:val="00AE25A7"/>
    <w:rPr>
      <w:b/>
      <w:bCs/>
    </w:rPr>
  </w:style>
  <w:style w:type="character" w:customStyle="1" w:styleId="CommentSubjectChar">
    <w:name w:val="Comment Subject Char"/>
    <w:basedOn w:val="CommentTextChar"/>
    <w:link w:val="CommentSubject"/>
    <w:uiPriority w:val="99"/>
    <w:semiHidden/>
    <w:rsid w:val="00AE2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1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3393-1048-4DCF-B88B-B70E99A8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2020-02-11T14:09:00Z</cp:lastPrinted>
  <dcterms:created xsi:type="dcterms:W3CDTF">2020-06-29T12:15:00Z</dcterms:created>
  <dcterms:modified xsi:type="dcterms:W3CDTF">2020-06-29T12:15:00Z</dcterms:modified>
</cp:coreProperties>
</file>