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5A52F0" w14:textId="746C9B55" w:rsidR="0067430F" w:rsidRPr="0089542F" w:rsidRDefault="0089542F" w:rsidP="0089542F">
      <w:pPr>
        <w:spacing w:line="360" w:lineRule="auto"/>
        <w:jc w:val="both"/>
        <w:rPr>
          <w:rFonts w:ascii="Times New Roman" w:hAnsi="Times New Roman" w:cs="Times New Roman"/>
          <w:b/>
          <w:sz w:val="24"/>
          <w:szCs w:val="24"/>
          <w:u w:val="single"/>
        </w:rPr>
      </w:pPr>
      <w:bookmarkStart w:id="0" w:name="_GoBack"/>
      <w:bookmarkEnd w:id="0"/>
      <w:r w:rsidRPr="0089542F">
        <w:rPr>
          <w:rFonts w:ascii="Times New Roman" w:hAnsi="Times New Roman" w:cs="Times New Roman"/>
          <w:b/>
          <w:sz w:val="24"/>
          <w:szCs w:val="24"/>
          <w:u w:val="single"/>
        </w:rPr>
        <w:t>REPORTABLE</w:t>
      </w:r>
      <w:r w:rsidRPr="000713C0">
        <w:rPr>
          <w:rFonts w:ascii="Times New Roman" w:hAnsi="Times New Roman" w:cs="Times New Roman"/>
          <w:b/>
          <w:sz w:val="24"/>
          <w:szCs w:val="24"/>
        </w:rPr>
        <w:t xml:space="preserve"> </w:t>
      </w:r>
      <w:r w:rsidR="000713C0" w:rsidRPr="000713C0">
        <w:rPr>
          <w:rFonts w:ascii="Times New Roman" w:hAnsi="Times New Roman" w:cs="Times New Roman"/>
          <w:b/>
          <w:sz w:val="24"/>
          <w:szCs w:val="24"/>
        </w:rPr>
        <w:tab/>
      </w:r>
      <w:r w:rsidRPr="000713C0">
        <w:rPr>
          <w:rFonts w:ascii="Times New Roman" w:hAnsi="Times New Roman" w:cs="Times New Roman"/>
          <w:b/>
          <w:sz w:val="24"/>
          <w:szCs w:val="24"/>
        </w:rPr>
        <w:t>(</w:t>
      </w:r>
      <w:r w:rsidR="005A4750">
        <w:rPr>
          <w:rFonts w:ascii="Times New Roman" w:hAnsi="Times New Roman" w:cs="Times New Roman"/>
          <w:b/>
          <w:sz w:val="24"/>
          <w:szCs w:val="24"/>
        </w:rPr>
        <w:t>69</w:t>
      </w:r>
      <w:r w:rsidRPr="000713C0">
        <w:rPr>
          <w:rFonts w:ascii="Times New Roman" w:hAnsi="Times New Roman" w:cs="Times New Roman"/>
          <w:b/>
          <w:sz w:val="24"/>
          <w:szCs w:val="24"/>
        </w:rPr>
        <w:t>)</w:t>
      </w:r>
      <w:r w:rsidR="0067430F" w:rsidRPr="000713C0">
        <w:rPr>
          <w:rFonts w:ascii="Times New Roman" w:hAnsi="Times New Roman" w:cs="Times New Roman"/>
          <w:b/>
          <w:sz w:val="24"/>
          <w:szCs w:val="24"/>
          <w:u w:val="single"/>
        </w:rPr>
        <w:t xml:space="preserve">                                                                   </w:t>
      </w:r>
      <w:r w:rsidRPr="000713C0">
        <w:rPr>
          <w:rFonts w:ascii="Times New Roman" w:hAnsi="Times New Roman" w:cs="Times New Roman"/>
          <w:b/>
          <w:sz w:val="24"/>
          <w:szCs w:val="24"/>
          <w:u w:val="single"/>
        </w:rPr>
        <w:t xml:space="preserve">                           </w:t>
      </w:r>
      <w:r w:rsidR="0067430F" w:rsidRPr="000713C0">
        <w:rPr>
          <w:rFonts w:ascii="Times New Roman" w:hAnsi="Times New Roman" w:cs="Times New Roman"/>
          <w:b/>
          <w:sz w:val="24"/>
          <w:szCs w:val="24"/>
          <w:u w:val="single"/>
        </w:rPr>
        <w:t xml:space="preserve">                              </w:t>
      </w:r>
    </w:p>
    <w:p w14:paraId="362C8752" w14:textId="77777777" w:rsidR="0015296A" w:rsidRPr="00797E50" w:rsidRDefault="0067430F" w:rsidP="00833846">
      <w:pPr>
        <w:spacing w:line="360" w:lineRule="auto"/>
        <w:jc w:val="both"/>
        <w:rPr>
          <w:rFonts w:ascii="Times New Roman" w:hAnsi="Times New Roman" w:cs="Times New Roman"/>
          <w:sz w:val="24"/>
          <w:szCs w:val="24"/>
          <w:lang w:val="en-GB"/>
        </w:rPr>
      </w:pPr>
      <w:r w:rsidRPr="00797E50">
        <w:rPr>
          <w:rFonts w:ascii="Times New Roman" w:hAnsi="Times New Roman" w:cs="Times New Roman"/>
          <w:sz w:val="24"/>
          <w:szCs w:val="24"/>
        </w:rPr>
        <w:t xml:space="preserve">                                                </w:t>
      </w:r>
      <w:r w:rsidR="0015296A" w:rsidRPr="00797E50">
        <w:rPr>
          <w:rFonts w:ascii="Times New Roman" w:hAnsi="Times New Roman" w:cs="Times New Roman"/>
          <w:sz w:val="24"/>
          <w:szCs w:val="24"/>
        </w:rPr>
        <w:t xml:space="preserve">                                             </w:t>
      </w:r>
    </w:p>
    <w:p w14:paraId="65502F3A" w14:textId="5C6EC74E" w:rsidR="0015296A" w:rsidRPr="00797E50" w:rsidRDefault="0089542F" w:rsidP="0089542F">
      <w:pPr>
        <w:spacing w:after="0" w:line="240" w:lineRule="auto"/>
        <w:ind w:left="720" w:firstLine="720"/>
        <w:jc w:val="center"/>
        <w:rPr>
          <w:rFonts w:ascii="Times New Roman" w:hAnsi="Times New Roman" w:cs="Times New Roman"/>
          <w:b/>
          <w:sz w:val="24"/>
          <w:szCs w:val="24"/>
        </w:rPr>
      </w:pPr>
      <w:r>
        <w:rPr>
          <w:rFonts w:ascii="Times New Roman" w:hAnsi="Times New Roman" w:cs="Times New Roman"/>
          <w:b/>
          <w:bCs/>
          <w:sz w:val="24"/>
          <w:szCs w:val="24"/>
          <w:lang w:val="en-GB"/>
        </w:rPr>
        <w:t>ZIMBABWE     PLATINUM     MINES     (PRIVATE)     LIMITED</w:t>
      </w:r>
    </w:p>
    <w:p w14:paraId="5030A720" w14:textId="20E0DC5F" w:rsidR="0015296A" w:rsidRPr="00797E50" w:rsidRDefault="0089542F" w:rsidP="0089542F">
      <w:pPr>
        <w:spacing w:after="0" w:line="240" w:lineRule="auto"/>
        <w:jc w:val="center"/>
        <w:rPr>
          <w:rFonts w:ascii="Times New Roman" w:hAnsi="Times New Roman" w:cs="Times New Roman"/>
          <w:b/>
          <w:sz w:val="24"/>
          <w:szCs w:val="24"/>
        </w:rPr>
      </w:pPr>
      <w:r w:rsidRPr="00797E50">
        <w:rPr>
          <w:rFonts w:ascii="Times New Roman" w:hAnsi="Times New Roman" w:cs="Times New Roman"/>
          <w:b/>
          <w:sz w:val="24"/>
          <w:szCs w:val="24"/>
        </w:rPr>
        <w:t>v</w:t>
      </w:r>
    </w:p>
    <w:p w14:paraId="75885568" w14:textId="6D72E49A" w:rsidR="0015296A" w:rsidRPr="00797E50" w:rsidRDefault="0089542F" w:rsidP="0089542F">
      <w:pPr>
        <w:spacing w:after="0" w:line="240" w:lineRule="auto"/>
        <w:jc w:val="center"/>
        <w:rPr>
          <w:rFonts w:ascii="Times New Roman" w:hAnsi="Times New Roman" w:cs="Times New Roman"/>
          <w:b/>
          <w:sz w:val="24"/>
          <w:szCs w:val="24"/>
        </w:rPr>
      </w:pPr>
      <w:r>
        <w:rPr>
          <w:rFonts w:ascii="Times New Roman" w:hAnsi="Times New Roman" w:cs="Times New Roman"/>
          <w:b/>
          <w:bCs/>
          <w:sz w:val="24"/>
          <w:szCs w:val="24"/>
          <w:lang w:val="en-ZW"/>
        </w:rPr>
        <w:t xml:space="preserve">ZIMBABWE     REVENUE     </w:t>
      </w:r>
      <w:r w:rsidR="006C6587" w:rsidRPr="00797E50">
        <w:rPr>
          <w:rFonts w:ascii="Times New Roman" w:hAnsi="Times New Roman" w:cs="Times New Roman"/>
          <w:b/>
          <w:bCs/>
          <w:sz w:val="24"/>
          <w:szCs w:val="24"/>
          <w:lang w:val="en-ZW"/>
        </w:rPr>
        <w:t>AUTHORITY</w:t>
      </w:r>
    </w:p>
    <w:p w14:paraId="0A416E5F" w14:textId="77777777" w:rsidR="0015296A" w:rsidRPr="00797E50" w:rsidRDefault="0015296A" w:rsidP="00833846">
      <w:pPr>
        <w:spacing w:line="360" w:lineRule="auto"/>
        <w:jc w:val="both"/>
        <w:rPr>
          <w:rFonts w:ascii="Times New Roman" w:hAnsi="Times New Roman" w:cs="Times New Roman"/>
          <w:b/>
          <w:sz w:val="24"/>
          <w:szCs w:val="24"/>
        </w:rPr>
      </w:pPr>
    </w:p>
    <w:p w14:paraId="0B33E218" w14:textId="77777777" w:rsidR="0067430F" w:rsidRPr="00797E50" w:rsidRDefault="0067430F" w:rsidP="00833846">
      <w:pPr>
        <w:spacing w:line="360" w:lineRule="auto"/>
        <w:jc w:val="both"/>
        <w:rPr>
          <w:rFonts w:ascii="Times New Roman" w:hAnsi="Times New Roman" w:cs="Times New Roman"/>
          <w:b/>
          <w:sz w:val="24"/>
          <w:szCs w:val="24"/>
        </w:rPr>
      </w:pPr>
    </w:p>
    <w:p w14:paraId="6075734E" w14:textId="77777777" w:rsidR="0015296A" w:rsidRPr="00797E50" w:rsidRDefault="0015296A" w:rsidP="005C4960">
      <w:pPr>
        <w:spacing w:after="0" w:line="240" w:lineRule="auto"/>
        <w:jc w:val="both"/>
        <w:rPr>
          <w:rFonts w:ascii="Times New Roman" w:hAnsi="Times New Roman" w:cs="Times New Roman"/>
          <w:b/>
          <w:sz w:val="24"/>
          <w:szCs w:val="24"/>
        </w:rPr>
      </w:pPr>
      <w:r w:rsidRPr="00797E50">
        <w:rPr>
          <w:rFonts w:ascii="Times New Roman" w:hAnsi="Times New Roman" w:cs="Times New Roman"/>
          <w:b/>
          <w:sz w:val="24"/>
          <w:szCs w:val="24"/>
        </w:rPr>
        <w:t>SUPREME COURT OF ZIMBABWE</w:t>
      </w:r>
    </w:p>
    <w:p w14:paraId="14D56735" w14:textId="7F3EE9D1" w:rsidR="0015296A" w:rsidRPr="00797E50" w:rsidRDefault="006F4F1A" w:rsidP="005C4960">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GWAUNZA DCJ, CHIWESHE JA &amp; </w:t>
      </w:r>
      <w:r w:rsidR="005A4750">
        <w:rPr>
          <w:rFonts w:ascii="Times New Roman" w:hAnsi="Times New Roman" w:cs="Times New Roman"/>
          <w:b/>
          <w:sz w:val="24"/>
          <w:szCs w:val="24"/>
        </w:rPr>
        <w:t>MUSAKWA JA</w:t>
      </w:r>
    </w:p>
    <w:p w14:paraId="59E516FF" w14:textId="278B1603" w:rsidR="0015296A" w:rsidRPr="00797E50" w:rsidRDefault="0015296A" w:rsidP="005C4960">
      <w:pPr>
        <w:spacing w:after="0" w:line="240" w:lineRule="auto"/>
        <w:jc w:val="both"/>
        <w:rPr>
          <w:rFonts w:ascii="Times New Roman" w:hAnsi="Times New Roman" w:cs="Times New Roman"/>
          <w:b/>
          <w:sz w:val="24"/>
          <w:szCs w:val="24"/>
        </w:rPr>
      </w:pPr>
      <w:r w:rsidRPr="00797E50">
        <w:rPr>
          <w:rFonts w:ascii="Times New Roman" w:hAnsi="Times New Roman" w:cs="Times New Roman"/>
          <w:b/>
          <w:sz w:val="24"/>
          <w:szCs w:val="24"/>
        </w:rPr>
        <w:t xml:space="preserve">HARARE: </w:t>
      </w:r>
      <w:r w:rsidR="00BB6007">
        <w:rPr>
          <w:rFonts w:ascii="Times New Roman" w:hAnsi="Times New Roman" w:cs="Times New Roman"/>
          <w:b/>
          <w:sz w:val="24"/>
          <w:szCs w:val="24"/>
        </w:rPr>
        <w:t xml:space="preserve">2 </w:t>
      </w:r>
      <w:r w:rsidR="006C6587" w:rsidRPr="00797E50">
        <w:rPr>
          <w:rFonts w:ascii="Times New Roman" w:hAnsi="Times New Roman" w:cs="Times New Roman"/>
          <w:b/>
          <w:sz w:val="24"/>
          <w:szCs w:val="24"/>
        </w:rPr>
        <w:t xml:space="preserve">OCTOBER </w:t>
      </w:r>
      <w:r w:rsidRPr="00797E50">
        <w:rPr>
          <w:rFonts w:ascii="Times New Roman" w:hAnsi="Times New Roman" w:cs="Times New Roman"/>
          <w:b/>
          <w:sz w:val="24"/>
          <w:szCs w:val="24"/>
        </w:rPr>
        <w:t>2023</w:t>
      </w:r>
      <w:r w:rsidR="007D5C56">
        <w:rPr>
          <w:rFonts w:ascii="Times New Roman" w:hAnsi="Times New Roman" w:cs="Times New Roman"/>
          <w:b/>
          <w:sz w:val="24"/>
          <w:szCs w:val="24"/>
        </w:rPr>
        <w:t xml:space="preserve"> &amp;</w:t>
      </w:r>
      <w:r w:rsidR="003E5B7E">
        <w:rPr>
          <w:rFonts w:ascii="Times New Roman" w:hAnsi="Times New Roman" w:cs="Times New Roman"/>
          <w:b/>
          <w:sz w:val="24"/>
          <w:szCs w:val="24"/>
        </w:rPr>
        <w:t xml:space="preserve"> 19</w:t>
      </w:r>
      <w:r w:rsidR="007D5C56">
        <w:rPr>
          <w:rFonts w:ascii="Times New Roman" w:hAnsi="Times New Roman" w:cs="Times New Roman"/>
          <w:b/>
          <w:sz w:val="24"/>
          <w:szCs w:val="24"/>
        </w:rPr>
        <w:t xml:space="preserve"> JULY 2024</w:t>
      </w:r>
    </w:p>
    <w:p w14:paraId="44B01E10" w14:textId="77777777" w:rsidR="004153B5" w:rsidRDefault="004153B5" w:rsidP="00833846">
      <w:pPr>
        <w:spacing w:after="0" w:line="360" w:lineRule="auto"/>
        <w:jc w:val="both"/>
        <w:rPr>
          <w:rFonts w:ascii="Times New Roman" w:hAnsi="Times New Roman" w:cs="Times New Roman"/>
          <w:b/>
          <w:sz w:val="24"/>
          <w:szCs w:val="24"/>
        </w:rPr>
      </w:pPr>
    </w:p>
    <w:p w14:paraId="0DCFFE06" w14:textId="77777777" w:rsidR="005C4960" w:rsidRPr="00797E50" w:rsidRDefault="005C4960" w:rsidP="00833846">
      <w:pPr>
        <w:spacing w:after="0" w:line="360" w:lineRule="auto"/>
        <w:jc w:val="both"/>
        <w:rPr>
          <w:rFonts w:ascii="Times New Roman" w:hAnsi="Times New Roman" w:cs="Times New Roman"/>
          <w:b/>
          <w:sz w:val="24"/>
          <w:szCs w:val="24"/>
        </w:rPr>
      </w:pPr>
    </w:p>
    <w:p w14:paraId="337E1518" w14:textId="473A8B05" w:rsidR="0015296A" w:rsidRPr="00797E50" w:rsidRDefault="006C6587" w:rsidP="000713C0">
      <w:pPr>
        <w:spacing w:after="0" w:line="480" w:lineRule="auto"/>
        <w:jc w:val="both"/>
        <w:rPr>
          <w:rFonts w:ascii="Times New Roman" w:hAnsi="Times New Roman" w:cs="Times New Roman"/>
          <w:i/>
          <w:sz w:val="24"/>
          <w:szCs w:val="24"/>
        </w:rPr>
      </w:pPr>
      <w:r w:rsidRPr="00797E50">
        <w:rPr>
          <w:rFonts w:ascii="Times New Roman" w:hAnsi="Times New Roman" w:cs="Times New Roman"/>
          <w:i/>
          <w:sz w:val="24"/>
          <w:szCs w:val="24"/>
        </w:rPr>
        <w:t>T. Mpofu</w:t>
      </w:r>
      <w:r w:rsidR="000713C0">
        <w:rPr>
          <w:rFonts w:ascii="Times New Roman" w:hAnsi="Times New Roman" w:cs="Times New Roman"/>
          <w:i/>
          <w:sz w:val="24"/>
          <w:szCs w:val="24"/>
        </w:rPr>
        <w:t>,</w:t>
      </w:r>
      <w:r w:rsidR="0015296A" w:rsidRPr="00797E50">
        <w:rPr>
          <w:rFonts w:ascii="Times New Roman" w:hAnsi="Times New Roman" w:cs="Times New Roman"/>
          <w:i/>
          <w:sz w:val="24"/>
          <w:szCs w:val="24"/>
        </w:rPr>
        <w:t xml:space="preserve"> </w:t>
      </w:r>
      <w:r w:rsidR="0015296A" w:rsidRPr="00797E50">
        <w:rPr>
          <w:rFonts w:ascii="Times New Roman" w:hAnsi="Times New Roman" w:cs="Times New Roman"/>
          <w:sz w:val="24"/>
          <w:szCs w:val="24"/>
        </w:rPr>
        <w:t>for the appellant</w:t>
      </w:r>
      <w:r w:rsidR="0043269E">
        <w:rPr>
          <w:rFonts w:ascii="Times New Roman" w:hAnsi="Times New Roman" w:cs="Times New Roman"/>
          <w:sz w:val="24"/>
          <w:szCs w:val="24"/>
        </w:rPr>
        <w:t xml:space="preserve">       </w:t>
      </w:r>
    </w:p>
    <w:p w14:paraId="06FC05ED" w14:textId="60630C75" w:rsidR="0015296A" w:rsidRPr="00797E50" w:rsidRDefault="006C6587" w:rsidP="000713C0">
      <w:pPr>
        <w:spacing w:after="0" w:line="480" w:lineRule="auto"/>
        <w:jc w:val="both"/>
        <w:rPr>
          <w:rFonts w:ascii="Times New Roman" w:hAnsi="Times New Roman" w:cs="Times New Roman"/>
          <w:i/>
          <w:sz w:val="24"/>
          <w:szCs w:val="24"/>
        </w:rPr>
      </w:pPr>
      <w:r w:rsidRPr="00797E50">
        <w:rPr>
          <w:rFonts w:ascii="Times New Roman" w:hAnsi="Times New Roman" w:cs="Times New Roman"/>
          <w:i/>
          <w:sz w:val="24"/>
          <w:szCs w:val="24"/>
        </w:rPr>
        <w:t>S. Banda</w:t>
      </w:r>
      <w:r w:rsidR="000713C0">
        <w:rPr>
          <w:rFonts w:ascii="Times New Roman" w:hAnsi="Times New Roman" w:cs="Times New Roman"/>
          <w:i/>
          <w:sz w:val="24"/>
          <w:szCs w:val="24"/>
        </w:rPr>
        <w:t>,</w:t>
      </w:r>
      <w:r w:rsidR="0015296A" w:rsidRPr="00797E50">
        <w:rPr>
          <w:rFonts w:ascii="Times New Roman" w:hAnsi="Times New Roman" w:cs="Times New Roman"/>
          <w:i/>
          <w:sz w:val="24"/>
          <w:szCs w:val="24"/>
        </w:rPr>
        <w:t xml:space="preserve"> </w:t>
      </w:r>
      <w:r w:rsidR="0015296A" w:rsidRPr="00797E50">
        <w:rPr>
          <w:rFonts w:ascii="Times New Roman" w:hAnsi="Times New Roman" w:cs="Times New Roman"/>
          <w:sz w:val="24"/>
          <w:szCs w:val="24"/>
        </w:rPr>
        <w:t>for the respondent</w:t>
      </w:r>
    </w:p>
    <w:p w14:paraId="0D7BFE29" w14:textId="77777777" w:rsidR="0015296A" w:rsidRPr="00797E50" w:rsidRDefault="0015296A" w:rsidP="00833846">
      <w:pPr>
        <w:spacing w:after="0" w:line="360" w:lineRule="auto"/>
        <w:jc w:val="both"/>
        <w:rPr>
          <w:rFonts w:ascii="Times New Roman" w:hAnsi="Times New Roman" w:cs="Times New Roman"/>
          <w:b/>
          <w:i/>
          <w:sz w:val="24"/>
          <w:szCs w:val="24"/>
        </w:rPr>
      </w:pPr>
    </w:p>
    <w:p w14:paraId="68D2330C" w14:textId="77777777" w:rsidR="0067430F" w:rsidRPr="00797E50" w:rsidRDefault="0067430F" w:rsidP="00300ED2">
      <w:pPr>
        <w:spacing w:after="0" w:line="240" w:lineRule="auto"/>
        <w:jc w:val="both"/>
        <w:rPr>
          <w:rFonts w:ascii="Times New Roman" w:hAnsi="Times New Roman" w:cs="Times New Roman"/>
          <w:b/>
          <w:sz w:val="24"/>
          <w:szCs w:val="24"/>
        </w:rPr>
      </w:pPr>
    </w:p>
    <w:p w14:paraId="62FD507D" w14:textId="1A9FEF88" w:rsidR="00236062" w:rsidRDefault="004153B5" w:rsidP="008F765D">
      <w:pPr>
        <w:tabs>
          <w:tab w:val="left" w:pos="1440"/>
        </w:tabs>
        <w:spacing w:after="0" w:line="480" w:lineRule="auto"/>
        <w:jc w:val="both"/>
        <w:rPr>
          <w:rFonts w:ascii="Times New Roman" w:eastAsia="Calibri" w:hAnsi="Times New Roman" w:cs="Times New Roman"/>
          <w:sz w:val="24"/>
          <w:szCs w:val="24"/>
          <w:lang w:val="en-ZW"/>
        </w:rPr>
      </w:pPr>
      <w:r w:rsidRPr="00797E50">
        <w:rPr>
          <w:rFonts w:ascii="Times New Roman" w:hAnsi="Times New Roman" w:cs="Times New Roman"/>
          <w:b/>
          <w:sz w:val="24"/>
          <w:szCs w:val="24"/>
        </w:rPr>
        <w:t xml:space="preserve">                 </w:t>
      </w:r>
      <w:r w:rsidR="005C4960">
        <w:rPr>
          <w:rFonts w:ascii="Times New Roman" w:hAnsi="Times New Roman" w:cs="Times New Roman"/>
          <w:b/>
          <w:sz w:val="24"/>
          <w:szCs w:val="24"/>
        </w:rPr>
        <w:t xml:space="preserve">  </w:t>
      </w:r>
      <w:r w:rsidR="008F765D">
        <w:rPr>
          <w:rFonts w:ascii="Times New Roman" w:hAnsi="Times New Roman" w:cs="Times New Roman"/>
          <w:b/>
          <w:sz w:val="24"/>
          <w:szCs w:val="24"/>
        </w:rPr>
        <w:tab/>
      </w:r>
      <w:r w:rsidR="005C4960">
        <w:rPr>
          <w:rFonts w:ascii="Times New Roman" w:hAnsi="Times New Roman" w:cs="Times New Roman"/>
          <w:b/>
          <w:sz w:val="24"/>
          <w:szCs w:val="24"/>
        </w:rPr>
        <w:t>MUSAKWA JA:</w:t>
      </w:r>
      <w:r w:rsidR="005C4960">
        <w:rPr>
          <w:rFonts w:ascii="Times New Roman" w:hAnsi="Times New Roman" w:cs="Times New Roman"/>
          <w:b/>
          <w:sz w:val="24"/>
          <w:szCs w:val="24"/>
        </w:rPr>
        <w:tab/>
      </w:r>
      <w:r w:rsidR="00D35253">
        <w:rPr>
          <w:rFonts w:ascii="Times New Roman" w:hAnsi="Times New Roman" w:cs="Times New Roman"/>
          <w:b/>
          <w:sz w:val="24"/>
          <w:szCs w:val="24"/>
        </w:rPr>
        <w:t xml:space="preserve"> </w:t>
      </w:r>
      <w:r w:rsidR="00236062" w:rsidRPr="00797E50">
        <w:rPr>
          <w:rFonts w:ascii="Times New Roman" w:eastAsia="Calibri" w:hAnsi="Times New Roman" w:cs="Times New Roman"/>
          <w:sz w:val="24"/>
          <w:szCs w:val="24"/>
          <w:lang w:val="en-ZW"/>
        </w:rPr>
        <w:t>Th</w:t>
      </w:r>
      <w:r w:rsidR="00B04148">
        <w:rPr>
          <w:rFonts w:ascii="Times New Roman" w:eastAsia="Calibri" w:hAnsi="Times New Roman" w:cs="Times New Roman"/>
          <w:sz w:val="24"/>
          <w:szCs w:val="24"/>
          <w:lang w:val="en-ZW"/>
        </w:rPr>
        <w:t xml:space="preserve">is is </w:t>
      </w:r>
      <w:r w:rsidR="00B54E10">
        <w:rPr>
          <w:rFonts w:ascii="Times New Roman" w:eastAsia="Calibri" w:hAnsi="Times New Roman" w:cs="Times New Roman"/>
          <w:sz w:val="24"/>
          <w:szCs w:val="24"/>
          <w:lang w:val="en-ZW"/>
        </w:rPr>
        <w:t>an</w:t>
      </w:r>
      <w:r w:rsidR="00B54E10" w:rsidRPr="00797E50">
        <w:rPr>
          <w:rFonts w:ascii="Times New Roman" w:eastAsia="Calibri" w:hAnsi="Times New Roman" w:cs="Times New Roman"/>
          <w:sz w:val="24"/>
          <w:szCs w:val="24"/>
          <w:lang w:val="en-ZW"/>
        </w:rPr>
        <w:t xml:space="preserve"> appeal</w:t>
      </w:r>
      <w:r w:rsidR="00236062" w:rsidRPr="00797E50">
        <w:rPr>
          <w:rFonts w:ascii="Times New Roman" w:eastAsia="Calibri" w:hAnsi="Times New Roman" w:cs="Times New Roman"/>
          <w:sz w:val="24"/>
          <w:szCs w:val="24"/>
          <w:lang w:val="en-ZW"/>
        </w:rPr>
        <w:t xml:space="preserve"> against the judgment of the </w:t>
      </w:r>
      <w:r w:rsidR="00B04148">
        <w:rPr>
          <w:rFonts w:ascii="Times New Roman" w:eastAsia="Calibri" w:hAnsi="Times New Roman" w:cs="Times New Roman"/>
          <w:sz w:val="24"/>
          <w:szCs w:val="24"/>
          <w:lang w:val="en-ZW"/>
        </w:rPr>
        <w:t>High C</w:t>
      </w:r>
      <w:r w:rsidR="00236062" w:rsidRPr="00797E50">
        <w:rPr>
          <w:rFonts w:ascii="Times New Roman" w:eastAsia="Calibri" w:hAnsi="Times New Roman" w:cs="Times New Roman"/>
          <w:sz w:val="24"/>
          <w:szCs w:val="24"/>
          <w:lang w:val="en-ZW"/>
        </w:rPr>
        <w:t>ourt</w:t>
      </w:r>
      <w:r w:rsidR="005C4960">
        <w:rPr>
          <w:rFonts w:ascii="Times New Roman" w:eastAsia="Calibri" w:hAnsi="Times New Roman" w:cs="Times New Roman"/>
          <w:sz w:val="24"/>
          <w:szCs w:val="24"/>
          <w:lang w:val="en-ZW"/>
        </w:rPr>
        <w:t xml:space="preserve"> </w:t>
      </w:r>
      <w:r w:rsidR="00B04148">
        <w:rPr>
          <w:rFonts w:ascii="Times New Roman" w:eastAsia="Calibri" w:hAnsi="Times New Roman" w:cs="Times New Roman"/>
          <w:sz w:val="24"/>
          <w:szCs w:val="24"/>
          <w:lang w:val="en-ZW"/>
        </w:rPr>
        <w:t>(the court</w:t>
      </w:r>
      <w:r w:rsidR="00236062" w:rsidRPr="00797E50">
        <w:rPr>
          <w:rFonts w:ascii="Times New Roman" w:eastAsia="Calibri" w:hAnsi="Times New Roman" w:cs="Times New Roman"/>
          <w:sz w:val="24"/>
          <w:szCs w:val="24"/>
          <w:lang w:val="en-ZW"/>
        </w:rPr>
        <w:t xml:space="preserve"> </w:t>
      </w:r>
      <w:r w:rsidR="00236062" w:rsidRPr="00797E50">
        <w:rPr>
          <w:rFonts w:ascii="Times New Roman" w:eastAsia="Calibri" w:hAnsi="Times New Roman" w:cs="Times New Roman"/>
          <w:i/>
          <w:sz w:val="24"/>
          <w:szCs w:val="24"/>
          <w:lang w:val="en-ZW"/>
        </w:rPr>
        <w:t>a quo</w:t>
      </w:r>
      <w:r w:rsidR="00B04148">
        <w:rPr>
          <w:rFonts w:ascii="Times New Roman" w:eastAsia="Calibri" w:hAnsi="Times New Roman" w:cs="Times New Roman"/>
          <w:sz w:val="24"/>
          <w:szCs w:val="24"/>
          <w:lang w:val="en-ZW"/>
        </w:rPr>
        <w:t xml:space="preserve">) </w:t>
      </w:r>
      <w:r w:rsidR="00236062" w:rsidRPr="00797E50">
        <w:rPr>
          <w:rFonts w:ascii="Times New Roman" w:eastAsia="Calibri" w:hAnsi="Times New Roman" w:cs="Times New Roman"/>
          <w:sz w:val="24"/>
          <w:szCs w:val="24"/>
          <w:lang w:val="en-ZW"/>
        </w:rPr>
        <w:t>wherein it dismissed an application for a declaratory order sought by the appellant</w:t>
      </w:r>
      <w:r w:rsidR="00B54E10">
        <w:rPr>
          <w:rFonts w:ascii="Times New Roman" w:eastAsia="Calibri" w:hAnsi="Times New Roman" w:cs="Times New Roman"/>
          <w:sz w:val="24"/>
          <w:szCs w:val="24"/>
          <w:lang w:val="en-ZW"/>
        </w:rPr>
        <w:t xml:space="preserve">. </w:t>
      </w:r>
    </w:p>
    <w:p w14:paraId="53FDF527" w14:textId="77777777" w:rsidR="004E564B" w:rsidRPr="00797E50" w:rsidRDefault="004E564B" w:rsidP="008F765D">
      <w:pPr>
        <w:spacing w:after="0" w:line="240" w:lineRule="auto"/>
        <w:jc w:val="both"/>
        <w:rPr>
          <w:rFonts w:ascii="Times New Roman" w:eastAsia="Calibri" w:hAnsi="Times New Roman" w:cs="Times New Roman"/>
          <w:sz w:val="24"/>
          <w:szCs w:val="24"/>
          <w:lang w:val="en-ZW"/>
        </w:rPr>
      </w:pPr>
    </w:p>
    <w:p w14:paraId="3D4324F0" w14:textId="1254590A" w:rsidR="00A167F9" w:rsidRPr="0045305E" w:rsidRDefault="006C6587" w:rsidP="005C4960">
      <w:pPr>
        <w:spacing w:after="0" w:line="480" w:lineRule="auto"/>
        <w:jc w:val="both"/>
        <w:rPr>
          <w:rFonts w:ascii="Times New Roman" w:hAnsi="Times New Roman" w:cs="Times New Roman"/>
          <w:sz w:val="24"/>
          <w:szCs w:val="24"/>
          <w:u w:val="single"/>
          <w:lang w:val="en-GB"/>
        </w:rPr>
      </w:pPr>
      <w:r w:rsidRPr="0045305E">
        <w:rPr>
          <w:rFonts w:ascii="Times New Roman" w:eastAsia="Calibri" w:hAnsi="Times New Roman" w:cs="Times New Roman"/>
          <w:sz w:val="24"/>
          <w:szCs w:val="24"/>
          <w:u w:val="single"/>
          <w:lang w:val="en-ZW"/>
        </w:rPr>
        <w:t xml:space="preserve"> </w:t>
      </w:r>
      <w:r w:rsidR="00833846" w:rsidRPr="0045305E">
        <w:rPr>
          <w:rFonts w:ascii="Times New Roman" w:hAnsi="Times New Roman" w:cs="Times New Roman"/>
          <w:b/>
          <w:sz w:val="24"/>
          <w:szCs w:val="24"/>
          <w:u w:val="single"/>
        </w:rPr>
        <w:t xml:space="preserve">BACKGROUND </w:t>
      </w:r>
    </w:p>
    <w:p w14:paraId="53ECF237" w14:textId="67BCFA47" w:rsidR="006C6587" w:rsidRPr="00797E50" w:rsidRDefault="00A167F9" w:rsidP="008F765D">
      <w:pPr>
        <w:spacing w:after="0" w:line="480" w:lineRule="auto"/>
        <w:ind w:firstLine="1440"/>
        <w:jc w:val="both"/>
        <w:rPr>
          <w:rFonts w:ascii="Times New Roman" w:eastAsia="Calibri" w:hAnsi="Times New Roman" w:cs="Times New Roman"/>
          <w:sz w:val="25"/>
          <w:szCs w:val="25"/>
          <w:lang w:val="en-ZW"/>
        </w:rPr>
      </w:pPr>
      <w:r w:rsidRPr="00797E50">
        <w:rPr>
          <w:rFonts w:ascii="Times New Roman" w:hAnsi="Times New Roman" w:cs="Times New Roman"/>
          <w:sz w:val="24"/>
          <w:szCs w:val="24"/>
          <w:lang w:val="en-GB"/>
        </w:rPr>
        <w:t xml:space="preserve"> </w:t>
      </w:r>
      <w:r w:rsidR="006C6587" w:rsidRPr="00797E50">
        <w:rPr>
          <w:rFonts w:ascii="Times New Roman" w:eastAsia="Calibri" w:hAnsi="Times New Roman" w:cs="Times New Roman"/>
          <w:sz w:val="25"/>
          <w:szCs w:val="25"/>
          <w:lang w:val="en-ZW"/>
        </w:rPr>
        <w:t xml:space="preserve">The appellant approached the court </w:t>
      </w:r>
      <w:r w:rsidR="006C6587" w:rsidRPr="00797E50">
        <w:rPr>
          <w:rFonts w:ascii="Times New Roman" w:eastAsia="Calibri" w:hAnsi="Times New Roman" w:cs="Times New Roman"/>
          <w:i/>
          <w:sz w:val="25"/>
          <w:szCs w:val="25"/>
          <w:lang w:val="en-ZW"/>
        </w:rPr>
        <w:t>a quo</w:t>
      </w:r>
      <w:r w:rsidR="006C6587" w:rsidRPr="00797E50">
        <w:rPr>
          <w:rFonts w:ascii="Times New Roman" w:eastAsia="Calibri" w:hAnsi="Times New Roman" w:cs="Times New Roman"/>
          <w:sz w:val="25"/>
          <w:szCs w:val="25"/>
          <w:lang w:val="en-ZW"/>
        </w:rPr>
        <w:t xml:space="preserve"> with an application for a declaratory</w:t>
      </w:r>
      <w:r w:rsidR="004C3568">
        <w:rPr>
          <w:rFonts w:ascii="Times New Roman" w:eastAsia="Calibri" w:hAnsi="Times New Roman" w:cs="Times New Roman"/>
          <w:sz w:val="25"/>
          <w:szCs w:val="25"/>
          <w:lang w:val="en-ZW"/>
        </w:rPr>
        <w:t xml:space="preserve"> order</w:t>
      </w:r>
      <w:r w:rsidR="006C6587" w:rsidRPr="00797E50">
        <w:rPr>
          <w:rFonts w:ascii="Times New Roman" w:eastAsia="Calibri" w:hAnsi="Times New Roman" w:cs="Times New Roman"/>
          <w:sz w:val="25"/>
          <w:szCs w:val="25"/>
          <w:lang w:val="en-ZW"/>
        </w:rPr>
        <w:t xml:space="preserve"> </w:t>
      </w:r>
      <w:r w:rsidR="00426900">
        <w:rPr>
          <w:rFonts w:ascii="Times New Roman" w:eastAsia="Calibri" w:hAnsi="Times New Roman" w:cs="Times New Roman"/>
          <w:sz w:val="25"/>
          <w:szCs w:val="25"/>
          <w:lang w:val="en-ZW"/>
        </w:rPr>
        <w:t>to the effect</w:t>
      </w:r>
      <w:r w:rsidR="006C6587" w:rsidRPr="00797E50">
        <w:rPr>
          <w:rFonts w:ascii="Times New Roman" w:eastAsia="Calibri" w:hAnsi="Times New Roman" w:cs="Times New Roman"/>
          <w:sz w:val="25"/>
          <w:szCs w:val="25"/>
          <w:lang w:val="en-ZW"/>
        </w:rPr>
        <w:t xml:space="preserve"> that;</w:t>
      </w:r>
    </w:p>
    <w:p w14:paraId="4414F874" w14:textId="7E53D232" w:rsidR="006C6587" w:rsidRPr="005C4960" w:rsidRDefault="006C6587" w:rsidP="008F765D">
      <w:pPr>
        <w:tabs>
          <w:tab w:val="left" w:pos="9356"/>
        </w:tabs>
        <w:spacing w:line="240" w:lineRule="auto"/>
        <w:ind w:left="1080" w:hanging="360"/>
        <w:jc w:val="both"/>
        <w:rPr>
          <w:rFonts w:ascii="Times New Roman" w:eastAsia="Calibri" w:hAnsi="Times New Roman" w:cs="Times New Roman"/>
          <w:sz w:val="24"/>
          <w:szCs w:val="24"/>
          <w:lang w:val="en-ZW"/>
        </w:rPr>
      </w:pPr>
      <w:r w:rsidRPr="005C4960">
        <w:rPr>
          <w:rFonts w:ascii="Times New Roman" w:eastAsia="Calibri" w:hAnsi="Times New Roman" w:cs="Times New Roman"/>
          <w:sz w:val="24"/>
          <w:szCs w:val="24"/>
          <w:lang w:val="en-ZW"/>
        </w:rPr>
        <w:t>“1</w:t>
      </w:r>
      <w:r w:rsidR="00B22605" w:rsidRPr="005C4960">
        <w:rPr>
          <w:rFonts w:ascii="Times New Roman" w:eastAsia="Calibri" w:hAnsi="Times New Roman" w:cs="Times New Roman"/>
          <w:sz w:val="24"/>
          <w:szCs w:val="24"/>
          <w:lang w:val="en-ZW"/>
        </w:rPr>
        <w:t>.</w:t>
      </w:r>
      <w:r w:rsidR="008F765D">
        <w:rPr>
          <w:rFonts w:ascii="Times New Roman" w:eastAsia="Calibri" w:hAnsi="Times New Roman" w:cs="Times New Roman"/>
          <w:sz w:val="24"/>
          <w:szCs w:val="24"/>
          <w:lang w:val="en-ZW"/>
        </w:rPr>
        <w:t xml:space="preserve"> </w:t>
      </w:r>
      <w:r w:rsidR="005C4960" w:rsidRPr="005C4960">
        <w:rPr>
          <w:rFonts w:ascii="Times New Roman" w:eastAsia="Calibri" w:hAnsi="Times New Roman" w:cs="Times New Roman"/>
          <w:sz w:val="24"/>
          <w:szCs w:val="24"/>
          <w:lang w:val="en-ZW"/>
        </w:rPr>
        <w:t>The a</w:t>
      </w:r>
      <w:r w:rsidRPr="005C4960">
        <w:rPr>
          <w:rFonts w:ascii="Times New Roman" w:eastAsia="Calibri" w:hAnsi="Times New Roman" w:cs="Times New Roman"/>
          <w:sz w:val="24"/>
          <w:szCs w:val="24"/>
          <w:lang w:val="en-ZW"/>
        </w:rPr>
        <w:t>pplicant’s interpretation of Public Notices 36 of 2021 and 57 of 2021</w:t>
      </w:r>
      <w:r w:rsidR="004D179F">
        <w:rPr>
          <w:rFonts w:ascii="Times New Roman" w:eastAsia="Calibri" w:hAnsi="Times New Roman" w:cs="Times New Roman"/>
          <w:sz w:val="24"/>
          <w:szCs w:val="24"/>
          <w:lang w:val="en-ZW"/>
        </w:rPr>
        <w:t xml:space="preserve"> as</w:t>
      </w:r>
      <w:r w:rsidRPr="005C4960">
        <w:rPr>
          <w:rFonts w:ascii="Times New Roman" w:eastAsia="Calibri" w:hAnsi="Times New Roman" w:cs="Times New Roman"/>
          <w:sz w:val="24"/>
          <w:szCs w:val="24"/>
          <w:lang w:val="en-ZW"/>
        </w:rPr>
        <w:t xml:space="preserve"> read with the Finance Act and Income Tax Act is correct and that its income liability (including any estimates for purposes of provisional tax payments) in foreign currency shall be determined by deducting expenditure incurred in foreign currency from foreign currency revenue and expenditure incurred in local currency from local currency revenue</w:t>
      </w:r>
      <w:r w:rsidR="00C265E0" w:rsidRPr="005C4960">
        <w:rPr>
          <w:rFonts w:ascii="Times New Roman" w:eastAsia="Calibri" w:hAnsi="Times New Roman" w:cs="Times New Roman"/>
          <w:sz w:val="24"/>
          <w:szCs w:val="24"/>
          <w:lang w:val="en-ZW"/>
        </w:rPr>
        <w:t>.</w:t>
      </w:r>
    </w:p>
    <w:p w14:paraId="738C5720" w14:textId="5FA955F7" w:rsidR="006C6587" w:rsidRPr="005C4960" w:rsidRDefault="006C6587" w:rsidP="008F765D">
      <w:pPr>
        <w:spacing w:line="240" w:lineRule="auto"/>
        <w:ind w:left="1170" w:hanging="360"/>
        <w:jc w:val="both"/>
        <w:rPr>
          <w:rFonts w:ascii="Times New Roman" w:eastAsia="Calibri" w:hAnsi="Times New Roman" w:cs="Times New Roman"/>
          <w:sz w:val="24"/>
          <w:szCs w:val="24"/>
          <w:lang w:val="en-ZW"/>
        </w:rPr>
      </w:pPr>
      <w:r w:rsidRPr="005C4960">
        <w:rPr>
          <w:rFonts w:ascii="Times New Roman" w:eastAsia="Calibri" w:hAnsi="Times New Roman" w:cs="Times New Roman"/>
          <w:sz w:val="24"/>
          <w:szCs w:val="24"/>
          <w:lang w:val="en-ZW"/>
        </w:rPr>
        <w:t>2</w:t>
      </w:r>
      <w:r w:rsidR="00C265E0" w:rsidRPr="005C4960">
        <w:rPr>
          <w:rFonts w:ascii="Times New Roman" w:eastAsia="Calibri" w:hAnsi="Times New Roman" w:cs="Times New Roman"/>
          <w:sz w:val="24"/>
          <w:szCs w:val="24"/>
          <w:lang w:val="en-ZW"/>
        </w:rPr>
        <w:t>.</w:t>
      </w:r>
      <w:r w:rsidR="005C4960">
        <w:rPr>
          <w:rFonts w:ascii="Times New Roman" w:eastAsia="Calibri" w:hAnsi="Times New Roman" w:cs="Times New Roman"/>
          <w:sz w:val="24"/>
          <w:szCs w:val="24"/>
          <w:lang w:val="en-ZW"/>
        </w:rPr>
        <w:t xml:space="preserve"> </w:t>
      </w:r>
      <w:r w:rsidR="008F765D">
        <w:rPr>
          <w:rFonts w:ascii="Times New Roman" w:eastAsia="Calibri" w:hAnsi="Times New Roman" w:cs="Times New Roman"/>
          <w:sz w:val="24"/>
          <w:szCs w:val="24"/>
          <w:lang w:val="en-ZW"/>
        </w:rPr>
        <w:t xml:space="preserve"> </w:t>
      </w:r>
      <w:r w:rsidR="005C4960">
        <w:rPr>
          <w:rFonts w:ascii="Times New Roman" w:eastAsia="Calibri" w:hAnsi="Times New Roman" w:cs="Times New Roman"/>
          <w:sz w:val="24"/>
          <w:szCs w:val="24"/>
          <w:lang w:val="en-ZW"/>
        </w:rPr>
        <w:t>As such, that the r</w:t>
      </w:r>
      <w:r w:rsidRPr="005C4960">
        <w:rPr>
          <w:rFonts w:ascii="Times New Roman" w:eastAsia="Calibri" w:hAnsi="Times New Roman" w:cs="Times New Roman"/>
          <w:sz w:val="24"/>
          <w:szCs w:val="24"/>
          <w:lang w:val="en-ZW"/>
        </w:rPr>
        <w:t>espondent’s interpretation of Public Notices 36 of 2021 and 57 of 2021 read with the Finance Act and Income Tax Act and its decision on 29 June 2021 to decline the Applicant’s proposed method is incorrect.</w:t>
      </w:r>
    </w:p>
    <w:p w14:paraId="69F7506C" w14:textId="0B705BA6" w:rsidR="006C6587" w:rsidRPr="005C4960" w:rsidRDefault="006C6587" w:rsidP="00992FF4">
      <w:pPr>
        <w:spacing w:line="240" w:lineRule="auto"/>
        <w:ind w:left="720"/>
        <w:jc w:val="both"/>
        <w:rPr>
          <w:rFonts w:ascii="Times New Roman" w:eastAsia="Calibri" w:hAnsi="Times New Roman" w:cs="Times New Roman"/>
          <w:sz w:val="24"/>
          <w:szCs w:val="24"/>
          <w:lang w:val="en-ZW"/>
        </w:rPr>
      </w:pPr>
      <w:r w:rsidRPr="005C4960">
        <w:rPr>
          <w:rFonts w:ascii="Times New Roman" w:eastAsia="Calibri" w:hAnsi="Times New Roman" w:cs="Times New Roman"/>
          <w:sz w:val="24"/>
          <w:szCs w:val="24"/>
          <w:lang w:val="en-ZW"/>
        </w:rPr>
        <w:lastRenderedPageBreak/>
        <w:t>3</w:t>
      </w:r>
      <w:r w:rsidR="00C265E0" w:rsidRPr="005C4960">
        <w:rPr>
          <w:rFonts w:ascii="Times New Roman" w:eastAsia="Calibri" w:hAnsi="Times New Roman" w:cs="Times New Roman"/>
          <w:sz w:val="24"/>
          <w:szCs w:val="24"/>
          <w:lang w:val="en-ZW"/>
        </w:rPr>
        <w:t>.</w:t>
      </w:r>
      <w:r w:rsidRPr="005C4960">
        <w:rPr>
          <w:rFonts w:ascii="Times New Roman" w:eastAsia="Calibri" w:hAnsi="Times New Roman" w:cs="Times New Roman"/>
          <w:sz w:val="24"/>
          <w:szCs w:val="24"/>
          <w:lang w:val="en-ZW"/>
        </w:rPr>
        <w:t xml:space="preserve"> </w:t>
      </w:r>
      <w:r w:rsidR="00992FF4">
        <w:rPr>
          <w:rFonts w:ascii="Times New Roman" w:eastAsia="Calibri" w:hAnsi="Times New Roman" w:cs="Times New Roman"/>
          <w:sz w:val="24"/>
          <w:szCs w:val="24"/>
          <w:lang w:val="en-ZW"/>
        </w:rPr>
        <w:t xml:space="preserve"> </w:t>
      </w:r>
      <w:r w:rsidR="004A3E4F">
        <w:rPr>
          <w:rFonts w:ascii="Times New Roman" w:eastAsia="Calibri" w:hAnsi="Times New Roman" w:cs="Times New Roman"/>
          <w:sz w:val="24"/>
          <w:szCs w:val="24"/>
          <w:lang w:val="en-ZW"/>
        </w:rPr>
        <w:t xml:space="preserve"> </w:t>
      </w:r>
      <w:r w:rsidRPr="005C4960">
        <w:rPr>
          <w:rFonts w:ascii="Times New Roman" w:eastAsia="Calibri" w:hAnsi="Times New Roman" w:cs="Times New Roman"/>
          <w:sz w:val="24"/>
          <w:szCs w:val="24"/>
          <w:lang w:val="en-ZW"/>
        </w:rPr>
        <w:t>Any alt</w:t>
      </w:r>
      <w:r w:rsidR="005C4960">
        <w:rPr>
          <w:rFonts w:ascii="Times New Roman" w:eastAsia="Calibri" w:hAnsi="Times New Roman" w:cs="Times New Roman"/>
          <w:sz w:val="24"/>
          <w:szCs w:val="24"/>
          <w:lang w:val="en-ZW"/>
        </w:rPr>
        <w:t>ernative/further relief as the c</w:t>
      </w:r>
      <w:r w:rsidRPr="005C4960">
        <w:rPr>
          <w:rFonts w:ascii="Times New Roman" w:eastAsia="Calibri" w:hAnsi="Times New Roman" w:cs="Times New Roman"/>
          <w:sz w:val="24"/>
          <w:szCs w:val="24"/>
          <w:lang w:val="en-ZW"/>
        </w:rPr>
        <w:t>ourt may grant.</w:t>
      </w:r>
    </w:p>
    <w:p w14:paraId="4FD52B5B" w14:textId="38234F3D" w:rsidR="006C6587" w:rsidRDefault="004A3E4F" w:rsidP="00992FF4">
      <w:pPr>
        <w:spacing w:line="240" w:lineRule="auto"/>
        <w:ind w:left="720"/>
        <w:jc w:val="both"/>
        <w:rPr>
          <w:rFonts w:ascii="Times New Roman" w:eastAsia="Calibri" w:hAnsi="Times New Roman" w:cs="Times New Roman"/>
          <w:sz w:val="24"/>
          <w:szCs w:val="24"/>
          <w:lang w:val="en-ZW"/>
        </w:rPr>
      </w:pPr>
      <w:r w:rsidRPr="005C4960">
        <w:rPr>
          <w:rFonts w:ascii="Times New Roman" w:eastAsia="Calibri" w:hAnsi="Times New Roman" w:cs="Times New Roman"/>
          <w:sz w:val="24"/>
          <w:szCs w:val="24"/>
          <w:lang w:val="en-ZW"/>
        </w:rPr>
        <w:t>4.</w:t>
      </w:r>
      <w:r>
        <w:rPr>
          <w:rFonts w:ascii="Times New Roman" w:eastAsia="Calibri" w:hAnsi="Times New Roman" w:cs="Times New Roman"/>
          <w:sz w:val="24"/>
          <w:szCs w:val="24"/>
          <w:lang w:val="en-ZW"/>
        </w:rPr>
        <w:t xml:space="preserve"> The</w:t>
      </w:r>
      <w:r w:rsidR="005C4960">
        <w:rPr>
          <w:rFonts w:ascii="Times New Roman" w:eastAsia="Calibri" w:hAnsi="Times New Roman" w:cs="Times New Roman"/>
          <w:sz w:val="24"/>
          <w:szCs w:val="24"/>
          <w:lang w:val="en-ZW"/>
        </w:rPr>
        <w:t xml:space="preserve"> r</w:t>
      </w:r>
      <w:r w:rsidR="006C6587" w:rsidRPr="005C4960">
        <w:rPr>
          <w:rFonts w:ascii="Times New Roman" w:eastAsia="Calibri" w:hAnsi="Times New Roman" w:cs="Times New Roman"/>
          <w:sz w:val="24"/>
          <w:szCs w:val="24"/>
          <w:lang w:val="en-ZW"/>
        </w:rPr>
        <w:t>espondents should be ordered to pay the costs of this application.”</w:t>
      </w:r>
    </w:p>
    <w:p w14:paraId="51A10254" w14:textId="77777777" w:rsidR="005C4960" w:rsidRPr="00797E50" w:rsidRDefault="005C4960" w:rsidP="00300ED2">
      <w:pPr>
        <w:spacing w:after="0" w:line="480" w:lineRule="auto"/>
        <w:ind w:left="720" w:hanging="153"/>
        <w:jc w:val="both"/>
        <w:rPr>
          <w:rFonts w:ascii="Times New Roman" w:eastAsia="Calibri" w:hAnsi="Times New Roman" w:cs="Times New Roman"/>
          <w:lang w:val="en-ZW"/>
        </w:rPr>
      </w:pPr>
    </w:p>
    <w:p w14:paraId="3FED2005" w14:textId="3FDCC2B1" w:rsidR="006C6587" w:rsidRDefault="006C6587" w:rsidP="004A3E4F">
      <w:pPr>
        <w:spacing w:line="480" w:lineRule="auto"/>
        <w:ind w:firstLine="1440"/>
        <w:jc w:val="both"/>
        <w:rPr>
          <w:rFonts w:ascii="Times New Roman" w:eastAsia="Calibri" w:hAnsi="Times New Roman" w:cs="Times New Roman"/>
          <w:sz w:val="25"/>
          <w:szCs w:val="25"/>
          <w:lang w:val="en-ZW"/>
        </w:rPr>
      </w:pPr>
      <w:r w:rsidRPr="005C4960">
        <w:rPr>
          <w:rFonts w:ascii="Times New Roman" w:eastAsia="Calibri" w:hAnsi="Times New Roman" w:cs="Times New Roman"/>
          <w:sz w:val="24"/>
          <w:szCs w:val="24"/>
          <w:lang w:val="en-ZW"/>
        </w:rPr>
        <w:t>The appellant is in the business of mining and processing platinum group metals</w:t>
      </w:r>
      <w:r w:rsidR="0008577C" w:rsidRPr="005C4960">
        <w:rPr>
          <w:rFonts w:ascii="Times New Roman" w:eastAsia="Calibri" w:hAnsi="Times New Roman" w:cs="Times New Roman"/>
          <w:sz w:val="24"/>
          <w:szCs w:val="24"/>
          <w:lang w:val="en-ZW"/>
        </w:rPr>
        <w:t xml:space="preserve"> and other associated metals</w:t>
      </w:r>
      <w:r w:rsidRPr="005C4960">
        <w:rPr>
          <w:rFonts w:ascii="Times New Roman" w:eastAsia="Calibri" w:hAnsi="Times New Roman" w:cs="Times New Roman"/>
          <w:sz w:val="24"/>
          <w:szCs w:val="24"/>
          <w:lang w:val="en-ZW"/>
        </w:rPr>
        <w:t xml:space="preserve"> (nickel, gold, copper, cobalt and silver) in the Ngez</w:t>
      </w:r>
      <w:r w:rsidR="005C4960">
        <w:rPr>
          <w:rFonts w:ascii="Times New Roman" w:eastAsia="Calibri" w:hAnsi="Times New Roman" w:cs="Times New Roman"/>
          <w:sz w:val="24"/>
          <w:szCs w:val="24"/>
          <w:lang w:val="en-ZW"/>
        </w:rPr>
        <w:t xml:space="preserve">i and Selous areas in Zimbabwe.  </w:t>
      </w:r>
      <w:r w:rsidRPr="005C4960">
        <w:rPr>
          <w:rFonts w:ascii="Times New Roman" w:eastAsia="Calibri" w:hAnsi="Times New Roman" w:cs="Times New Roman"/>
          <w:sz w:val="24"/>
          <w:szCs w:val="24"/>
          <w:lang w:val="en-ZW"/>
        </w:rPr>
        <w:t>The appellant previously conducted its mining and processing operations in terms of a Special Mining Lease (‘SML’) which was issued on 24 August 1995 in terms of the Mines and Minerals Act [</w:t>
      </w:r>
      <w:r w:rsidRPr="005C4960">
        <w:rPr>
          <w:rFonts w:ascii="Times New Roman" w:eastAsia="Calibri" w:hAnsi="Times New Roman" w:cs="Times New Roman"/>
          <w:i/>
          <w:sz w:val="24"/>
          <w:szCs w:val="24"/>
          <w:lang w:val="en-ZW"/>
        </w:rPr>
        <w:t>Chapter 21:05</w:t>
      </w:r>
      <w:r w:rsidRPr="005C4960">
        <w:rPr>
          <w:rFonts w:ascii="Times New Roman" w:eastAsia="Calibri" w:hAnsi="Times New Roman" w:cs="Times New Roman"/>
          <w:sz w:val="24"/>
          <w:szCs w:val="24"/>
          <w:lang w:val="en-ZW"/>
        </w:rPr>
        <w:t xml:space="preserve">]. </w:t>
      </w:r>
      <w:r w:rsidR="005C4960">
        <w:rPr>
          <w:rFonts w:ascii="Times New Roman" w:eastAsia="Calibri" w:hAnsi="Times New Roman" w:cs="Times New Roman"/>
          <w:sz w:val="24"/>
          <w:szCs w:val="24"/>
          <w:lang w:val="en-ZW"/>
        </w:rPr>
        <w:t xml:space="preserve"> </w:t>
      </w:r>
      <w:r w:rsidRPr="005C4960">
        <w:rPr>
          <w:rFonts w:ascii="Times New Roman" w:eastAsia="Calibri" w:hAnsi="Times New Roman" w:cs="Times New Roman"/>
          <w:sz w:val="24"/>
          <w:szCs w:val="24"/>
          <w:lang w:val="en-ZW"/>
        </w:rPr>
        <w:t xml:space="preserve">The appellant migrated from operating under an SML to a General Mining Lease on 31 May 2018. </w:t>
      </w:r>
      <w:r w:rsidR="005C4960">
        <w:rPr>
          <w:rFonts w:ascii="Times New Roman" w:eastAsia="Calibri" w:hAnsi="Times New Roman" w:cs="Times New Roman"/>
          <w:sz w:val="24"/>
          <w:szCs w:val="24"/>
          <w:lang w:val="en-ZW"/>
        </w:rPr>
        <w:t xml:space="preserve"> </w:t>
      </w:r>
      <w:r w:rsidRPr="005C4960">
        <w:rPr>
          <w:rFonts w:ascii="Times New Roman" w:eastAsia="Calibri" w:hAnsi="Times New Roman" w:cs="Times New Roman"/>
          <w:sz w:val="24"/>
          <w:szCs w:val="24"/>
          <w:lang w:val="en-ZW"/>
        </w:rPr>
        <w:t xml:space="preserve">It exports the minerals it mines and is paid in United States Dollars. </w:t>
      </w:r>
      <w:r w:rsidR="005C4960">
        <w:rPr>
          <w:rFonts w:ascii="Times New Roman" w:eastAsia="Calibri" w:hAnsi="Times New Roman" w:cs="Times New Roman"/>
          <w:sz w:val="24"/>
          <w:szCs w:val="24"/>
          <w:lang w:val="en-ZW"/>
        </w:rPr>
        <w:t xml:space="preserve"> </w:t>
      </w:r>
      <w:r w:rsidRPr="005C4960">
        <w:rPr>
          <w:rFonts w:ascii="Times New Roman" w:eastAsia="Calibri" w:hAnsi="Times New Roman" w:cs="Times New Roman"/>
          <w:sz w:val="24"/>
          <w:szCs w:val="24"/>
          <w:lang w:val="en-ZW"/>
        </w:rPr>
        <w:t xml:space="preserve">Besides exporting </w:t>
      </w:r>
      <w:r w:rsidR="00486FC6" w:rsidRPr="005C4960">
        <w:rPr>
          <w:rFonts w:ascii="Times New Roman" w:eastAsia="Calibri" w:hAnsi="Times New Roman" w:cs="Times New Roman"/>
          <w:sz w:val="24"/>
          <w:szCs w:val="24"/>
          <w:lang w:val="en-ZW"/>
        </w:rPr>
        <w:t>minerals,</w:t>
      </w:r>
      <w:r w:rsidRPr="005C4960">
        <w:rPr>
          <w:rFonts w:ascii="Times New Roman" w:eastAsia="Calibri" w:hAnsi="Times New Roman" w:cs="Times New Roman"/>
          <w:sz w:val="24"/>
          <w:szCs w:val="24"/>
          <w:lang w:val="en-ZW"/>
        </w:rPr>
        <w:t xml:space="preserve"> the appellant also generates revenue in local currency from scrap</w:t>
      </w:r>
      <w:r w:rsidR="00486FC6" w:rsidRPr="005C4960">
        <w:rPr>
          <w:rFonts w:ascii="Times New Roman" w:eastAsia="Calibri" w:hAnsi="Times New Roman" w:cs="Times New Roman"/>
          <w:sz w:val="24"/>
          <w:szCs w:val="24"/>
          <w:lang w:val="en-ZW"/>
        </w:rPr>
        <w:t xml:space="preserve"> metal</w:t>
      </w:r>
      <w:r w:rsidR="005C4960">
        <w:rPr>
          <w:rFonts w:ascii="Times New Roman" w:eastAsia="Calibri" w:hAnsi="Times New Roman" w:cs="Times New Roman"/>
          <w:sz w:val="24"/>
          <w:szCs w:val="24"/>
          <w:lang w:val="en-ZW"/>
        </w:rPr>
        <w:t xml:space="preserve"> sales and local investments.  </w:t>
      </w:r>
      <w:r w:rsidRPr="005C4960">
        <w:rPr>
          <w:rFonts w:ascii="Times New Roman" w:eastAsia="Calibri" w:hAnsi="Times New Roman" w:cs="Times New Roman"/>
          <w:sz w:val="24"/>
          <w:szCs w:val="24"/>
          <w:lang w:val="en-ZW"/>
        </w:rPr>
        <w:t>The appellant’s operational and capital expenditure is thus incurred in both local and foreign currency</w:t>
      </w:r>
      <w:r w:rsidRPr="00797E50">
        <w:rPr>
          <w:rFonts w:ascii="Times New Roman" w:eastAsia="Calibri" w:hAnsi="Times New Roman" w:cs="Times New Roman"/>
          <w:sz w:val="25"/>
          <w:szCs w:val="25"/>
          <w:lang w:val="en-ZW"/>
        </w:rPr>
        <w:t xml:space="preserve">. </w:t>
      </w:r>
    </w:p>
    <w:p w14:paraId="77EC9BC7" w14:textId="77777777" w:rsidR="005C4960" w:rsidRPr="00797E50" w:rsidRDefault="005C4960" w:rsidP="005C4960">
      <w:pPr>
        <w:spacing w:after="0" w:line="240" w:lineRule="auto"/>
        <w:ind w:firstLine="1134"/>
        <w:jc w:val="both"/>
        <w:rPr>
          <w:rFonts w:ascii="Times New Roman" w:eastAsia="Calibri" w:hAnsi="Times New Roman" w:cs="Times New Roman"/>
          <w:sz w:val="25"/>
          <w:szCs w:val="25"/>
          <w:lang w:val="en-ZW"/>
        </w:rPr>
      </w:pPr>
    </w:p>
    <w:p w14:paraId="7C6A3C2B" w14:textId="77777777" w:rsidR="00D059F4" w:rsidRDefault="006C6587" w:rsidP="00E96028">
      <w:pPr>
        <w:spacing w:line="480" w:lineRule="auto"/>
        <w:ind w:firstLine="1440"/>
        <w:jc w:val="both"/>
        <w:rPr>
          <w:rFonts w:ascii="Times New Roman" w:eastAsia="Calibri" w:hAnsi="Times New Roman" w:cs="Times New Roman"/>
          <w:sz w:val="24"/>
          <w:szCs w:val="24"/>
          <w:lang w:val="en-ZW"/>
        </w:rPr>
      </w:pPr>
      <w:r w:rsidRPr="005C4960">
        <w:rPr>
          <w:rFonts w:ascii="Times New Roman" w:eastAsia="Calibri" w:hAnsi="Times New Roman" w:cs="Times New Roman"/>
          <w:sz w:val="24"/>
          <w:szCs w:val="24"/>
          <w:lang w:val="en-ZW"/>
        </w:rPr>
        <w:t>During the time when the appellant was a holder of an SML, its taxable income was determined through a special tax regime set out in the Twenty-Second Schedule to the Income Tax Act [</w:t>
      </w:r>
      <w:r w:rsidRPr="005C4960">
        <w:rPr>
          <w:rFonts w:ascii="Times New Roman" w:eastAsia="Calibri" w:hAnsi="Times New Roman" w:cs="Times New Roman"/>
          <w:i/>
          <w:sz w:val="24"/>
          <w:szCs w:val="24"/>
          <w:lang w:val="en-ZW"/>
        </w:rPr>
        <w:t>Chapter 23:</w:t>
      </w:r>
      <w:r w:rsidR="007566F2" w:rsidRPr="005C4960">
        <w:rPr>
          <w:rFonts w:ascii="Times New Roman" w:eastAsia="Calibri" w:hAnsi="Times New Roman" w:cs="Times New Roman"/>
          <w:i/>
          <w:sz w:val="24"/>
          <w:szCs w:val="24"/>
          <w:lang w:val="en-ZW"/>
        </w:rPr>
        <w:t>06</w:t>
      </w:r>
      <w:r w:rsidR="007566F2" w:rsidRPr="005C4960">
        <w:rPr>
          <w:rFonts w:ascii="Times New Roman" w:eastAsia="Calibri" w:hAnsi="Times New Roman" w:cs="Times New Roman"/>
          <w:sz w:val="24"/>
          <w:szCs w:val="24"/>
          <w:lang w:val="en-ZW"/>
        </w:rPr>
        <w:t>]</w:t>
      </w:r>
      <w:r w:rsidRPr="005C4960">
        <w:rPr>
          <w:rFonts w:ascii="Times New Roman" w:eastAsia="Calibri" w:hAnsi="Times New Roman" w:cs="Times New Roman"/>
          <w:sz w:val="24"/>
          <w:szCs w:val="24"/>
          <w:lang w:val="en-ZW"/>
        </w:rPr>
        <w:t xml:space="preserve"> (the ‘ITA’). </w:t>
      </w:r>
      <w:r w:rsidR="001A0013">
        <w:rPr>
          <w:rFonts w:ascii="Times New Roman" w:eastAsia="Calibri" w:hAnsi="Times New Roman" w:cs="Times New Roman"/>
          <w:sz w:val="24"/>
          <w:szCs w:val="24"/>
          <w:lang w:val="en-ZW"/>
        </w:rPr>
        <w:t xml:space="preserve"> </w:t>
      </w:r>
      <w:r w:rsidRPr="005C4960">
        <w:rPr>
          <w:rFonts w:ascii="Times New Roman" w:eastAsia="Calibri" w:hAnsi="Times New Roman" w:cs="Times New Roman"/>
          <w:sz w:val="24"/>
          <w:szCs w:val="24"/>
          <w:lang w:val="en-ZW"/>
        </w:rPr>
        <w:t xml:space="preserve">The appellant was specifically required in terms of the ITA to pay taxes in United States Dollars (‘USD’) upon receipt of an assessment in USD. </w:t>
      </w:r>
      <w:r w:rsidR="001A0013">
        <w:rPr>
          <w:rFonts w:ascii="Times New Roman" w:eastAsia="Calibri" w:hAnsi="Times New Roman" w:cs="Times New Roman"/>
          <w:sz w:val="24"/>
          <w:szCs w:val="24"/>
          <w:lang w:val="en-ZW"/>
        </w:rPr>
        <w:t xml:space="preserve"> </w:t>
      </w:r>
      <w:r w:rsidRPr="005C4960">
        <w:rPr>
          <w:rFonts w:ascii="Times New Roman" w:eastAsia="Calibri" w:hAnsi="Times New Roman" w:cs="Times New Roman"/>
          <w:sz w:val="24"/>
          <w:szCs w:val="24"/>
          <w:lang w:val="en-ZW"/>
        </w:rPr>
        <w:t xml:space="preserve">Upon migrating to the General Mining </w:t>
      </w:r>
      <w:r w:rsidR="00BE5014" w:rsidRPr="005C4960">
        <w:rPr>
          <w:rFonts w:ascii="Times New Roman" w:eastAsia="Calibri" w:hAnsi="Times New Roman" w:cs="Times New Roman"/>
          <w:sz w:val="24"/>
          <w:szCs w:val="24"/>
          <w:lang w:val="en-ZW"/>
        </w:rPr>
        <w:t>Lease,</w:t>
      </w:r>
      <w:r w:rsidRPr="005C4960">
        <w:rPr>
          <w:rFonts w:ascii="Times New Roman" w:eastAsia="Calibri" w:hAnsi="Times New Roman" w:cs="Times New Roman"/>
          <w:sz w:val="24"/>
          <w:szCs w:val="24"/>
          <w:lang w:val="en-ZW"/>
        </w:rPr>
        <w:t xml:space="preserve"> the appellant is now required to pay income tax in terms of the general provisions as set out in Part III of the ITA. </w:t>
      </w:r>
      <w:r w:rsidR="001A0013">
        <w:rPr>
          <w:rFonts w:ascii="Times New Roman" w:eastAsia="Calibri" w:hAnsi="Times New Roman" w:cs="Times New Roman"/>
          <w:sz w:val="24"/>
          <w:szCs w:val="24"/>
          <w:lang w:val="en-ZW"/>
        </w:rPr>
        <w:t xml:space="preserve"> </w:t>
      </w:r>
    </w:p>
    <w:p w14:paraId="2D8B6ECA" w14:textId="77777777" w:rsidR="00864019" w:rsidRDefault="00864019" w:rsidP="00864019">
      <w:pPr>
        <w:spacing w:after="0" w:line="480" w:lineRule="auto"/>
        <w:ind w:firstLine="1134"/>
        <w:jc w:val="both"/>
        <w:rPr>
          <w:rFonts w:ascii="Times New Roman" w:eastAsia="Calibri" w:hAnsi="Times New Roman" w:cs="Times New Roman"/>
          <w:sz w:val="24"/>
          <w:szCs w:val="24"/>
          <w:lang w:val="en-ZW"/>
        </w:rPr>
      </w:pPr>
    </w:p>
    <w:p w14:paraId="38D94F0B" w14:textId="004367A2" w:rsidR="000713C0" w:rsidRDefault="006C6587" w:rsidP="00E96028">
      <w:pPr>
        <w:spacing w:line="480" w:lineRule="auto"/>
        <w:ind w:firstLine="1440"/>
        <w:jc w:val="both"/>
        <w:rPr>
          <w:rFonts w:ascii="Times New Roman" w:eastAsia="Calibri" w:hAnsi="Times New Roman" w:cs="Times New Roman"/>
          <w:sz w:val="24"/>
          <w:szCs w:val="24"/>
          <w:lang w:val="en-ZW"/>
        </w:rPr>
      </w:pPr>
      <w:r w:rsidRPr="005C4960">
        <w:rPr>
          <w:rFonts w:ascii="Times New Roman" w:eastAsia="Calibri" w:hAnsi="Times New Roman" w:cs="Times New Roman"/>
          <w:sz w:val="24"/>
          <w:szCs w:val="24"/>
          <w:lang w:val="en-ZW"/>
        </w:rPr>
        <w:t>The appellant</w:t>
      </w:r>
      <w:r w:rsidR="00E469C8" w:rsidRPr="005C4960">
        <w:rPr>
          <w:rFonts w:ascii="Times New Roman" w:eastAsia="Calibri" w:hAnsi="Times New Roman" w:cs="Times New Roman"/>
          <w:sz w:val="24"/>
          <w:szCs w:val="24"/>
          <w:lang w:val="en-ZW"/>
        </w:rPr>
        <w:t>,</w:t>
      </w:r>
      <w:r w:rsidRPr="005C4960">
        <w:rPr>
          <w:rFonts w:ascii="Times New Roman" w:eastAsia="Calibri" w:hAnsi="Times New Roman" w:cs="Times New Roman"/>
          <w:sz w:val="24"/>
          <w:szCs w:val="24"/>
          <w:lang w:val="en-ZW"/>
        </w:rPr>
        <w:t xml:space="preserve"> in making the application for a </w:t>
      </w:r>
      <w:r w:rsidRPr="005C4960">
        <w:rPr>
          <w:rFonts w:ascii="Times New Roman" w:eastAsia="Calibri" w:hAnsi="Times New Roman" w:cs="Times New Roman"/>
          <w:i/>
          <w:sz w:val="24"/>
          <w:szCs w:val="24"/>
          <w:lang w:val="en-ZW"/>
        </w:rPr>
        <w:t>declaratur</w:t>
      </w:r>
      <w:r w:rsidRPr="005C4960">
        <w:rPr>
          <w:rFonts w:ascii="Times New Roman" w:eastAsia="Calibri" w:hAnsi="Times New Roman" w:cs="Times New Roman"/>
          <w:sz w:val="24"/>
          <w:szCs w:val="24"/>
          <w:lang w:val="en-ZW"/>
        </w:rPr>
        <w:t xml:space="preserve"> averred that since </w:t>
      </w:r>
      <w:r w:rsidR="00852437">
        <w:rPr>
          <w:rFonts w:ascii="Times New Roman" w:eastAsia="Calibri" w:hAnsi="Times New Roman" w:cs="Times New Roman"/>
          <w:sz w:val="24"/>
          <w:szCs w:val="24"/>
          <w:lang w:val="en-ZW"/>
        </w:rPr>
        <w:t xml:space="preserve">                           </w:t>
      </w:r>
      <w:r w:rsidRPr="005C4960">
        <w:rPr>
          <w:rFonts w:ascii="Times New Roman" w:eastAsia="Calibri" w:hAnsi="Times New Roman" w:cs="Times New Roman"/>
          <w:sz w:val="24"/>
          <w:szCs w:val="24"/>
          <w:lang w:val="en-ZW"/>
        </w:rPr>
        <w:t xml:space="preserve">22 February 2019, the respondent issued </w:t>
      </w:r>
      <w:r w:rsidR="0043269E">
        <w:rPr>
          <w:rFonts w:ascii="Times New Roman" w:eastAsia="Calibri" w:hAnsi="Times New Roman" w:cs="Times New Roman"/>
          <w:sz w:val="24"/>
          <w:szCs w:val="24"/>
          <w:lang w:val="en-ZW"/>
        </w:rPr>
        <w:t>four</w:t>
      </w:r>
      <w:r w:rsidRPr="005C4960">
        <w:rPr>
          <w:rFonts w:ascii="Times New Roman" w:eastAsia="Calibri" w:hAnsi="Times New Roman" w:cs="Times New Roman"/>
          <w:sz w:val="24"/>
          <w:szCs w:val="24"/>
          <w:lang w:val="en-ZW"/>
        </w:rPr>
        <w:t xml:space="preserve"> Public Notices (‘PN</w:t>
      </w:r>
      <w:r w:rsidR="00E469C8" w:rsidRPr="005C4960">
        <w:rPr>
          <w:rFonts w:ascii="Times New Roman" w:eastAsia="Calibri" w:hAnsi="Times New Roman" w:cs="Times New Roman"/>
          <w:sz w:val="24"/>
          <w:szCs w:val="24"/>
          <w:lang w:val="en-ZW"/>
        </w:rPr>
        <w:t>s</w:t>
      </w:r>
      <w:r w:rsidRPr="005C4960">
        <w:rPr>
          <w:rFonts w:ascii="Times New Roman" w:eastAsia="Calibri" w:hAnsi="Times New Roman" w:cs="Times New Roman"/>
          <w:sz w:val="24"/>
          <w:szCs w:val="24"/>
          <w:lang w:val="en-ZW"/>
        </w:rPr>
        <w:t xml:space="preserve">’), being PN 26 of 2019, 49 of 2020, 36 of 2021 and 57 of 2021 for the computation of income tax in foreign currency. </w:t>
      </w:r>
      <w:r w:rsidR="001A0013">
        <w:rPr>
          <w:rFonts w:ascii="Times New Roman" w:eastAsia="Calibri" w:hAnsi="Times New Roman" w:cs="Times New Roman"/>
          <w:sz w:val="24"/>
          <w:szCs w:val="24"/>
          <w:lang w:val="en-ZW"/>
        </w:rPr>
        <w:t xml:space="preserve"> </w:t>
      </w:r>
      <w:r w:rsidRPr="005C4960">
        <w:rPr>
          <w:rFonts w:ascii="Times New Roman" w:eastAsia="Calibri" w:hAnsi="Times New Roman" w:cs="Times New Roman"/>
          <w:sz w:val="24"/>
          <w:szCs w:val="24"/>
          <w:lang w:val="en-ZW"/>
        </w:rPr>
        <w:t xml:space="preserve">The </w:t>
      </w:r>
      <w:r w:rsidRPr="005C4960">
        <w:rPr>
          <w:rFonts w:ascii="Times New Roman" w:eastAsia="Calibri" w:hAnsi="Times New Roman" w:cs="Times New Roman"/>
          <w:sz w:val="24"/>
          <w:szCs w:val="24"/>
          <w:lang w:val="en-ZW"/>
        </w:rPr>
        <w:lastRenderedPageBreak/>
        <w:t>appellant aver</w:t>
      </w:r>
      <w:r w:rsidR="00D2778F" w:rsidRPr="005C4960">
        <w:rPr>
          <w:rFonts w:ascii="Times New Roman" w:eastAsia="Calibri" w:hAnsi="Times New Roman" w:cs="Times New Roman"/>
          <w:sz w:val="24"/>
          <w:szCs w:val="24"/>
          <w:lang w:val="en-ZW"/>
        </w:rPr>
        <w:t>red</w:t>
      </w:r>
      <w:r w:rsidRPr="005C4960">
        <w:rPr>
          <w:rFonts w:ascii="Times New Roman" w:eastAsia="Calibri" w:hAnsi="Times New Roman" w:cs="Times New Roman"/>
          <w:sz w:val="24"/>
          <w:szCs w:val="24"/>
          <w:lang w:val="en-ZW"/>
        </w:rPr>
        <w:t xml:space="preserve"> that the PNs have no force of law as they </w:t>
      </w:r>
      <w:r w:rsidR="001A0013">
        <w:rPr>
          <w:rFonts w:ascii="Times New Roman" w:eastAsia="Calibri" w:hAnsi="Times New Roman" w:cs="Times New Roman"/>
          <w:sz w:val="24"/>
          <w:szCs w:val="24"/>
          <w:lang w:val="en-ZW"/>
        </w:rPr>
        <w:t xml:space="preserve">are merely directory in nature.  </w:t>
      </w:r>
      <w:r w:rsidRPr="005C4960">
        <w:rPr>
          <w:rFonts w:ascii="Times New Roman" w:eastAsia="Calibri" w:hAnsi="Times New Roman" w:cs="Times New Roman"/>
          <w:sz w:val="24"/>
          <w:szCs w:val="24"/>
          <w:lang w:val="en-ZW"/>
        </w:rPr>
        <w:t>The appellant further averred that the PNs have to be construed in line with enacted legislation.</w:t>
      </w:r>
    </w:p>
    <w:p w14:paraId="14F88406" w14:textId="77777777" w:rsidR="00E96028" w:rsidRDefault="00E96028" w:rsidP="00E96028">
      <w:pPr>
        <w:spacing w:after="0" w:line="240" w:lineRule="auto"/>
        <w:ind w:firstLine="1440"/>
        <w:jc w:val="both"/>
        <w:rPr>
          <w:rFonts w:ascii="Times New Roman" w:eastAsia="Calibri" w:hAnsi="Times New Roman" w:cs="Times New Roman"/>
          <w:sz w:val="24"/>
          <w:szCs w:val="24"/>
          <w:lang w:val="en-ZW"/>
        </w:rPr>
      </w:pPr>
    </w:p>
    <w:p w14:paraId="14530273" w14:textId="5FC713FF" w:rsidR="006C6587" w:rsidRDefault="006C6587" w:rsidP="00E96028">
      <w:pPr>
        <w:spacing w:after="0" w:line="480" w:lineRule="auto"/>
        <w:ind w:firstLine="1440"/>
        <w:jc w:val="both"/>
        <w:rPr>
          <w:rFonts w:ascii="Times New Roman" w:eastAsia="Calibri" w:hAnsi="Times New Roman" w:cs="Times New Roman"/>
          <w:sz w:val="24"/>
          <w:szCs w:val="24"/>
          <w:lang w:val="en-ZW"/>
        </w:rPr>
      </w:pPr>
      <w:r w:rsidRPr="005C4960">
        <w:rPr>
          <w:rFonts w:ascii="Times New Roman" w:eastAsia="Calibri" w:hAnsi="Times New Roman" w:cs="Times New Roman"/>
          <w:sz w:val="24"/>
          <w:szCs w:val="24"/>
          <w:lang w:val="en-ZW"/>
        </w:rPr>
        <w:t>The appellant averred that on 23 June 2021, it submitted an application in terms of PN</w:t>
      </w:r>
      <w:r w:rsidR="00027C97" w:rsidRPr="005C4960">
        <w:rPr>
          <w:rFonts w:ascii="Times New Roman" w:eastAsia="Calibri" w:hAnsi="Times New Roman" w:cs="Times New Roman"/>
          <w:sz w:val="24"/>
          <w:szCs w:val="24"/>
          <w:lang w:val="en-ZW"/>
        </w:rPr>
        <w:t>s</w:t>
      </w:r>
      <w:r w:rsidRPr="005C4960">
        <w:rPr>
          <w:rFonts w:ascii="Times New Roman" w:eastAsia="Calibri" w:hAnsi="Times New Roman" w:cs="Times New Roman"/>
          <w:sz w:val="24"/>
          <w:szCs w:val="24"/>
          <w:lang w:val="en-ZW"/>
        </w:rPr>
        <w:t xml:space="preserve"> 36 and 57 of 2021 to the respondent’s Commissioner for the approval of an alternative method for the computation of its tax liability in foreign currency for purposes of making its final provisional tax paymen</w:t>
      </w:r>
      <w:r w:rsidR="001A0013">
        <w:rPr>
          <w:rFonts w:ascii="Times New Roman" w:eastAsia="Calibri" w:hAnsi="Times New Roman" w:cs="Times New Roman"/>
          <w:sz w:val="24"/>
          <w:szCs w:val="24"/>
          <w:lang w:val="en-ZW"/>
        </w:rPr>
        <w:t xml:space="preserve">t for the year 2021 assessment.  </w:t>
      </w:r>
      <w:r w:rsidRPr="005C4960">
        <w:rPr>
          <w:rFonts w:ascii="Times New Roman" w:eastAsia="Calibri" w:hAnsi="Times New Roman" w:cs="Times New Roman"/>
          <w:sz w:val="24"/>
          <w:szCs w:val="24"/>
          <w:lang w:val="en-ZW"/>
        </w:rPr>
        <w:t xml:space="preserve">On 29 June 2021 the Commissioner declined the appellant’s proposed computation </w:t>
      </w:r>
      <w:r w:rsidR="002E7369" w:rsidRPr="005C4960">
        <w:rPr>
          <w:rFonts w:ascii="Times New Roman" w:eastAsia="Calibri" w:hAnsi="Times New Roman" w:cs="Times New Roman"/>
          <w:sz w:val="24"/>
          <w:szCs w:val="24"/>
          <w:lang w:val="en-ZW"/>
        </w:rPr>
        <w:t>method and</w:t>
      </w:r>
      <w:r w:rsidRPr="005C4960">
        <w:rPr>
          <w:rFonts w:ascii="Times New Roman" w:eastAsia="Calibri" w:hAnsi="Times New Roman" w:cs="Times New Roman"/>
          <w:sz w:val="24"/>
          <w:szCs w:val="24"/>
          <w:lang w:val="en-ZW"/>
        </w:rPr>
        <w:t xml:space="preserve"> advised that deductible expenses, capital allowances and non-deductible expenses should be split between USD and Zimbabwean dollars (‘ZW</w:t>
      </w:r>
      <w:r w:rsidR="002E7369" w:rsidRPr="005C4960">
        <w:rPr>
          <w:rFonts w:ascii="Times New Roman" w:eastAsia="Calibri" w:hAnsi="Times New Roman" w:cs="Times New Roman"/>
          <w:sz w:val="24"/>
          <w:szCs w:val="24"/>
          <w:lang w:val="en-ZW"/>
        </w:rPr>
        <w:t>L</w:t>
      </w:r>
      <w:r w:rsidRPr="005C4960">
        <w:rPr>
          <w:rFonts w:ascii="Times New Roman" w:eastAsia="Calibri" w:hAnsi="Times New Roman" w:cs="Times New Roman"/>
          <w:sz w:val="24"/>
          <w:szCs w:val="24"/>
          <w:lang w:val="en-ZW"/>
        </w:rPr>
        <w:t>’) using the ratio of 60:40 base</w:t>
      </w:r>
      <w:r w:rsidR="002E7369" w:rsidRPr="005C4960">
        <w:rPr>
          <w:rFonts w:ascii="Times New Roman" w:eastAsia="Calibri" w:hAnsi="Times New Roman" w:cs="Times New Roman"/>
          <w:sz w:val="24"/>
          <w:szCs w:val="24"/>
          <w:lang w:val="en-ZW"/>
        </w:rPr>
        <w:t>d</w:t>
      </w:r>
      <w:r w:rsidRPr="005C4960">
        <w:rPr>
          <w:rFonts w:ascii="Times New Roman" w:eastAsia="Calibri" w:hAnsi="Times New Roman" w:cs="Times New Roman"/>
          <w:sz w:val="24"/>
          <w:szCs w:val="24"/>
          <w:lang w:val="en-ZW"/>
        </w:rPr>
        <w:t xml:space="preserve"> on the fact that the USD and ZW</w:t>
      </w:r>
      <w:r w:rsidR="002E7369" w:rsidRPr="005C4960">
        <w:rPr>
          <w:rFonts w:ascii="Times New Roman" w:eastAsia="Calibri" w:hAnsi="Times New Roman" w:cs="Times New Roman"/>
          <w:sz w:val="24"/>
          <w:szCs w:val="24"/>
          <w:lang w:val="en-ZW"/>
        </w:rPr>
        <w:t>L</w:t>
      </w:r>
      <w:r w:rsidRPr="005C4960">
        <w:rPr>
          <w:rFonts w:ascii="Times New Roman" w:eastAsia="Calibri" w:hAnsi="Times New Roman" w:cs="Times New Roman"/>
          <w:sz w:val="24"/>
          <w:szCs w:val="24"/>
          <w:lang w:val="en-ZW"/>
        </w:rPr>
        <w:t xml:space="preserve"> expenses were both incurred in the production of the USD and ZW</w:t>
      </w:r>
      <w:r w:rsidR="002E7369" w:rsidRPr="005C4960">
        <w:rPr>
          <w:rFonts w:ascii="Times New Roman" w:eastAsia="Calibri" w:hAnsi="Times New Roman" w:cs="Times New Roman"/>
          <w:sz w:val="24"/>
          <w:szCs w:val="24"/>
          <w:lang w:val="en-ZW"/>
        </w:rPr>
        <w:t>L</w:t>
      </w:r>
      <w:r w:rsidR="001A0013">
        <w:rPr>
          <w:rFonts w:ascii="Times New Roman" w:eastAsia="Calibri" w:hAnsi="Times New Roman" w:cs="Times New Roman"/>
          <w:sz w:val="24"/>
          <w:szCs w:val="24"/>
          <w:lang w:val="en-ZW"/>
        </w:rPr>
        <w:t xml:space="preserve"> income.  </w:t>
      </w:r>
      <w:r w:rsidRPr="005C4960">
        <w:rPr>
          <w:rFonts w:ascii="Times New Roman" w:eastAsia="Calibri" w:hAnsi="Times New Roman" w:cs="Times New Roman"/>
          <w:sz w:val="24"/>
          <w:szCs w:val="24"/>
          <w:lang w:val="en-ZW"/>
        </w:rPr>
        <w:t xml:space="preserve">The appellant was aggrieved by the Commissioner’s response and hence made the application for a </w:t>
      </w:r>
      <w:r w:rsidRPr="005C4960">
        <w:rPr>
          <w:rFonts w:ascii="Times New Roman" w:eastAsia="Calibri" w:hAnsi="Times New Roman" w:cs="Times New Roman"/>
          <w:i/>
          <w:sz w:val="24"/>
          <w:szCs w:val="24"/>
          <w:lang w:val="en-ZW"/>
        </w:rPr>
        <w:t>declaratur.</w:t>
      </w:r>
      <w:r w:rsidR="001A0013">
        <w:rPr>
          <w:rFonts w:ascii="Times New Roman" w:eastAsia="Calibri" w:hAnsi="Times New Roman" w:cs="Times New Roman"/>
          <w:sz w:val="24"/>
          <w:szCs w:val="24"/>
          <w:lang w:val="en-ZW"/>
        </w:rPr>
        <w:t xml:space="preserve">  </w:t>
      </w:r>
      <w:r w:rsidRPr="005C4960">
        <w:rPr>
          <w:rFonts w:ascii="Times New Roman" w:eastAsia="Calibri" w:hAnsi="Times New Roman" w:cs="Times New Roman"/>
          <w:sz w:val="24"/>
          <w:szCs w:val="24"/>
          <w:lang w:val="en-ZW"/>
        </w:rPr>
        <w:t>The appellant further averred that it had a proposed alternative method of having separate returns for the same tax period based on splitting of gross income and expenses between USD and ZW</w:t>
      </w:r>
      <w:r w:rsidR="002E7369" w:rsidRPr="005C4960">
        <w:rPr>
          <w:rFonts w:ascii="Times New Roman" w:eastAsia="Calibri" w:hAnsi="Times New Roman" w:cs="Times New Roman"/>
          <w:sz w:val="24"/>
          <w:szCs w:val="24"/>
          <w:lang w:val="en-ZW"/>
        </w:rPr>
        <w:t>L</w:t>
      </w:r>
      <w:r w:rsidRPr="005C4960">
        <w:rPr>
          <w:rFonts w:ascii="Times New Roman" w:eastAsia="Calibri" w:hAnsi="Times New Roman" w:cs="Times New Roman"/>
          <w:sz w:val="24"/>
          <w:szCs w:val="24"/>
          <w:lang w:val="en-ZW"/>
        </w:rPr>
        <w:t>.</w:t>
      </w:r>
    </w:p>
    <w:p w14:paraId="360DB6AD" w14:textId="77777777" w:rsidR="001A0013" w:rsidRPr="005C4960" w:rsidRDefault="001A0013" w:rsidP="001A0013">
      <w:pPr>
        <w:tabs>
          <w:tab w:val="left" w:pos="1134"/>
        </w:tabs>
        <w:spacing w:after="0" w:line="480" w:lineRule="auto"/>
        <w:ind w:firstLine="720"/>
        <w:jc w:val="both"/>
        <w:rPr>
          <w:rFonts w:ascii="Times New Roman" w:eastAsia="Calibri" w:hAnsi="Times New Roman" w:cs="Times New Roman"/>
          <w:sz w:val="24"/>
          <w:szCs w:val="24"/>
          <w:lang w:val="en-ZW"/>
        </w:rPr>
      </w:pPr>
    </w:p>
    <w:p w14:paraId="4F91B23E" w14:textId="4A370860" w:rsidR="006C6587" w:rsidRPr="005C4960" w:rsidRDefault="006C6587" w:rsidP="00E96028">
      <w:pPr>
        <w:spacing w:after="0" w:line="480" w:lineRule="auto"/>
        <w:ind w:firstLine="1440"/>
        <w:jc w:val="both"/>
        <w:rPr>
          <w:rFonts w:ascii="Times New Roman" w:eastAsia="Calibri" w:hAnsi="Times New Roman" w:cs="Times New Roman"/>
          <w:sz w:val="24"/>
          <w:szCs w:val="24"/>
          <w:lang w:val="en-ZW"/>
        </w:rPr>
      </w:pPr>
      <w:r w:rsidRPr="005C4960">
        <w:rPr>
          <w:rFonts w:ascii="Times New Roman" w:eastAsia="Calibri" w:hAnsi="Times New Roman" w:cs="Times New Roman"/>
          <w:sz w:val="24"/>
          <w:szCs w:val="24"/>
          <w:lang w:val="en-ZW"/>
        </w:rPr>
        <w:t>The respondent opposed the application and raised a preliminary point to the effect that the Commissioner Gen</w:t>
      </w:r>
      <w:r w:rsidR="001A0013">
        <w:rPr>
          <w:rFonts w:ascii="Times New Roman" w:eastAsia="Calibri" w:hAnsi="Times New Roman" w:cs="Times New Roman"/>
          <w:sz w:val="24"/>
          <w:szCs w:val="24"/>
          <w:lang w:val="en-ZW"/>
        </w:rPr>
        <w:t xml:space="preserve">eral had been improperly cited.  </w:t>
      </w:r>
      <w:r w:rsidRPr="005C4960">
        <w:rPr>
          <w:rFonts w:ascii="Times New Roman" w:eastAsia="Calibri" w:hAnsi="Times New Roman" w:cs="Times New Roman"/>
          <w:sz w:val="24"/>
          <w:szCs w:val="24"/>
          <w:lang w:val="en-ZW"/>
        </w:rPr>
        <w:t>With regards to the merits, the respondent averred that the PNs it issued have force at law as the</w:t>
      </w:r>
      <w:r w:rsidR="002E7369" w:rsidRPr="005C4960">
        <w:rPr>
          <w:rFonts w:ascii="Times New Roman" w:eastAsia="Calibri" w:hAnsi="Times New Roman" w:cs="Times New Roman"/>
          <w:sz w:val="24"/>
          <w:szCs w:val="24"/>
          <w:lang w:val="en-ZW"/>
        </w:rPr>
        <w:t>y</w:t>
      </w:r>
      <w:r w:rsidRPr="005C4960">
        <w:rPr>
          <w:rFonts w:ascii="Times New Roman" w:eastAsia="Calibri" w:hAnsi="Times New Roman" w:cs="Times New Roman"/>
          <w:sz w:val="24"/>
          <w:szCs w:val="24"/>
          <w:lang w:val="en-ZW"/>
        </w:rPr>
        <w:t xml:space="preserve"> are p</w:t>
      </w:r>
      <w:r w:rsidR="001A0013">
        <w:rPr>
          <w:rFonts w:ascii="Times New Roman" w:eastAsia="Calibri" w:hAnsi="Times New Roman" w:cs="Times New Roman"/>
          <w:sz w:val="24"/>
          <w:szCs w:val="24"/>
          <w:lang w:val="en-ZW"/>
        </w:rPr>
        <w:t xml:space="preserve">rovided for in terms of </w:t>
      </w:r>
      <w:r w:rsidR="000713C0">
        <w:rPr>
          <w:rFonts w:ascii="Times New Roman" w:eastAsia="Calibri" w:hAnsi="Times New Roman" w:cs="Times New Roman"/>
          <w:sz w:val="24"/>
          <w:szCs w:val="24"/>
          <w:lang w:val="en-ZW"/>
        </w:rPr>
        <w:t xml:space="preserve">         </w:t>
      </w:r>
      <w:r w:rsidR="001A0013">
        <w:rPr>
          <w:rFonts w:ascii="Times New Roman" w:eastAsia="Calibri" w:hAnsi="Times New Roman" w:cs="Times New Roman"/>
          <w:sz w:val="24"/>
          <w:szCs w:val="24"/>
          <w:lang w:val="en-ZW"/>
        </w:rPr>
        <w:t xml:space="preserve">s </w:t>
      </w:r>
      <w:r w:rsidRPr="005C4960">
        <w:rPr>
          <w:rFonts w:ascii="Times New Roman" w:eastAsia="Calibri" w:hAnsi="Times New Roman" w:cs="Times New Roman"/>
          <w:sz w:val="24"/>
          <w:szCs w:val="24"/>
          <w:lang w:val="en-ZW"/>
        </w:rPr>
        <w:t xml:space="preserve">37 of </w:t>
      </w:r>
      <w:r w:rsidR="003E0B5B" w:rsidRPr="005C4960">
        <w:rPr>
          <w:rFonts w:ascii="Times New Roman" w:eastAsia="Calibri" w:hAnsi="Times New Roman" w:cs="Times New Roman"/>
          <w:sz w:val="24"/>
          <w:szCs w:val="24"/>
          <w:lang w:val="en-ZW"/>
        </w:rPr>
        <w:t>the ITA which</w:t>
      </w:r>
      <w:r w:rsidRPr="005C4960">
        <w:rPr>
          <w:rFonts w:ascii="Times New Roman" w:eastAsia="Calibri" w:hAnsi="Times New Roman" w:cs="Times New Roman"/>
          <w:sz w:val="24"/>
          <w:szCs w:val="24"/>
          <w:lang w:val="en-ZW"/>
        </w:rPr>
        <w:t xml:space="preserve"> requires certain classes of tax payers to submit prescribed returns at prescrib</w:t>
      </w:r>
      <w:r w:rsidR="001A0013">
        <w:rPr>
          <w:rFonts w:ascii="Times New Roman" w:eastAsia="Calibri" w:hAnsi="Times New Roman" w:cs="Times New Roman"/>
          <w:sz w:val="24"/>
          <w:szCs w:val="24"/>
          <w:lang w:val="en-ZW"/>
        </w:rPr>
        <w:t xml:space="preserve">ed times and prescribed places.  </w:t>
      </w:r>
      <w:r w:rsidRPr="005C4960">
        <w:rPr>
          <w:rFonts w:ascii="Times New Roman" w:eastAsia="Calibri" w:hAnsi="Times New Roman" w:cs="Times New Roman"/>
          <w:sz w:val="24"/>
          <w:szCs w:val="24"/>
          <w:lang w:val="en-ZW"/>
        </w:rPr>
        <w:t>The respondent further averred that the apportionment ratio it put in place was in line with the gross income ratios of the appellant and as such it was a fair apportionment of expenses incurred for the purpos</w:t>
      </w:r>
      <w:r w:rsidR="001A0013">
        <w:rPr>
          <w:rFonts w:ascii="Times New Roman" w:eastAsia="Calibri" w:hAnsi="Times New Roman" w:cs="Times New Roman"/>
          <w:sz w:val="24"/>
          <w:szCs w:val="24"/>
          <w:lang w:val="en-ZW"/>
        </w:rPr>
        <w:t xml:space="preserve">es of generating gross income.  </w:t>
      </w:r>
      <w:r w:rsidRPr="005C4960">
        <w:rPr>
          <w:rFonts w:ascii="Times New Roman" w:eastAsia="Calibri" w:hAnsi="Times New Roman" w:cs="Times New Roman"/>
          <w:sz w:val="24"/>
          <w:szCs w:val="24"/>
          <w:lang w:val="en-ZW"/>
        </w:rPr>
        <w:t xml:space="preserve">The respondent maintained that the appellant had no right to challenge the PNs as by submitting its </w:t>
      </w:r>
      <w:r w:rsidRPr="005C4960">
        <w:rPr>
          <w:rFonts w:ascii="Times New Roman" w:eastAsia="Calibri" w:hAnsi="Times New Roman" w:cs="Times New Roman"/>
          <w:sz w:val="24"/>
          <w:szCs w:val="24"/>
          <w:lang w:val="en-ZW"/>
        </w:rPr>
        <w:lastRenderedPageBreak/>
        <w:t xml:space="preserve">self-assessments to the respondent it had already exercised its right and that the refusal by the respondent to approve its proposal did not mean that its right was infringed. </w:t>
      </w:r>
    </w:p>
    <w:p w14:paraId="43AF2ECC" w14:textId="77777777" w:rsidR="004F13B6" w:rsidRDefault="004F13B6" w:rsidP="004F13B6">
      <w:pPr>
        <w:spacing w:after="0" w:line="480" w:lineRule="auto"/>
        <w:jc w:val="both"/>
        <w:rPr>
          <w:rFonts w:ascii="Times New Roman" w:eastAsia="Calibri" w:hAnsi="Times New Roman" w:cs="Times New Roman"/>
          <w:sz w:val="24"/>
          <w:szCs w:val="24"/>
          <w:lang w:val="en-ZW"/>
        </w:rPr>
      </w:pPr>
    </w:p>
    <w:p w14:paraId="1D34A223" w14:textId="74065921" w:rsidR="004F13B6" w:rsidRDefault="006C6587" w:rsidP="00E96028">
      <w:pPr>
        <w:spacing w:after="0" w:line="480" w:lineRule="auto"/>
        <w:ind w:firstLine="1440"/>
        <w:jc w:val="both"/>
        <w:rPr>
          <w:rFonts w:ascii="Times New Roman" w:eastAsia="Calibri" w:hAnsi="Times New Roman" w:cs="Times New Roman"/>
          <w:sz w:val="24"/>
          <w:szCs w:val="24"/>
          <w:lang w:val="en-ZW"/>
        </w:rPr>
      </w:pPr>
      <w:r w:rsidRPr="005C4960">
        <w:rPr>
          <w:rFonts w:ascii="Times New Roman" w:eastAsia="Calibri" w:hAnsi="Times New Roman" w:cs="Times New Roman"/>
          <w:sz w:val="24"/>
          <w:szCs w:val="24"/>
          <w:lang w:val="en-ZW"/>
        </w:rPr>
        <w:t xml:space="preserve">The respondent further averred that </w:t>
      </w:r>
      <w:r w:rsidR="003E0B5B" w:rsidRPr="005C4960">
        <w:rPr>
          <w:rFonts w:ascii="Times New Roman" w:eastAsia="Calibri" w:hAnsi="Times New Roman" w:cs="Times New Roman"/>
          <w:sz w:val="24"/>
          <w:szCs w:val="24"/>
          <w:lang w:val="en-ZW"/>
        </w:rPr>
        <w:t xml:space="preserve">in </w:t>
      </w:r>
      <w:r w:rsidRPr="005C4960">
        <w:rPr>
          <w:rFonts w:ascii="Times New Roman" w:eastAsia="Calibri" w:hAnsi="Times New Roman" w:cs="Times New Roman"/>
          <w:sz w:val="24"/>
          <w:szCs w:val="24"/>
          <w:lang w:val="en-ZW"/>
        </w:rPr>
        <w:t>as much as the appellant receives</w:t>
      </w:r>
      <w:r w:rsidR="00D05A90" w:rsidRPr="005C4960">
        <w:rPr>
          <w:rFonts w:ascii="Times New Roman" w:eastAsia="Calibri" w:hAnsi="Times New Roman" w:cs="Times New Roman"/>
          <w:sz w:val="24"/>
          <w:szCs w:val="24"/>
          <w:lang w:val="en-ZW"/>
        </w:rPr>
        <w:t xml:space="preserve"> almost 100% of </w:t>
      </w:r>
      <w:r w:rsidRPr="005C4960">
        <w:rPr>
          <w:rFonts w:ascii="Times New Roman" w:eastAsia="Calibri" w:hAnsi="Times New Roman" w:cs="Times New Roman"/>
          <w:sz w:val="24"/>
          <w:szCs w:val="24"/>
          <w:lang w:val="en-ZW"/>
        </w:rPr>
        <w:t>its earnings in</w:t>
      </w:r>
      <w:r w:rsidR="00D05A90" w:rsidRPr="005C4960">
        <w:rPr>
          <w:rFonts w:ascii="Times New Roman" w:eastAsia="Calibri" w:hAnsi="Times New Roman" w:cs="Times New Roman"/>
          <w:sz w:val="24"/>
          <w:szCs w:val="24"/>
          <w:lang w:val="en-ZW"/>
        </w:rPr>
        <w:t xml:space="preserve"> USD</w:t>
      </w:r>
      <w:r w:rsidRPr="005C4960">
        <w:rPr>
          <w:rFonts w:ascii="Times New Roman" w:eastAsia="Calibri" w:hAnsi="Times New Roman" w:cs="Times New Roman"/>
          <w:sz w:val="24"/>
          <w:szCs w:val="24"/>
          <w:lang w:val="en-ZW"/>
        </w:rPr>
        <w:t xml:space="preserve">, 40% of that amount accrues by operation of law </w:t>
      </w:r>
      <w:r w:rsidR="006B04CB">
        <w:rPr>
          <w:rFonts w:ascii="Times New Roman" w:eastAsia="Calibri" w:hAnsi="Times New Roman" w:cs="Times New Roman"/>
          <w:sz w:val="24"/>
          <w:szCs w:val="24"/>
          <w:lang w:val="en-ZW"/>
        </w:rPr>
        <w:t>in</w:t>
      </w:r>
      <w:r w:rsidRPr="005C4960">
        <w:rPr>
          <w:rFonts w:ascii="Times New Roman" w:eastAsia="Calibri" w:hAnsi="Times New Roman" w:cs="Times New Roman"/>
          <w:sz w:val="24"/>
          <w:szCs w:val="24"/>
          <w:lang w:val="en-ZW"/>
        </w:rPr>
        <w:t xml:space="preserve"> local currency as the Reserve Bank liquidates the USD and pays it to the appellant in local currency. </w:t>
      </w:r>
      <w:r w:rsidR="001A0013">
        <w:rPr>
          <w:rFonts w:ascii="Times New Roman" w:eastAsia="Calibri" w:hAnsi="Times New Roman" w:cs="Times New Roman"/>
          <w:sz w:val="24"/>
          <w:szCs w:val="24"/>
          <w:lang w:val="en-ZW"/>
        </w:rPr>
        <w:t xml:space="preserve"> </w:t>
      </w:r>
      <w:r w:rsidRPr="005C4960">
        <w:rPr>
          <w:rFonts w:ascii="Times New Roman" w:eastAsia="Calibri" w:hAnsi="Times New Roman" w:cs="Times New Roman"/>
          <w:sz w:val="24"/>
          <w:szCs w:val="24"/>
          <w:lang w:val="en-ZW"/>
        </w:rPr>
        <w:t xml:space="preserve">As such, for tax purposes </w:t>
      </w:r>
      <w:r w:rsidR="003E0B5B" w:rsidRPr="005C4960">
        <w:rPr>
          <w:rFonts w:ascii="Times New Roman" w:eastAsia="Calibri" w:hAnsi="Times New Roman" w:cs="Times New Roman"/>
          <w:sz w:val="24"/>
          <w:szCs w:val="24"/>
          <w:lang w:val="en-ZW"/>
        </w:rPr>
        <w:t>the</w:t>
      </w:r>
      <w:r w:rsidRPr="005C4960">
        <w:rPr>
          <w:rFonts w:ascii="Times New Roman" w:eastAsia="Calibri" w:hAnsi="Times New Roman" w:cs="Times New Roman"/>
          <w:sz w:val="24"/>
          <w:szCs w:val="24"/>
          <w:lang w:val="en-ZW"/>
        </w:rPr>
        <w:t xml:space="preserve"> amounts are considered </w:t>
      </w:r>
      <w:r w:rsidR="001A0013">
        <w:rPr>
          <w:rFonts w:ascii="Times New Roman" w:eastAsia="Calibri" w:hAnsi="Times New Roman" w:cs="Times New Roman"/>
          <w:sz w:val="24"/>
          <w:szCs w:val="24"/>
          <w:lang w:val="en-ZW"/>
        </w:rPr>
        <w:t xml:space="preserve">to be earned in local currency.  </w:t>
      </w:r>
      <w:r w:rsidRPr="005C4960">
        <w:rPr>
          <w:rFonts w:ascii="Times New Roman" w:eastAsia="Calibri" w:hAnsi="Times New Roman" w:cs="Times New Roman"/>
          <w:sz w:val="24"/>
          <w:szCs w:val="24"/>
          <w:lang w:val="en-ZW"/>
        </w:rPr>
        <w:t>The respondent further averred that s 4</w:t>
      </w:r>
      <w:r w:rsidR="00051101" w:rsidRPr="005C4960">
        <w:rPr>
          <w:rFonts w:ascii="Times New Roman" w:eastAsia="Calibri" w:hAnsi="Times New Roman" w:cs="Times New Roman"/>
          <w:sz w:val="24"/>
          <w:szCs w:val="24"/>
          <w:lang w:val="en-ZW"/>
        </w:rPr>
        <w:t xml:space="preserve"> </w:t>
      </w:r>
      <w:r w:rsidRPr="005C4960">
        <w:rPr>
          <w:rFonts w:ascii="Times New Roman" w:eastAsia="Calibri" w:hAnsi="Times New Roman" w:cs="Times New Roman"/>
          <w:sz w:val="24"/>
          <w:szCs w:val="24"/>
          <w:lang w:val="en-ZW"/>
        </w:rPr>
        <w:t>A (10) of the Finance Act</w:t>
      </w:r>
      <w:r w:rsidR="00D74DA3" w:rsidRPr="005C4960">
        <w:rPr>
          <w:rFonts w:ascii="Times New Roman" w:eastAsia="Calibri" w:hAnsi="Times New Roman" w:cs="Times New Roman"/>
          <w:sz w:val="24"/>
          <w:szCs w:val="24"/>
          <w:lang w:val="en-ZW"/>
        </w:rPr>
        <w:t xml:space="preserve"> [</w:t>
      </w:r>
      <w:r w:rsidR="00D74DA3" w:rsidRPr="005C4960">
        <w:rPr>
          <w:rFonts w:ascii="Times New Roman" w:eastAsia="Calibri" w:hAnsi="Times New Roman" w:cs="Times New Roman"/>
          <w:i/>
          <w:iCs/>
          <w:sz w:val="24"/>
          <w:szCs w:val="24"/>
          <w:lang w:val="en-ZW"/>
        </w:rPr>
        <w:t>Chapter 23:04</w:t>
      </w:r>
      <w:r w:rsidR="00D74DA3" w:rsidRPr="005C4960">
        <w:rPr>
          <w:rFonts w:ascii="Times New Roman" w:eastAsia="Calibri" w:hAnsi="Times New Roman" w:cs="Times New Roman"/>
          <w:sz w:val="24"/>
          <w:szCs w:val="24"/>
          <w:lang w:val="en-ZW"/>
        </w:rPr>
        <w:t>]</w:t>
      </w:r>
      <w:r w:rsidRPr="005C4960">
        <w:rPr>
          <w:rFonts w:ascii="Times New Roman" w:eastAsia="Calibri" w:hAnsi="Times New Roman" w:cs="Times New Roman"/>
          <w:sz w:val="24"/>
          <w:szCs w:val="24"/>
          <w:lang w:val="en-ZW"/>
        </w:rPr>
        <w:t xml:space="preserve"> </w:t>
      </w:r>
      <w:r w:rsidR="005A6238" w:rsidRPr="005C4960">
        <w:rPr>
          <w:rFonts w:ascii="Times New Roman" w:eastAsia="Calibri" w:hAnsi="Times New Roman" w:cs="Times New Roman"/>
          <w:sz w:val="24"/>
          <w:szCs w:val="24"/>
          <w:lang w:val="en-ZW"/>
        </w:rPr>
        <w:t>provides that</w:t>
      </w:r>
      <w:r w:rsidR="00B51742" w:rsidRPr="005C4960">
        <w:rPr>
          <w:rFonts w:ascii="Times New Roman" w:eastAsia="Calibri" w:hAnsi="Times New Roman" w:cs="Times New Roman"/>
          <w:sz w:val="24"/>
          <w:szCs w:val="24"/>
          <w:lang w:val="en-ZW"/>
        </w:rPr>
        <w:t xml:space="preserve"> where income is earned from both </w:t>
      </w:r>
      <w:r w:rsidRPr="005C4960">
        <w:rPr>
          <w:rFonts w:ascii="Times New Roman" w:eastAsia="Calibri" w:hAnsi="Times New Roman" w:cs="Times New Roman"/>
          <w:sz w:val="24"/>
          <w:szCs w:val="24"/>
          <w:lang w:val="en-ZW"/>
        </w:rPr>
        <w:t>foreign currency</w:t>
      </w:r>
      <w:r w:rsidR="00B51742" w:rsidRPr="005C4960">
        <w:rPr>
          <w:rFonts w:ascii="Times New Roman" w:eastAsia="Calibri" w:hAnsi="Times New Roman" w:cs="Times New Roman"/>
          <w:sz w:val="24"/>
          <w:szCs w:val="24"/>
          <w:lang w:val="en-ZW"/>
        </w:rPr>
        <w:t xml:space="preserve"> and part of the foreign currency is</w:t>
      </w:r>
      <w:r w:rsidRPr="005C4960">
        <w:rPr>
          <w:rFonts w:ascii="Times New Roman" w:eastAsia="Calibri" w:hAnsi="Times New Roman" w:cs="Times New Roman"/>
          <w:sz w:val="24"/>
          <w:szCs w:val="24"/>
          <w:lang w:val="en-ZW"/>
        </w:rPr>
        <w:t xml:space="preserve"> liquidated to local currency </w:t>
      </w:r>
      <w:r w:rsidR="007F6E4B" w:rsidRPr="005C4960">
        <w:rPr>
          <w:rFonts w:ascii="Times New Roman" w:eastAsia="Calibri" w:hAnsi="Times New Roman" w:cs="Times New Roman"/>
          <w:sz w:val="24"/>
          <w:szCs w:val="24"/>
          <w:lang w:val="en-ZW"/>
        </w:rPr>
        <w:t>tax shall be calculated that it was earned in local currency</w:t>
      </w:r>
      <w:r w:rsidR="001A0013">
        <w:rPr>
          <w:rFonts w:ascii="Times New Roman" w:eastAsia="Calibri" w:hAnsi="Times New Roman" w:cs="Times New Roman"/>
          <w:sz w:val="24"/>
          <w:szCs w:val="24"/>
          <w:lang w:val="en-ZW"/>
        </w:rPr>
        <w:t xml:space="preserve">.  </w:t>
      </w:r>
      <w:r w:rsidR="00F368CF" w:rsidRPr="005C4960">
        <w:rPr>
          <w:rFonts w:ascii="Times New Roman" w:eastAsia="Calibri" w:hAnsi="Times New Roman" w:cs="Times New Roman"/>
          <w:sz w:val="24"/>
          <w:szCs w:val="24"/>
          <w:lang w:val="en-ZW"/>
        </w:rPr>
        <w:t>In addition</w:t>
      </w:r>
      <w:r w:rsidRPr="005C4960">
        <w:rPr>
          <w:rFonts w:ascii="Times New Roman" w:eastAsia="Calibri" w:hAnsi="Times New Roman" w:cs="Times New Roman"/>
          <w:sz w:val="24"/>
          <w:szCs w:val="24"/>
          <w:lang w:val="en-ZW"/>
        </w:rPr>
        <w:t>,</w:t>
      </w:r>
      <w:r w:rsidR="00F368CF" w:rsidRPr="005C4960">
        <w:rPr>
          <w:rFonts w:ascii="Times New Roman" w:eastAsia="Calibri" w:hAnsi="Times New Roman" w:cs="Times New Roman"/>
          <w:sz w:val="24"/>
          <w:szCs w:val="24"/>
          <w:lang w:val="en-ZW"/>
        </w:rPr>
        <w:t xml:space="preserve"> the respondent contended</w:t>
      </w:r>
      <w:r w:rsidRPr="005C4960">
        <w:rPr>
          <w:rFonts w:ascii="Times New Roman" w:eastAsia="Calibri" w:hAnsi="Times New Roman" w:cs="Times New Roman"/>
          <w:sz w:val="24"/>
          <w:szCs w:val="24"/>
          <w:lang w:val="en-ZW"/>
        </w:rPr>
        <w:t xml:space="preserve"> that the section does not provide for any method of calculation and that by its nature the income received by the appellant in USD is c</w:t>
      </w:r>
      <w:r w:rsidR="008418CD" w:rsidRPr="005C4960">
        <w:rPr>
          <w:rFonts w:ascii="Times New Roman" w:eastAsia="Calibri" w:hAnsi="Times New Roman" w:cs="Times New Roman"/>
          <w:sz w:val="24"/>
          <w:szCs w:val="24"/>
          <w:lang w:val="en-ZW"/>
        </w:rPr>
        <w:t>onvert</w:t>
      </w:r>
      <w:r w:rsidRPr="005C4960">
        <w:rPr>
          <w:rFonts w:ascii="Times New Roman" w:eastAsia="Calibri" w:hAnsi="Times New Roman" w:cs="Times New Roman"/>
          <w:sz w:val="24"/>
          <w:szCs w:val="24"/>
          <w:lang w:val="en-ZW"/>
        </w:rPr>
        <w:t>ed to local currency once it is subjected to the retention scheme by operation of law.</w:t>
      </w:r>
    </w:p>
    <w:p w14:paraId="421C095A" w14:textId="77777777" w:rsidR="004F13B6" w:rsidRDefault="004F13B6" w:rsidP="004F13B6">
      <w:pPr>
        <w:spacing w:after="0" w:line="480" w:lineRule="auto"/>
        <w:ind w:firstLine="1134"/>
        <w:jc w:val="both"/>
        <w:rPr>
          <w:rFonts w:ascii="Times New Roman" w:eastAsia="Calibri" w:hAnsi="Times New Roman" w:cs="Times New Roman"/>
          <w:sz w:val="24"/>
          <w:szCs w:val="24"/>
          <w:lang w:val="en-ZW"/>
        </w:rPr>
      </w:pPr>
    </w:p>
    <w:p w14:paraId="16A810CB" w14:textId="7B576AC9" w:rsidR="006C6587" w:rsidRPr="005C4960" w:rsidRDefault="006C6587" w:rsidP="00E96028">
      <w:pPr>
        <w:spacing w:after="0" w:line="480" w:lineRule="auto"/>
        <w:ind w:firstLine="1440"/>
        <w:jc w:val="both"/>
        <w:rPr>
          <w:rFonts w:ascii="Times New Roman" w:eastAsia="Calibri" w:hAnsi="Times New Roman" w:cs="Times New Roman"/>
          <w:sz w:val="24"/>
          <w:szCs w:val="24"/>
          <w:lang w:val="en-ZW"/>
        </w:rPr>
      </w:pPr>
      <w:r w:rsidRPr="005C4960">
        <w:rPr>
          <w:rFonts w:ascii="Times New Roman" w:eastAsia="Calibri" w:hAnsi="Times New Roman" w:cs="Times New Roman"/>
          <w:sz w:val="24"/>
          <w:szCs w:val="24"/>
          <w:lang w:val="en-ZW"/>
        </w:rPr>
        <w:t>The appellant filed an answering affidavit and conceded that it earn</w:t>
      </w:r>
      <w:r w:rsidR="00BA792E" w:rsidRPr="005C4960">
        <w:rPr>
          <w:rFonts w:ascii="Times New Roman" w:eastAsia="Calibri" w:hAnsi="Times New Roman" w:cs="Times New Roman"/>
          <w:sz w:val="24"/>
          <w:szCs w:val="24"/>
          <w:lang w:val="en-ZW"/>
        </w:rPr>
        <w:t>s</w:t>
      </w:r>
      <w:r w:rsidRPr="005C4960">
        <w:rPr>
          <w:rFonts w:ascii="Times New Roman" w:eastAsia="Calibri" w:hAnsi="Times New Roman" w:cs="Times New Roman"/>
          <w:sz w:val="24"/>
          <w:szCs w:val="24"/>
          <w:lang w:val="en-ZW"/>
        </w:rPr>
        <w:t xml:space="preserve"> 100% of its income in USD and that 40% of its income is liquidated in terms of s 4</w:t>
      </w:r>
      <w:r w:rsidR="00C033BD" w:rsidRPr="005C4960">
        <w:rPr>
          <w:rFonts w:ascii="Times New Roman" w:eastAsia="Calibri" w:hAnsi="Times New Roman" w:cs="Times New Roman"/>
          <w:sz w:val="24"/>
          <w:szCs w:val="24"/>
          <w:lang w:val="en-ZW"/>
        </w:rPr>
        <w:t xml:space="preserve"> </w:t>
      </w:r>
      <w:r w:rsidRPr="005C4960">
        <w:rPr>
          <w:rFonts w:ascii="Times New Roman" w:eastAsia="Calibri" w:hAnsi="Times New Roman" w:cs="Times New Roman"/>
          <w:sz w:val="24"/>
          <w:szCs w:val="24"/>
          <w:lang w:val="en-ZW"/>
        </w:rPr>
        <w:t>A (10) of the Finance Act. The appellant however</w:t>
      </w:r>
      <w:r w:rsidR="00F6279D" w:rsidRPr="005C4960">
        <w:rPr>
          <w:rFonts w:ascii="Times New Roman" w:eastAsia="Calibri" w:hAnsi="Times New Roman" w:cs="Times New Roman"/>
          <w:sz w:val="24"/>
          <w:szCs w:val="24"/>
          <w:lang w:val="en-ZW"/>
        </w:rPr>
        <w:t>,</w:t>
      </w:r>
      <w:r w:rsidRPr="005C4960">
        <w:rPr>
          <w:rFonts w:ascii="Times New Roman" w:eastAsia="Calibri" w:hAnsi="Times New Roman" w:cs="Times New Roman"/>
          <w:sz w:val="24"/>
          <w:szCs w:val="24"/>
          <w:lang w:val="en-ZW"/>
        </w:rPr>
        <w:t xml:space="preserve"> d</w:t>
      </w:r>
      <w:r w:rsidR="00F6279D" w:rsidRPr="005C4960">
        <w:rPr>
          <w:rFonts w:ascii="Times New Roman" w:eastAsia="Calibri" w:hAnsi="Times New Roman" w:cs="Times New Roman"/>
          <w:sz w:val="24"/>
          <w:szCs w:val="24"/>
          <w:lang w:val="en-ZW"/>
        </w:rPr>
        <w:t>isput</w:t>
      </w:r>
      <w:r w:rsidRPr="005C4960">
        <w:rPr>
          <w:rFonts w:ascii="Times New Roman" w:eastAsia="Calibri" w:hAnsi="Times New Roman" w:cs="Times New Roman"/>
          <w:sz w:val="24"/>
          <w:szCs w:val="24"/>
          <w:lang w:val="en-ZW"/>
        </w:rPr>
        <w:t xml:space="preserve">ed the respondent’s interpretation of the law. The appellant maintained that it had a right to claim its USD expenditure in USD against its USD income. </w:t>
      </w:r>
      <w:r w:rsidR="00F6279D" w:rsidRPr="005C4960">
        <w:rPr>
          <w:rFonts w:ascii="Times New Roman" w:eastAsia="Calibri" w:hAnsi="Times New Roman" w:cs="Times New Roman"/>
          <w:sz w:val="24"/>
          <w:szCs w:val="24"/>
          <w:lang w:val="en-ZW"/>
        </w:rPr>
        <w:t>In addition, it contended</w:t>
      </w:r>
      <w:r w:rsidRPr="005C4960">
        <w:rPr>
          <w:rFonts w:ascii="Times New Roman" w:eastAsia="Calibri" w:hAnsi="Times New Roman" w:cs="Times New Roman"/>
          <w:sz w:val="24"/>
          <w:szCs w:val="24"/>
          <w:lang w:val="en-ZW"/>
        </w:rPr>
        <w:t xml:space="preserve"> that the conversion or liquidation of 40% of its USD income to ZW</w:t>
      </w:r>
      <w:r w:rsidR="00C033BD" w:rsidRPr="005C4960">
        <w:rPr>
          <w:rFonts w:ascii="Times New Roman" w:eastAsia="Calibri" w:hAnsi="Times New Roman" w:cs="Times New Roman"/>
          <w:sz w:val="24"/>
          <w:szCs w:val="24"/>
          <w:lang w:val="en-ZW"/>
        </w:rPr>
        <w:t>L</w:t>
      </w:r>
      <w:r w:rsidRPr="005C4960">
        <w:rPr>
          <w:rFonts w:ascii="Times New Roman" w:eastAsia="Calibri" w:hAnsi="Times New Roman" w:cs="Times New Roman"/>
          <w:sz w:val="24"/>
          <w:szCs w:val="24"/>
          <w:lang w:val="en-ZW"/>
        </w:rPr>
        <w:t xml:space="preserve"> in terms of legislation after that income was received in USD in its local bank account does not change its entitlement to claim the expenditure incurred in USD in tax returns to arrive at its taxable income. The respondent further averred that in the absence of specific legislation regulating the splitting of the expenses in different currencies in order to give</w:t>
      </w:r>
      <w:r w:rsidR="00D207B2" w:rsidRPr="005C4960">
        <w:rPr>
          <w:rFonts w:ascii="Times New Roman" w:eastAsia="Calibri" w:hAnsi="Times New Roman" w:cs="Times New Roman"/>
          <w:sz w:val="24"/>
          <w:szCs w:val="24"/>
          <w:lang w:val="en-ZW"/>
        </w:rPr>
        <w:t xml:space="preserve"> effect to</w:t>
      </w:r>
      <w:r w:rsidRPr="005C4960">
        <w:rPr>
          <w:rFonts w:ascii="Times New Roman" w:eastAsia="Calibri" w:hAnsi="Times New Roman" w:cs="Times New Roman"/>
          <w:sz w:val="24"/>
          <w:szCs w:val="24"/>
          <w:lang w:val="en-ZW"/>
        </w:rPr>
        <w:t xml:space="preserve"> s 4</w:t>
      </w:r>
      <w:r w:rsidR="0060350D" w:rsidRPr="005C4960">
        <w:rPr>
          <w:rFonts w:ascii="Times New Roman" w:eastAsia="Calibri" w:hAnsi="Times New Roman" w:cs="Times New Roman"/>
          <w:sz w:val="24"/>
          <w:szCs w:val="24"/>
          <w:lang w:val="en-ZW"/>
        </w:rPr>
        <w:t xml:space="preserve"> </w:t>
      </w:r>
      <w:r w:rsidRPr="005C4960">
        <w:rPr>
          <w:rFonts w:ascii="Times New Roman" w:eastAsia="Calibri" w:hAnsi="Times New Roman" w:cs="Times New Roman"/>
          <w:sz w:val="24"/>
          <w:szCs w:val="24"/>
          <w:lang w:val="en-ZW"/>
        </w:rPr>
        <w:t xml:space="preserve">A (10) of the Finance </w:t>
      </w:r>
      <w:r w:rsidRPr="005C4960">
        <w:rPr>
          <w:rFonts w:ascii="Times New Roman" w:eastAsia="Calibri" w:hAnsi="Times New Roman" w:cs="Times New Roman"/>
          <w:sz w:val="24"/>
          <w:szCs w:val="24"/>
          <w:lang w:val="en-ZW"/>
        </w:rPr>
        <w:lastRenderedPageBreak/>
        <w:t xml:space="preserve">Act, s 15 (2) </w:t>
      </w:r>
      <w:r w:rsidR="0060350D" w:rsidRPr="005C4960">
        <w:rPr>
          <w:rFonts w:ascii="Times New Roman" w:eastAsia="Calibri" w:hAnsi="Times New Roman" w:cs="Times New Roman"/>
          <w:sz w:val="24"/>
          <w:szCs w:val="24"/>
          <w:lang w:val="en-ZW"/>
        </w:rPr>
        <w:t>(a</w:t>
      </w:r>
      <w:r w:rsidRPr="005C4960">
        <w:rPr>
          <w:rFonts w:ascii="Times New Roman" w:eastAsia="Calibri" w:hAnsi="Times New Roman" w:cs="Times New Roman"/>
          <w:sz w:val="24"/>
          <w:szCs w:val="24"/>
          <w:lang w:val="en-ZW"/>
        </w:rPr>
        <w:t>)</w:t>
      </w:r>
      <w:r w:rsidR="0060350D" w:rsidRPr="005C4960">
        <w:rPr>
          <w:rFonts w:ascii="Times New Roman" w:eastAsia="Calibri" w:hAnsi="Times New Roman" w:cs="Times New Roman"/>
          <w:sz w:val="24"/>
          <w:szCs w:val="24"/>
          <w:lang w:val="en-ZW"/>
        </w:rPr>
        <w:t xml:space="preserve"> of the ITA</w:t>
      </w:r>
      <w:r w:rsidRPr="005C4960">
        <w:rPr>
          <w:rFonts w:ascii="Times New Roman" w:eastAsia="Calibri" w:hAnsi="Times New Roman" w:cs="Times New Roman"/>
          <w:sz w:val="24"/>
          <w:szCs w:val="24"/>
          <w:lang w:val="en-ZW"/>
        </w:rPr>
        <w:t xml:space="preserve"> had to be interpret</w:t>
      </w:r>
      <w:r w:rsidR="0083381A">
        <w:rPr>
          <w:rFonts w:ascii="Times New Roman" w:eastAsia="Calibri" w:hAnsi="Times New Roman" w:cs="Times New Roman"/>
          <w:sz w:val="24"/>
          <w:szCs w:val="24"/>
          <w:lang w:val="en-ZW"/>
        </w:rPr>
        <w:t xml:space="preserve">ed in the manner it did </w:t>
      </w:r>
      <w:r w:rsidRPr="005C4960">
        <w:rPr>
          <w:rFonts w:ascii="Times New Roman" w:eastAsia="Calibri" w:hAnsi="Times New Roman" w:cs="Times New Roman"/>
          <w:sz w:val="24"/>
          <w:szCs w:val="24"/>
          <w:lang w:val="en-ZW"/>
        </w:rPr>
        <w:t xml:space="preserve">in order to arrive at the quantification of the amount deductible. </w:t>
      </w:r>
      <w:r w:rsidR="00E96028">
        <w:rPr>
          <w:rFonts w:ascii="Times New Roman" w:eastAsia="Calibri" w:hAnsi="Times New Roman" w:cs="Times New Roman"/>
          <w:sz w:val="24"/>
          <w:szCs w:val="24"/>
          <w:lang w:val="en-ZW"/>
        </w:rPr>
        <w:t xml:space="preserve"> </w:t>
      </w:r>
      <w:r w:rsidRPr="005C4960">
        <w:rPr>
          <w:rFonts w:ascii="Times New Roman" w:eastAsia="Calibri" w:hAnsi="Times New Roman" w:cs="Times New Roman"/>
          <w:sz w:val="24"/>
          <w:szCs w:val="24"/>
          <w:lang w:val="en-ZW"/>
        </w:rPr>
        <w:t>The respondent admitted that there is no provision for the splitting of expenses based on currency and that expenditure should be deducted on the provisions of the I</w:t>
      </w:r>
      <w:r w:rsidR="004F13B6">
        <w:rPr>
          <w:rFonts w:ascii="Times New Roman" w:eastAsia="Calibri" w:hAnsi="Times New Roman" w:cs="Times New Roman"/>
          <w:sz w:val="24"/>
          <w:szCs w:val="24"/>
          <w:lang w:val="en-ZW"/>
        </w:rPr>
        <w:t>TA as provided for under s</w:t>
      </w:r>
      <w:r w:rsidRPr="005C4960">
        <w:rPr>
          <w:rFonts w:ascii="Times New Roman" w:eastAsia="Calibri" w:hAnsi="Times New Roman" w:cs="Times New Roman"/>
          <w:sz w:val="24"/>
          <w:szCs w:val="24"/>
          <w:lang w:val="en-ZW"/>
        </w:rPr>
        <w:t xml:space="preserve"> 15 (2) (a). </w:t>
      </w:r>
    </w:p>
    <w:p w14:paraId="7BB14465" w14:textId="77777777" w:rsidR="004F13B6" w:rsidRDefault="004F13B6" w:rsidP="004F13B6">
      <w:pPr>
        <w:spacing w:after="0" w:line="480" w:lineRule="auto"/>
        <w:ind w:left="-5" w:hanging="10"/>
        <w:jc w:val="both"/>
        <w:rPr>
          <w:rFonts w:ascii="Times New Roman" w:hAnsi="Times New Roman" w:cs="Times New Roman"/>
          <w:b/>
          <w:sz w:val="24"/>
          <w:szCs w:val="24"/>
          <w:u w:val="single"/>
          <w:lang w:val="en-GB"/>
        </w:rPr>
      </w:pPr>
    </w:p>
    <w:p w14:paraId="47C5C7F7" w14:textId="4FAE354E" w:rsidR="004F13B6" w:rsidRDefault="005F1990" w:rsidP="004F13B6">
      <w:pPr>
        <w:spacing w:after="0" w:line="480" w:lineRule="auto"/>
        <w:ind w:left="-5" w:hanging="10"/>
        <w:jc w:val="both"/>
        <w:rPr>
          <w:rFonts w:ascii="Times New Roman" w:hAnsi="Times New Roman" w:cs="Times New Roman"/>
          <w:b/>
          <w:sz w:val="24"/>
          <w:szCs w:val="24"/>
          <w:u w:val="single"/>
          <w:lang w:val="en-GB"/>
        </w:rPr>
      </w:pPr>
      <w:r>
        <w:rPr>
          <w:rFonts w:ascii="Times New Roman" w:hAnsi="Times New Roman" w:cs="Times New Roman"/>
          <w:b/>
          <w:sz w:val="24"/>
          <w:szCs w:val="24"/>
          <w:u w:val="single"/>
          <w:lang w:val="en-GB"/>
        </w:rPr>
        <w:t>SUBMISSION</w:t>
      </w:r>
      <w:r w:rsidR="00E67259" w:rsidRPr="005C4960">
        <w:rPr>
          <w:rFonts w:ascii="Times New Roman" w:hAnsi="Times New Roman" w:cs="Times New Roman"/>
          <w:b/>
          <w:sz w:val="24"/>
          <w:szCs w:val="24"/>
          <w:u w:val="single"/>
          <w:lang w:val="en-GB"/>
        </w:rPr>
        <w:t xml:space="preserve">S BEFORE THE COURT </w:t>
      </w:r>
      <w:r w:rsidR="00E67259" w:rsidRPr="005C4960">
        <w:rPr>
          <w:rFonts w:ascii="Times New Roman" w:hAnsi="Times New Roman" w:cs="Times New Roman"/>
          <w:b/>
          <w:i/>
          <w:iCs/>
          <w:sz w:val="24"/>
          <w:szCs w:val="24"/>
          <w:u w:val="single"/>
          <w:lang w:val="en-GB"/>
        </w:rPr>
        <w:t>A QUO</w:t>
      </w:r>
    </w:p>
    <w:p w14:paraId="7D89155F" w14:textId="58CA1D6F" w:rsidR="004F13B6" w:rsidRDefault="00725183" w:rsidP="00E96028">
      <w:pPr>
        <w:spacing w:after="0" w:line="480" w:lineRule="auto"/>
        <w:ind w:left="-5" w:firstLine="1445"/>
        <w:jc w:val="both"/>
        <w:rPr>
          <w:rFonts w:ascii="Times New Roman" w:hAnsi="Times New Roman" w:cs="Times New Roman"/>
          <w:b/>
          <w:sz w:val="24"/>
          <w:szCs w:val="24"/>
          <w:u w:val="single"/>
          <w:lang w:val="en-GB"/>
        </w:rPr>
      </w:pPr>
      <w:r w:rsidRPr="005C4960">
        <w:rPr>
          <w:rFonts w:ascii="Times New Roman" w:eastAsia="Calibri" w:hAnsi="Times New Roman" w:cs="Times New Roman"/>
          <w:sz w:val="24"/>
          <w:szCs w:val="24"/>
          <w:lang w:val="en-ZW"/>
        </w:rPr>
        <w:t>Before</w:t>
      </w:r>
      <w:r w:rsidR="006C6587" w:rsidRPr="005C4960">
        <w:rPr>
          <w:rFonts w:ascii="Times New Roman" w:eastAsia="Calibri" w:hAnsi="Times New Roman" w:cs="Times New Roman"/>
          <w:sz w:val="24"/>
          <w:szCs w:val="24"/>
          <w:lang w:val="en-ZW"/>
        </w:rPr>
        <w:t xml:space="preserve"> the court </w:t>
      </w:r>
      <w:r w:rsidR="006C6587" w:rsidRPr="005C4960">
        <w:rPr>
          <w:rFonts w:ascii="Times New Roman" w:eastAsia="Calibri" w:hAnsi="Times New Roman" w:cs="Times New Roman"/>
          <w:i/>
          <w:sz w:val="24"/>
          <w:szCs w:val="24"/>
          <w:lang w:val="en-ZW"/>
        </w:rPr>
        <w:t>a quo</w:t>
      </w:r>
      <w:r w:rsidR="005014A7" w:rsidRPr="005C4960">
        <w:rPr>
          <w:rFonts w:ascii="Times New Roman" w:eastAsia="Calibri" w:hAnsi="Times New Roman" w:cs="Times New Roman"/>
          <w:i/>
          <w:sz w:val="24"/>
          <w:szCs w:val="24"/>
          <w:lang w:val="en-ZW"/>
        </w:rPr>
        <w:t>,</w:t>
      </w:r>
      <w:r w:rsidR="006C6587" w:rsidRPr="005C4960">
        <w:rPr>
          <w:rFonts w:ascii="Times New Roman" w:eastAsia="Calibri" w:hAnsi="Times New Roman" w:cs="Times New Roman"/>
          <w:sz w:val="24"/>
          <w:szCs w:val="24"/>
          <w:lang w:val="en-ZW"/>
        </w:rPr>
        <w:t xml:space="preserve"> the respondent raised </w:t>
      </w:r>
      <w:r w:rsidR="00276313">
        <w:rPr>
          <w:rFonts w:ascii="Times New Roman" w:eastAsia="Calibri" w:hAnsi="Times New Roman" w:cs="Times New Roman"/>
          <w:sz w:val="24"/>
          <w:szCs w:val="24"/>
          <w:lang w:val="en-ZW"/>
        </w:rPr>
        <w:t>two</w:t>
      </w:r>
      <w:r w:rsidR="006C6587" w:rsidRPr="005C4960">
        <w:rPr>
          <w:rFonts w:ascii="Times New Roman" w:eastAsia="Calibri" w:hAnsi="Times New Roman" w:cs="Times New Roman"/>
          <w:sz w:val="24"/>
          <w:szCs w:val="24"/>
          <w:lang w:val="en-ZW"/>
        </w:rPr>
        <w:t xml:space="preserve"> preliminary objection</w:t>
      </w:r>
      <w:r w:rsidR="00276313">
        <w:rPr>
          <w:rFonts w:ascii="Times New Roman" w:eastAsia="Calibri" w:hAnsi="Times New Roman" w:cs="Times New Roman"/>
          <w:sz w:val="24"/>
          <w:szCs w:val="24"/>
          <w:lang w:val="en-ZW"/>
        </w:rPr>
        <w:t xml:space="preserve">s. The objection relating to the misjoinder of the Commissioner-General of the respondent was conceded by the appellant. </w:t>
      </w:r>
      <w:r w:rsidR="006C6587" w:rsidRPr="005C4960">
        <w:rPr>
          <w:rFonts w:ascii="Times New Roman" w:eastAsia="Calibri" w:hAnsi="Times New Roman" w:cs="Times New Roman"/>
          <w:sz w:val="24"/>
          <w:szCs w:val="24"/>
          <w:lang w:val="en-ZW"/>
        </w:rPr>
        <w:t xml:space="preserve"> </w:t>
      </w:r>
      <w:r w:rsidR="00276313">
        <w:rPr>
          <w:rFonts w:ascii="Times New Roman" w:eastAsia="Calibri" w:hAnsi="Times New Roman" w:cs="Times New Roman"/>
          <w:sz w:val="24"/>
          <w:szCs w:val="24"/>
          <w:lang w:val="en-ZW"/>
        </w:rPr>
        <w:t xml:space="preserve">The remaining objection was </w:t>
      </w:r>
      <w:r w:rsidR="006C6587" w:rsidRPr="005C4960">
        <w:rPr>
          <w:rFonts w:ascii="Times New Roman" w:eastAsia="Calibri" w:hAnsi="Times New Roman" w:cs="Times New Roman"/>
          <w:sz w:val="24"/>
          <w:szCs w:val="24"/>
          <w:lang w:val="en-ZW"/>
        </w:rPr>
        <w:t>to the effect that the appellant ought to have proceeded by way of review and not a</w:t>
      </w:r>
      <w:r w:rsidR="006B6AEE" w:rsidRPr="005C4960">
        <w:rPr>
          <w:rFonts w:ascii="Times New Roman" w:eastAsia="Calibri" w:hAnsi="Times New Roman" w:cs="Times New Roman"/>
          <w:sz w:val="24"/>
          <w:szCs w:val="24"/>
          <w:lang w:val="en-ZW"/>
        </w:rPr>
        <w:t>n application for a</w:t>
      </w:r>
      <w:r w:rsidR="006C6587" w:rsidRPr="005C4960">
        <w:rPr>
          <w:rFonts w:ascii="Times New Roman" w:eastAsia="Calibri" w:hAnsi="Times New Roman" w:cs="Times New Roman"/>
          <w:sz w:val="24"/>
          <w:szCs w:val="24"/>
          <w:lang w:val="en-ZW"/>
        </w:rPr>
        <w:t xml:space="preserve"> declaratory order. The court</w:t>
      </w:r>
      <w:r w:rsidRPr="005C4960">
        <w:rPr>
          <w:rFonts w:ascii="Times New Roman" w:eastAsia="Calibri" w:hAnsi="Times New Roman" w:cs="Times New Roman"/>
          <w:sz w:val="24"/>
          <w:szCs w:val="24"/>
          <w:lang w:val="en-ZW"/>
        </w:rPr>
        <w:t xml:space="preserve"> </w:t>
      </w:r>
      <w:r w:rsidRPr="005C4960">
        <w:rPr>
          <w:rFonts w:ascii="Times New Roman" w:eastAsia="Calibri" w:hAnsi="Times New Roman" w:cs="Times New Roman"/>
          <w:i/>
          <w:iCs/>
          <w:sz w:val="24"/>
          <w:szCs w:val="24"/>
          <w:lang w:val="en-ZW"/>
        </w:rPr>
        <w:t>a quo</w:t>
      </w:r>
      <w:r w:rsidR="006C6587" w:rsidRPr="005C4960">
        <w:rPr>
          <w:rFonts w:ascii="Times New Roman" w:eastAsia="Calibri" w:hAnsi="Times New Roman" w:cs="Times New Roman"/>
          <w:sz w:val="24"/>
          <w:szCs w:val="24"/>
          <w:lang w:val="en-ZW"/>
        </w:rPr>
        <w:t xml:space="preserve"> dismissed the preliminary point and found that the appellant had fulfilled the requirements of a </w:t>
      </w:r>
      <w:r w:rsidR="006C6587" w:rsidRPr="005C4960">
        <w:rPr>
          <w:rFonts w:ascii="Times New Roman" w:eastAsia="Calibri" w:hAnsi="Times New Roman" w:cs="Times New Roman"/>
          <w:i/>
          <w:sz w:val="24"/>
          <w:szCs w:val="24"/>
          <w:lang w:val="en-ZW"/>
        </w:rPr>
        <w:t xml:space="preserve">declaratur </w:t>
      </w:r>
      <w:r w:rsidR="004F13B6">
        <w:rPr>
          <w:rFonts w:ascii="Times New Roman" w:eastAsia="Calibri" w:hAnsi="Times New Roman" w:cs="Times New Roman"/>
          <w:sz w:val="24"/>
          <w:szCs w:val="24"/>
          <w:lang w:val="en-ZW"/>
        </w:rPr>
        <w:t>in terms of s</w:t>
      </w:r>
      <w:r w:rsidR="006C6587" w:rsidRPr="005C4960">
        <w:rPr>
          <w:rFonts w:ascii="Times New Roman" w:eastAsia="Calibri" w:hAnsi="Times New Roman" w:cs="Times New Roman"/>
          <w:sz w:val="24"/>
          <w:szCs w:val="24"/>
          <w:lang w:val="en-ZW"/>
        </w:rPr>
        <w:t xml:space="preserve"> 14 of the High Court Act [</w:t>
      </w:r>
      <w:r w:rsidR="006C6587" w:rsidRPr="005C4960">
        <w:rPr>
          <w:rFonts w:ascii="Times New Roman" w:eastAsia="Calibri" w:hAnsi="Times New Roman" w:cs="Times New Roman"/>
          <w:i/>
          <w:sz w:val="24"/>
          <w:szCs w:val="24"/>
          <w:lang w:val="en-ZW"/>
        </w:rPr>
        <w:t>Chapter 7:06</w:t>
      </w:r>
      <w:r w:rsidR="006C6587" w:rsidRPr="005C4960">
        <w:rPr>
          <w:rFonts w:ascii="Times New Roman" w:eastAsia="Calibri" w:hAnsi="Times New Roman" w:cs="Times New Roman"/>
          <w:sz w:val="24"/>
          <w:szCs w:val="24"/>
          <w:lang w:val="en-ZW"/>
        </w:rPr>
        <w:t xml:space="preserve">]. </w:t>
      </w:r>
      <w:r w:rsidR="006F24FD">
        <w:rPr>
          <w:rFonts w:ascii="Times New Roman" w:eastAsia="Calibri" w:hAnsi="Times New Roman" w:cs="Times New Roman"/>
          <w:sz w:val="24"/>
          <w:szCs w:val="24"/>
          <w:lang w:val="en-ZW"/>
        </w:rPr>
        <w:t xml:space="preserve"> </w:t>
      </w:r>
      <w:r w:rsidR="006C6587" w:rsidRPr="005C4960">
        <w:rPr>
          <w:rFonts w:ascii="Times New Roman" w:eastAsia="Calibri" w:hAnsi="Times New Roman" w:cs="Times New Roman"/>
          <w:sz w:val="24"/>
          <w:szCs w:val="24"/>
          <w:lang w:val="en-ZW"/>
        </w:rPr>
        <w:t>With regards to the merits of the matter, the court</w:t>
      </w:r>
      <w:r w:rsidRPr="005C4960">
        <w:rPr>
          <w:rFonts w:ascii="Times New Roman" w:eastAsia="Calibri" w:hAnsi="Times New Roman" w:cs="Times New Roman"/>
          <w:sz w:val="24"/>
          <w:szCs w:val="24"/>
          <w:lang w:val="en-ZW"/>
        </w:rPr>
        <w:t xml:space="preserve"> </w:t>
      </w:r>
      <w:r w:rsidRPr="005C4960">
        <w:rPr>
          <w:rFonts w:ascii="Times New Roman" w:eastAsia="Calibri" w:hAnsi="Times New Roman" w:cs="Times New Roman"/>
          <w:i/>
          <w:iCs/>
          <w:sz w:val="24"/>
          <w:szCs w:val="24"/>
          <w:lang w:val="en-ZW"/>
        </w:rPr>
        <w:t>a quo</w:t>
      </w:r>
      <w:r w:rsidR="004F13B6">
        <w:rPr>
          <w:rFonts w:ascii="Times New Roman" w:eastAsia="Calibri" w:hAnsi="Times New Roman" w:cs="Times New Roman"/>
          <w:sz w:val="24"/>
          <w:szCs w:val="24"/>
          <w:lang w:val="en-ZW"/>
        </w:rPr>
        <w:t xml:space="preserve"> held that s</w:t>
      </w:r>
      <w:r w:rsidR="006C6587" w:rsidRPr="005C4960">
        <w:rPr>
          <w:rFonts w:ascii="Times New Roman" w:eastAsia="Calibri" w:hAnsi="Times New Roman" w:cs="Times New Roman"/>
          <w:sz w:val="24"/>
          <w:szCs w:val="24"/>
          <w:lang w:val="en-ZW"/>
        </w:rPr>
        <w:t xml:space="preserve"> 4</w:t>
      </w:r>
      <w:r w:rsidR="002E4662" w:rsidRPr="005C4960">
        <w:rPr>
          <w:rFonts w:ascii="Times New Roman" w:eastAsia="Calibri" w:hAnsi="Times New Roman" w:cs="Times New Roman"/>
          <w:sz w:val="24"/>
          <w:szCs w:val="24"/>
          <w:lang w:val="en-ZW"/>
        </w:rPr>
        <w:t xml:space="preserve"> </w:t>
      </w:r>
      <w:r w:rsidR="00CB1A40" w:rsidRPr="005C4960">
        <w:rPr>
          <w:rFonts w:ascii="Times New Roman" w:eastAsia="Calibri" w:hAnsi="Times New Roman" w:cs="Times New Roman"/>
          <w:sz w:val="24"/>
          <w:szCs w:val="24"/>
          <w:lang w:val="en-ZW"/>
        </w:rPr>
        <w:t>A (</w:t>
      </w:r>
      <w:r w:rsidR="006C6587" w:rsidRPr="005C4960">
        <w:rPr>
          <w:rFonts w:ascii="Times New Roman" w:eastAsia="Calibri" w:hAnsi="Times New Roman" w:cs="Times New Roman"/>
          <w:sz w:val="24"/>
          <w:szCs w:val="24"/>
          <w:lang w:val="en-ZW"/>
        </w:rPr>
        <w:t xml:space="preserve">10) of the Finance Act had </w:t>
      </w:r>
      <w:r w:rsidR="004F13B6">
        <w:rPr>
          <w:rFonts w:ascii="Times New Roman" w:eastAsia="Calibri" w:hAnsi="Times New Roman" w:cs="Times New Roman"/>
          <w:sz w:val="24"/>
          <w:szCs w:val="24"/>
          <w:lang w:val="en-ZW"/>
        </w:rPr>
        <w:t>to be read together with s</w:t>
      </w:r>
      <w:r w:rsidR="006C6587" w:rsidRPr="005C4960">
        <w:rPr>
          <w:rFonts w:ascii="Times New Roman" w:eastAsia="Calibri" w:hAnsi="Times New Roman" w:cs="Times New Roman"/>
          <w:sz w:val="24"/>
          <w:szCs w:val="24"/>
          <w:lang w:val="en-ZW"/>
        </w:rPr>
        <w:t xml:space="preserve"> 15 (2) (a) of the ITA. The court</w:t>
      </w:r>
      <w:r w:rsidR="00714440" w:rsidRPr="005C4960">
        <w:rPr>
          <w:rFonts w:ascii="Times New Roman" w:eastAsia="Calibri" w:hAnsi="Times New Roman" w:cs="Times New Roman"/>
          <w:sz w:val="24"/>
          <w:szCs w:val="24"/>
          <w:lang w:val="en-ZW"/>
        </w:rPr>
        <w:t xml:space="preserve"> </w:t>
      </w:r>
      <w:r w:rsidR="00714440" w:rsidRPr="005C4960">
        <w:rPr>
          <w:rFonts w:ascii="Times New Roman" w:eastAsia="Calibri" w:hAnsi="Times New Roman" w:cs="Times New Roman"/>
          <w:i/>
          <w:iCs/>
          <w:sz w:val="24"/>
          <w:szCs w:val="24"/>
          <w:lang w:val="en-ZW"/>
        </w:rPr>
        <w:t>a quo</w:t>
      </w:r>
      <w:r w:rsidR="006C6587" w:rsidRPr="005C4960">
        <w:rPr>
          <w:rFonts w:ascii="Times New Roman" w:eastAsia="Calibri" w:hAnsi="Times New Roman" w:cs="Times New Roman"/>
          <w:sz w:val="24"/>
          <w:szCs w:val="24"/>
          <w:lang w:val="en-ZW"/>
        </w:rPr>
        <w:t xml:space="preserve"> held that a unitary reading of the two</w:t>
      </w:r>
      <w:r w:rsidR="00714440" w:rsidRPr="005C4960">
        <w:rPr>
          <w:rFonts w:ascii="Times New Roman" w:eastAsia="Calibri" w:hAnsi="Times New Roman" w:cs="Times New Roman"/>
          <w:sz w:val="24"/>
          <w:szCs w:val="24"/>
          <w:lang w:val="en-ZW"/>
        </w:rPr>
        <w:t xml:space="preserve"> provis</w:t>
      </w:r>
      <w:r w:rsidR="006C6587" w:rsidRPr="005C4960">
        <w:rPr>
          <w:rFonts w:ascii="Times New Roman" w:eastAsia="Calibri" w:hAnsi="Times New Roman" w:cs="Times New Roman"/>
          <w:sz w:val="24"/>
          <w:szCs w:val="24"/>
          <w:lang w:val="en-ZW"/>
        </w:rPr>
        <w:t xml:space="preserve">ions </w:t>
      </w:r>
      <w:r w:rsidR="00BB32FF">
        <w:rPr>
          <w:rFonts w:ascii="Times New Roman" w:eastAsia="Calibri" w:hAnsi="Times New Roman" w:cs="Times New Roman"/>
          <w:sz w:val="24"/>
          <w:szCs w:val="24"/>
          <w:lang w:val="en-ZW"/>
        </w:rPr>
        <w:t>establish</w:t>
      </w:r>
      <w:r w:rsidR="006C6587" w:rsidRPr="005C4960">
        <w:rPr>
          <w:rFonts w:ascii="Times New Roman" w:eastAsia="Calibri" w:hAnsi="Times New Roman" w:cs="Times New Roman"/>
          <w:sz w:val="24"/>
          <w:szCs w:val="24"/>
          <w:lang w:val="en-ZW"/>
        </w:rPr>
        <w:t>ed that it was the intention of the legislature to apportion foreign currency and local currency income in the same ratios as the foreign currency expenditure and local</w:t>
      </w:r>
      <w:r w:rsidR="00D56A2A">
        <w:rPr>
          <w:rFonts w:ascii="Times New Roman" w:eastAsia="Calibri" w:hAnsi="Times New Roman" w:cs="Times New Roman"/>
          <w:sz w:val="24"/>
          <w:szCs w:val="24"/>
          <w:lang w:val="en-ZW"/>
        </w:rPr>
        <w:t xml:space="preserve"> currency</w:t>
      </w:r>
      <w:r w:rsidR="006C6587" w:rsidRPr="005C4960">
        <w:rPr>
          <w:rFonts w:ascii="Times New Roman" w:eastAsia="Calibri" w:hAnsi="Times New Roman" w:cs="Times New Roman"/>
          <w:sz w:val="24"/>
          <w:szCs w:val="24"/>
          <w:lang w:val="en-ZW"/>
        </w:rPr>
        <w:t xml:space="preserve"> expenditure. </w:t>
      </w:r>
      <w:r w:rsidR="006F24FD">
        <w:rPr>
          <w:rFonts w:ascii="Times New Roman" w:eastAsia="Calibri" w:hAnsi="Times New Roman" w:cs="Times New Roman"/>
          <w:sz w:val="24"/>
          <w:szCs w:val="24"/>
          <w:lang w:val="en-ZW"/>
        </w:rPr>
        <w:t xml:space="preserve"> </w:t>
      </w:r>
      <w:r w:rsidR="006C6587" w:rsidRPr="005C4960">
        <w:rPr>
          <w:rFonts w:ascii="Times New Roman" w:eastAsia="Calibri" w:hAnsi="Times New Roman" w:cs="Times New Roman"/>
          <w:sz w:val="24"/>
          <w:szCs w:val="24"/>
          <w:lang w:val="en-ZW"/>
        </w:rPr>
        <w:t>The court</w:t>
      </w:r>
      <w:r w:rsidR="004B2CC5" w:rsidRPr="005C4960">
        <w:rPr>
          <w:rFonts w:ascii="Times New Roman" w:eastAsia="Calibri" w:hAnsi="Times New Roman" w:cs="Times New Roman"/>
          <w:sz w:val="24"/>
          <w:szCs w:val="24"/>
          <w:lang w:val="en-ZW"/>
        </w:rPr>
        <w:t xml:space="preserve"> </w:t>
      </w:r>
      <w:r w:rsidR="004B2CC5" w:rsidRPr="005C4960">
        <w:rPr>
          <w:rFonts w:ascii="Times New Roman" w:eastAsia="Calibri" w:hAnsi="Times New Roman" w:cs="Times New Roman"/>
          <w:i/>
          <w:iCs/>
          <w:sz w:val="24"/>
          <w:szCs w:val="24"/>
          <w:lang w:val="en-ZW"/>
        </w:rPr>
        <w:t>a quo</w:t>
      </w:r>
      <w:r w:rsidR="006C6587" w:rsidRPr="005C4960">
        <w:rPr>
          <w:rFonts w:ascii="Times New Roman" w:eastAsia="Calibri" w:hAnsi="Times New Roman" w:cs="Times New Roman"/>
          <w:sz w:val="24"/>
          <w:szCs w:val="24"/>
          <w:lang w:val="en-ZW"/>
        </w:rPr>
        <w:t xml:space="preserve"> noted that s 4</w:t>
      </w:r>
      <w:r w:rsidR="002E4662" w:rsidRPr="005C4960">
        <w:rPr>
          <w:rFonts w:ascii="Times New Roman" w:eastAsia="Calibri" w:hAnsi="Times New Roman" w:cs="Times New Roman"/>
          <w:sz w:val="24"/>
          <w:szCs w:val="24"/>
          <w:lang w:val="en-ZW"/>
        </w:rPr>
        <w:t xml:space="preserve"> </w:t>
      </w:r>
      <w:r w:rsidR="006C6587" w:rsidRPr="005C4960">
        <w:rPr>
          <w:rFonts w:ascii="Times New Roman" w:eastAsia="Calibri" w:hAnsi="Times New Roman" w:cs="Times New Roman"/>
          <w:sz w:val="24"/>
          <w:szCs w:val="24"/>
          <w:lang w:val="en-ZW"/>
        </w:rPr>
        <w:t>A</w:t>
      </w:r>
      <w:r w:rsidR="004B2CC5" w:rsidRPr="005C4960">
        <w:rPr>
          <w:rFonts w:ascii="Times New Roman" w:eastAsia="Calibri" w:hAnsi="Times New Roman" w:cs="Times New Roman"/>
          <w:sz w:val="24"/>
          <w:szCs w:val="24"/>
          <w:lang w:val="en-ZW"/>
        </w:rPr>
        <w:t xml:space="preserve"> </w:t>
      </w:r>
      <w:r w:rsidR="006C6587" w:rsidRPr="005C4960">
        <w:rPr>
          <w:rFonts w:ascii="Times New Roman" w:eastAsia="Calibri" w:hAnsi="Times New Roman" w:cs="Times New Roman"/>
          <w:sz w:val="24"/>
          <w:szCs w:val="24"/>
          <w:lang w:val="en-ZW"/>
        </w:rPr>
        <w:t>(7) of the Finance Act further elaborates the above point in that it provides that the ITA shall apply to the payment of tax in foreign currency in the same way it applies to the payment of tax in local currency.</w:t>
      </w:r>
    </w:p>
    <w:p w14:paraId="78ED4D45" w14:textId="77777777" w:rsidR="004F13B6" w:rsidRDefault="004F13B6" w:rsidP="004F13B6">
      <w:pPr>
        <w:spacing w:after="0" w:line="480" w:lineRule="auto"/>
        <w:jc w:val="both"/>
        <w:rPr>
          <w:rFonts w:ascii="Times New Roman" w:eastAsia="Calibri" w:hAnsi="Times New Roman" w:cs="Times New Roman"/>
          <w:sz w:val="24"/>
          <w:szCs w:val="24"/>
          <w:lang w:val="en-ZW"/>
        </w:rPr>
      </w:pPr>
    </w:p>
    <w:p w14:paraId="2D5D980C" w14:textId="024F9C78" w:rsidR="009E267F" w:rsidRPr="004F13B6" w:rsidRDefault="006C6587" w:rsidP="001B42D1">
      <w:pPr>
        <w:spacing w:after="0" w:line="480" w:lineRule="auto"/>
        <w:ind w:left="-5" w:firstLine="1445"/>
        <w:jc w:val="both"/>
        <w:rPr>
          <w:rFonts w:ascii="Times New Roman" w:hAnsi="Times New Roman" w:cs="Times New Roman"/>
          <w:b/>
          <w:sz w:val="24"/>
          <w:szCs w:val="24"/>
          <w:u w:val="single"/>
          <w:lang w:val="en-GB"/>
        </w:rPr>
      </w:pPr>
      <w:r w:rsidRPr="005C4960">
        <w:rPr>
          <w:rFonts w:ascii="Times New Roman" w:eastAsia="Calibri" w:hAnsi="Times New Roman" w:cs="Times New Roman"/>
          <w:sz w:val="24"/>
          <w:szCs w:val="24"/>
          <w:lang w:val="en-ZW"/>
        </w:rPr>
        <w:t>The court</w:t>
      </w:r>
      <w:r w:rsidR="000858DB" w:rsidRPr="005C4960">
        <w:rPr>
          <w:rFonts w:ascii="Times New Roman" w:eastAsia="Calibri" w:hAnsi="Times New Roman" w:cs="Times New Roman"/>
          <w:sz w:val="24"/>
          <w:szCs w:val="24"/>
          <w:lang w:val="en-ZW"/>
        </w:rPr>
        <w:t xml:space="preserve"> </w:t>
      </w:r>
      <w:r w:rsidR="000858DB" w:rsidRPr="005C4960">
        <w:rPr>
          <w:rFonts w:ascii="Times New Roman" w:eastAsia="Calibri" w:hAnsi="Times New Roman" w:cs="Times New Roman"/>
          <w:i/>
          <w:iCs/>
          <w:sz w:val="24"/>
          <w:szCs w:val="24"/>
          <w:lang w:val="en-ZW"/>
        </w:rPr>
        <w:t>a quo</w:t>
      </w:r>
      <w:r w:rsidRPr="005C4960">
        <w:rPr>
          <w:rFonts w:ascii="Times New Roman" w:eastAsia="Calibri" w:hAnsi="Times New Roman" w:cs="Times New Roman"/>
          <w:sz w:val="24"/>
          <w:szCs w:val="24"/>
          <w:lang w:val="en-ZW"/>
        </w:rPr>
        <w:t xml:space="preserve"> found that the appellant’s proposed method of accepting the Reserve Bank notional ratio of 60:40 in regards to income only, and using the currency of the invoices for expenditure had no legal backing. </w:t>
      </w:r>
      <w:r w:rsidR="00617EDD" w:rsidRPr="005C4960">
        <w:rPr>
          <w:rFonts w:ascii="Times New Roman" w:eastAsia="Calibri" w:hAnsi="Times New Roman" w:cs="Times New Roman"/>
          <w:sz w:val="24"/>
          <w:szCs w:val="24"/>
          <w:lang w:val="en-ZW"/>
        </w:rPr>
        <w:t>It</w:t>
      </w:r>
      <w:r w:rsidRPr="005C4960">
        <w:rPr>
          <w:rFonts w:ascii="Times New Roman" w:eastAsia="Calibri" w:hAnsi="Times New Roman" w:cs="Times New Roman"/>
          <w:sz w:val="24"/>
          <w:szCs w:val="24"/>
          <w:lang w:val="en-ZW"/>
        </w:rPr>
        <w:t xml:space="preserve"> further n</w:t>
      </w:r>
      <w:r w:rsidR="0078755A" w:rsidRPr="005C4960">
        <w:rPr>
          <w:rFonts w:ascii="Times New Roman" w:eastAsia="Calibri" w:hAnsi="Times New Roman" w:cs="Times New Roman"/>
          <w:sz w:val="24"/>
          <w:szCs w:val="24"/>
          <w:lang w:val="en-ZW"/>
        </w:rPr>
        <w:t>ot</w:t>
      </w:r>
      <w:r w:rsidRPr="005C4960">
        <w:rPr>
          <w:rFonts w:ascii="Times New Roman" w:eastAsia="Calibri" w:hAnsi="Times New Roman" w:cs="Times New Roman"/>
          <w:sz w:val="24"/>
          <w:szCs w:val="24"/>
          <w:lang w:val="en-ZW"/>
        </w:rPr>
        <w:t xml:space="preserve">ed that the appellant could not pinpoint </w:t>
      </w:r>
      <w:r w:rsidRPr="005C4960">
        <w:rPr>
          <w:rFonts w:ascii="Times New Roman" w:eastAsia="Calibri" w:hAnsi="Times New Roman" w:cs="Times New Roman"/>
          <w:sz w:val="24"/>
          <w:szCs w:val="24"/>
          <w:lang w:val="en-ZW"/>
        </w:rPr>
        <w:lastRenderedPageBreak/>
        <w:t>with precision how much USD expenditure produces how much of the income</w:t>
      </w:r>
      <w:r w:rsidR="00B708FC">
        <w:rPr>
          <w:rFonts w:ascii="Times New Roman" w:eastAsia="Calibri" w:hAnsi="Times New Roman" w:cs="Times New Roman"/>
          <w:sz w:val="24"/>
          <w:szCs w:val="24"/>
          <w:lang w:val="en-ZW"/>
        </w:rPr>
        <w:t xml:space="preserve"> in</w:t>
      </w:r>
      <w:r w:rsidRPr="005C4960">
        <w:rPr>
          <w:rFonts w:ascii="Times New Roman" w:eastAsia="Calibri" w:hAnsi="Times New Roman" w:cs="Times New Roman"/>
          <w:sz w:val="24"/>
          <w:szCs w:val="24"/>
          <w:lang w:val="en-ZW"/>
        </w:rPr>
        <w:t xml:space="preserve"> USD </w:t>
      </w:r>
      <w:r w:rsidR="004D1BE6">
        <w:rPr>
          <w:rFonts w:ascii="Times New Roman" w:eastAsia="Calibri" w:hAnsi="Times New Roman" w:cs="Times New Roman"/>
          <w:sz w:val="24"/>
          <w:szCs w:val="24"/>
          <w:lang w:val="en-ZW"/>
        </w:rPr>
        <w:t>and</w:t>
      </w:r>
      <w:r w:rsidRPr="005C4960">
        <w:rPr>
          <w:rFonts w:ascii="Times New Roman" w:eastAsia="Calibri" w:hAnsi="Times New Roman" w:cs="Times New Roman"/>
          <w:sz w:val="24"/>
          <w:szCs w:val="24"/>
          <w:lang w:val="en-ZW"/>
        </w:rPr>
        <w:t xml:space="preserve"> ZW</w:t>
      </w:r>
      <w:r w:rsidR="000C590D" w:rsidRPr="005C4960">
        <w:rPr>
          <w:rFonts w:ascii="Times New Roman" w:eastAsia="Calibri" w:hAnsi="Times New Roman" w:cs="Times New Roman"/>
          <w:sz w:val="24"/>
          <w:szCs w:val="24"/>
          <w:lang w:val="en-ZW"/>
        </w:rPr>
        <w:t>L</w:t>
      </w:r>
      <w:r w:rsidRPr="005C4960">
        <w:rPr>
          <w:rFonts w:ascii="Times New Roman" w:eastAsia="Calibri" w:hAnsi="Times New Roman" w:cs="Times New Roman"/>
          <w:sz w:val="24"/>
          <w:szCs w:val="24"/>
          <w:lang w:val="en-ZW"/>
        </w:rPr>
        <w:t xml:space="preserve"> and conversely how much ZW</w:t>
      </w:r>
      <w:r w:rsidR="000C590D" w:rsidRPr="005C4960">
        <w:rPr>
          <w:rFonts w:ascii="Times New Roman" w:eastAsia="Calibri" w:hAnsi="Times New Roman" w:cs="Times New Roman"/>
          <w:sz w:val="24"/>
          <w:szCs w:val="24"/>
          <w:lang w:val="en-ZW"/>
        </w:rPr>
        <w:t>L</w:t>
      </w:r>
      <w:r w:rsidRPr="005C4960">
        <w:rPr>
          <w:rFonts w:ascii="Times New Roman" w:eastAsia="Calibri" w:hAnsi="Times New Roman" w:cs="Times New Roman"/>
          <w:sz w:val="24"/>
          <w:szCs w:val="24"/>
          <w:lang w:val="en-ZW"/>
        </w:rPr>
        <w:t xml:space="preserve"> expenditure goes to produce how much of the income in</w:t>
      </w:r>
      <w:r w:rsidR="004D1BE6">
        <w:rPr>
          <w:rFonts w:ascii="Times New Roman" w:eastAsia="Calibri" w:hAnsi="Times New Roman" w:cs="Times New Roman"/>
          <w:sz w:val="24"/>
          <w:szCs w:val="24"/>
          <w:lang w:val="en-ZW"/>
        </w:rPr>
        <w:t xml:space="preserve"> each of</w:t>
      </w:r>
      <w:r w:rsidRPr="005C4960">
        <w:rPr>
          <w:rFonts w:ascii="Times New Roman" w:eastAsia="Calibri" w:hAnsi="Times New Roman" w:cs="Times New Roman"/>
          <w:sz w:val="24"/>
          <w:szCs w:val="24"/>
          <w:lang w:val="en-ZW"/>
        </w:rPr>
        <w:t xml:space="preserve"> the two currencies. </w:t>
      </w:r>
      <w:r w:rsidR="001B42D1">
        <w:rPr>
          <w:rFonts w:ascii="Times New Roman" w:eastAsia="Calibri" w:hAnsi="Times New Roman" w:cs="Times New Roman"/>
          <w:sz w:val="24"/>
          <w:szCs w:val="24"/>
          <w:lang w:val="en-ZW"/>
        </w:rPr>
        <w:t xml:space="preserve"> </w:t>
      </w:r>
      <w:r w:rsidRPr="005C4960">
        <w:rPr>
          <w:rFonts w:ascii="Times New Roman" w:eastAsia="Calibri" w:hAnsi="Times New Roman" w:cs="Times New Roman"/>
          <w:sz w:val="24"/>
          <w:szCs w:val="24"/>
          <w:lang w:val="en-ZW"/>
        </w:rPr>
        <w:t>The court</w:t>
      </w:r>
      <w:r w:rsidR="00EE47E2" w:rsidRPr="005C4960">
        <w:rPr>
          <w:rFonts w:ascii="Times New Roman" w:eastAsia="Calibri" w:hAnsi="Times New Roman" w:cs="Times New Roman"/>
          <w:sz w:val="24"/>
          <w:szCs w:val="24"/>
          <w:lang w:val="en-ZW"/>
        </w:rPr>
        <w:t xml:space="preserve"> </w:t>
      </w:r>
      <w:r w:rsidR="00EE47E2" w:rsidRPr="005C4960">
        <w:rPr>
          <w:rFonts w:ascii="Times New Roman" w:eastAsia="Calibri" w:hAnsi="Times New Roman" w:cs="Times New Roman"/>
          <w:i/>
          <w:iCs/>
          <w:sz w:val="24"/>
          <w:szCs w:val="24"/>
          <w:lang w:val="en-ZW"/>
        </w:rPr>
        <w:t>a quo</w:t>
      </w:r>
      <w:r w:rsidR="004F13B6">
        <w:rPr>
          <w:rFonts w:ascii="Times New Roman" w:eastAsia="Calibri" w:hAnsi="Times New Roman" w:cs="Times New Roman"/>
          <w:sz w:val="24"/>
          <w:szCs w:val="24"/>
          <w:lang w:val="en-ZW"/>
        </w:rPr>
        <w:t xml:space="preserve"> also noted that s</w:t>
      </w:r>
      <w:r w:rsidRPr="005C4960">
        <w:rPr>
          <w:rFonts w:ascii="Times New Roman" w:eastAsia="Calibri" w:hAnsi="Times New Roman" w:cs="Times New Roman"/>
          <w:sz w:val="24"/>
          <w:szCs w:val="24"/>
          <w:lang w:val="en-ZW"/>
        </w:rPr>
        <w:t xml:space="preserve"> 4</w:t>
      </w:r>
      <w:r w:rsidR="00EE47E2" w:rsidRPr="005C4960">
        <w:rPr>
          <w:rFonts w:ascii="Times New Roman" w:eastAsia="Calibri" w:hAnsi="Times New Roman" w:cs="Times New Roman"/>
          <w:sz w:val="24"/>
          <w:szCs w:val="24"/>
          <w:lang w:val="en-ZW"/>
        </w:rPr>
        <w:t xml:space="preserve"> </w:t>
      </w:r>
      <w:r w:rsidRPr="005C4960">
        <w:rPr>
          <w:rFonts w:ascii="Times New Roman" w:eastAsia="Calibri" w:hAnsi="Times New Roman" w:cs="Times New Roman"/>
          <w:sz w:val="24"/>
          <w:szCs w:val="24"/>
          <w:lang w:val="en-ZW"/>
        </w:rPr>
        <w:t>A (10) of the Finance Act</w:t>
      </w:r>
      <w:r w:rsidR="001B42D1">
        <w:rPr>
          <w:rFonts w:ascii="Times New Roman" w:eastAsia="Calibri" w:hAnsi="Times New Roman" w:cs="Times New Roman"/>
          <w:sz w:val="24"/>
          <w:szCs w:val="24"/>
          <w:lang w:val="en-ZW"/>
        </w:rPr>
        <w:t xml:space="preserve"> caters for such uncertainties.  </w:t>
      </w:r>
      <w:r w:rsidR="000C590D" w:rsidRPr="005C4960">
        <w:rPr>
          <w:rFonts w:ascii="Times New Roman" w:eastAsia="Calibri" w:hAnsi="Times New Roman" w:cs="Times New Roman"/>
          <w:sz w:val="24"/>
          <w:szCs w:val="24"/>
          <w:lang w:val="en-ZW"/>
        </w:rPr>
        <w:t>In addition</w:t>
      </w:r>
      <w:r w:rsidRPr="005C4960">
        <w:rPr>
          <w:rFonts w:ascii="Times New Roman" w:eastAsia="Calibri" w:hAnsi="Times New Roman" w:cs="Times New Roman"/>
          <w:sz w:val="24"/>
          <w:szCs w:val="24"/>
          <w:lang w:val="en-ZW"/>
        </w:rPr>
        <w:t>, the court</w:t>
      </w:r>
      <w:r w:rsidR="000C590D" w:rsidRPr="005C4960">
        <w:rPr>
          <w:rFonts w:ascii="Times New Roman" w:eastAsia="Calibri" w:hAnsi="Times New Roman" w:cs="Times New Roman"/>
          <w:sz w:val="24"/>
          <w:szCs w:val="24"/>
          <w:lang w:val="en-ZW"/>
        </w:rPr>
        <w:t xml:space="preserve"> </w:t>
      </w:r>
      <w:r w:rsidR="000C590D" w:rsidRPr="005C4960">
        <w:rPr>
          <w:rFonts w:ascii="Times New Roman" w:eastAsia="Calibri" w:hAnsi="Times New Roman" w:cs="Times New Roman"/>
          <w:i/>
          <w:iCs/>
          <w:sz w:val="24"/>
          <w:szCs w:val="24"/>
          <w:lang w:val="en-ZW"/>
        </w:rPr>
        <w:t>a quo</w:t>
      </w:r>
      <w:r w:rsidRPr="005C4960">
        <w:rPr>
          <w:rFonts w:ascii="Times New Roman" w:eastAsia="Calibri" w:hAnsi="Times New Roman" w:cs="Times New Roman"/>
          <w:sz w:val="24"/>
          <w:szCs w:val="24"/>
          <w:lang w:val="en-ZW"/>
        </w:rPr>
        <w:t xml:space="preserve"> noted that the issue raised by the appellant that the issuance of the PN’s by the respondent amounted to </w:t>
      </w:r>
      <w:r w:rsidR="000C590D" w:rsidRPr="005C4960">
        <w:rPr>
          <w:rFonts w:ascii="Times New Roman" w:eastAsia="Calibri" w:hAnsi="Times New Roman" w:cs="Times New Roman"/>
          <w:sz w:val="24"/>
          <w:szCs w:val="24"/>
          <w:lang w:val="en-ZW"/>
        </w:rPr>
        <w:t>self-</w:t>
      </w:r>
      <w:r w:rsidRPr="005C4960">
        <w:rPr>
          <w:rFonts w:ascii="Times New Roman" w:eastAsia="Calibri" w:hAnsi="Times New Roman" w:cs="Times New Roman"/>
          <w:sz w:val="24"/>
          <w:szCs w:val="24"/>
          <w:lang w:val="en-ZW"/>
        </w:rPr>
        <w:t>arrogati</w:t>
      </w:r>
      <w:r w:rsidR="000C590D" w:rsidRPr="005C4960">
        <w:rPr>
          <w:rFonts w:ascii="Times New Roman" w:eastAsia="Calibri" w:hAnsi="Times New Roman" w:cs="Times New Roman"/>
          <w:sz w:val="24"/>
          <w:szCs w:val="24"/>
          <w:lang w:val="en-ZW"/>
        </w:rPr>
        <w:t>on of</w:t>
      </w:r>
      <w:r w:rsidRPr="005C4960">
        <w:rPr>
          <w:rFonts w:ascii="Times New Roman" w:eastAsia="Calibri" w:hAnsi="Times New Roman" w:cs="Times New Roman"/>
          <w:sz w:val="24"/>
          <w:szCs w:val="24"/>
          <w:lang w:val="en-ZW"/>
        </w:rPr>
        <w:t xml:space="preserve"> legislative powers was devoid</w:t>
      </w:r>
      <w:r w:rsidR="004F13B6">
        <w:rPr>
          <w:rFonts w:ascii="Times New Roman" w:eastAsia="Calibri" w:hAnsi="Times New Roman" w:cs="Times New Roman"/>
          <w:sz w:val="24"/>
          <w:szCs w:val="24"/>
          <w:lang w:val="en-ZW"/>
        </w:rPr>
        <w:t xml:space="preserve"> of merit as in terms of s</w:t>
      </w:r>
      <w:r w:rsidRPr="005C4960">
        <w:rPr>
          <w:rFonts w:ascii="Times New Roman" w:eastAsia="Calibri" w:hAnsi="Times New Roman" w:cs="Times New Roman"/>
          <w:sz w:val="24"/>
          <w:szCs w:val="24"/>
          <w:lang w:val="en-ZW"/>
        </w:rPr>
        <w:t xml:space="preserve"> 37 of the ITA the respondent</w:t>
      </w:r>
      <w:r w:rsidR="006F24FD">
        <w:rPr>
          <w:rFonts w:ascii="Times New Roman" w:eastAsia="Calibri" w:hAnsi="Times New Roman" w:cs="Times New Roman"/>
          <w:sz w:val="24"/>
          <w:szCs w:val="24"/>
          <w:lang w:val="en-ZW"/>
        </w:rPr>
        <w:t xml:space="preserve"> is obliged to issue such PN’s.  </w:t>
      </w:r>
      <w:r w:rsidRPr="005C4960">
        <w:rPr>
          <w:rFonts w:ascii="Times New Roman" w:eastAsia="Calibri" w:hAnsi="Times New Roman" w:cs="Times New Roman"/>
          <w:sz w:val="24"/>
          <w:szCs w:val="24"/>
          <w:lang w:val="en-ZW"/>
        </w:rPr>
        <w:t>The court</w:t>
      </w:r>
      <w:r w:rsidR="006A7048" w:rsidRPr="005C4960">
        <w:rPr>
          <w:rFonts w:ascii="Times New Roman" w:eastAsia="Calibri" w:hAnsi="Times New Roman" w:cs="Times New Roman"/>
          <w:sz w:val="24"/>
          <w:szCs w:val="24"/>
          <w:lang w:val="en-ZW"/>
        </w:rPr>
        <w:t xml:space="preserve"> </w:t>
      </w:r>
      <w:r w:rsidR="006A7048" w:rsidRPr="005C4960">
        <w:rPr>
          <w:rFonts w:ascii="Times New Roman" w:eastAsia="Calibri" w:hAnsi="Times New Roman" w:cs="Times New Roman"/>
          <w:i/>
          <w:iCs/>
          <w:sz w:val="24"/>
          <w:szCs w:val="24"/>
          <w:lang w:val="en-ZW"/>
        </w:rPr>
        <w:t>a quo</w:t>
      </w:r>
      <w:r w:rsidRPr="005C4960">
        <w:rPr>
          <w:rFonts w:ascii="Times New Roman" w:eastAsia="Calibri" w:hAnsi="Times New Roman" w:cs="Times New Roman"/>
          <w:sz w:val="24"/>
          <w:szCs w:val="24"/>
          <w:lang w:val="en-ZW"/>
        </w:rPr>
        <w:t xml:space="preserve"> concluded that the appellant’s reading and interpretation of the law was wrong and the </w:t>
      </w:r>
      <w:r w:rsidR="001C457D" w:rsidRPr="005C4960">
        <w:rPr>
          <w:rFonts w:ascii="Times New Roman" w:eastAsia="Calibri" w:hAnsi="Times New Roman" w:cs="Times New Roman"/>
          <w:i/>
          <w:sz w:val="24"/>
          <w:szCs w:val="24"/>
          <w:lang w:val="en-ZW"/>
        </w:rPr>
        <w:t>declaratu</w:t>
      </w:r>
      <w:r w:rsidRPr="005C4960">
        <w:rPr>
          <w:rFonts w:ascii="Times New Roman" w:eastAsia="Calibri" w:hAnsi="Times New Roman" w:cs="Times New Roman"/>
          <w:i/>
          <w:sz w:val="24"/>
          <w:szCs w:val="24"/>
          <w:lang w:val="en-ZW"/>
        </w:rPr>
        <w:t>r</w:t>
      </w:r>
      <w:r w:rsidRPr="005C4960">
        <w:rPr>
          <w:rFonts w:ascii="Times New Roman" w:eastAsia="Calibri" w:hAnsi="Times New Roman" w:cs="Times New Roman"/>
          <w:sz w:val="24"/>
          <w:szCs w:val="24"/>
          <w:lang w:val="en-ZW"/>
        </w:rPr>
        <w:t xml:space="preserve"> it sought could not be granted. </w:t>
      </w:r>
      <w:r w:rsidR="006F24FD">
        <w:rPr>
          <w:rFonts w:ascii="Times New Roman" w:eastAsia="Calibri" w:hAnsi="Times New Roman" w:cs="Times New Roman"/>
          <w:sz w:val="24"/>
          <w:szCs w:val="24"/>
          <w:lang w:val="en-ZW"/>
        </w:rPr>
        <w:t xml:space="preserve"> </w:t>
      </w:r>
      <w:r w:rsidRPr="005C4960">
        <w:rPr>
          <w:rFonts w:ascii="Times New Roman" w:eastAsia="Calibri" w:hAnsi="Times New Roman" w:cs="Times New Roman"/>
          <w:sz w:val="24"/>
          <w:szCs w:val="24"/>
          <w:lang w:val="en-ZW"/>
        </w:rPr>
        <w:t>Th</w:t>
      </w:r>
      <w:r w:rsidR="006A7048" w:rsidRPr="005C4960">
        <w:rPr>
          <w:rFonts w:ascii="Times New Roman" w:eastAsia="Calibri" w:hAnsi="Times New Roman" w:cs="Times New Roman"/>
          <w:sz w:val="24"/>
          <w:szCs w:val="24"/>
          <w:lang w:val="en-ZW"/>
        </w:rPr>
        <w:t>us, it</w:t>
      </w:r>
      <w:r w:rsidRPr="005C4960">
        <w:rPr>
          <w:rFonts w:ascii="Times New Roman" w:eastAsia="Calibri" w:hAnsi="Times New Roman" w:cs="Times New Roman"/>
          <w:sz w:val="24"/>
          <w:szCs w:val="24"/>
          <w:lang w:val="en-ZW"/>
        </w:rPr>
        <w:t xml:space="preserve"> dismis</w:t>
      </w:r>
      <w:r w:rsidR="003C1527" w:rsidRPr="005C4960">
        <w:rPr>
          <w:rFonts w:ascii="Times New Roman" w:eastAsia="Calibri" w:hAnsi="Times New Roman" w:cs="Times New Roman"/>
          <w:sz w:val="24"/>
          <w:szCs w:val="24"/>
          <w:lang w:val="en-ZW"/>
        </w:rPr>
        <w:t>sed the application with costs.</w:t>
      </w:r>
    </w:p>
    <w:p w14:paraId="606602BA" w14:textId="77777777" w:rsidR="004F13B6" w:rsidRDefault="00D2661F" w:rsidP="004F13B6">
      <w:pPr>
        <w:spacing w:after="0" w:line="480" w:lineRule="auto"/>
        <w:ind w:left="-5"/>
        <w:jc w:val="both"/>
        <w:rPr>
          <w:rFonts w:ascii="Times New Roman" w:hAnsi="Times New Roman" w:cs="Times New Roman"/>
          <w:sz w:val="24"/>
          <w:szCs w:val="24"/>
          <w:lang w:val="en-ZW"/>
        </w:rPr>
      </w:pPr>
      <w:r w:rsidRPr="005C4960">
        <w:rPr>
          <w:rFonts w:ascii="Times New Roman" w:hAnsi="Times New Roman" w:cs="Times New Roman"/>
          <w:sz w:val="24"/>
          <w:szCs w:val="24"/>
          <w:lang w:val="en-ZW"/>
        </w:rPr>
        <w:t xml:space="preserve">                    </w:t>
      </w:r>
    </w:p>
    <w:p w14:paraId="0CF72D97" w14:textId="44838E02" w:rsidR="00D31432" w:rsidRPr="005C4960" w:rsidRDefault="00D31432" w:rsidP="001B42D1">
      <w:pPr>
        <w:spacing w:after="0" w:line="480" w:lineRule="auto"/>
        <w:ind w:left="-5" w:firstLine="1445"/>
        <w:jc w:val="both"/>
        <w:rPr>
          <w:rFonts w:ascii="Times New Roman" w:hAnsi="Times New Roman" w:cs="Times New Roman"/>
          <w:sz w:val="24"/>
          <w:szCs w:val="24"/>
          <w:lang w:val="en-ZW"/>
        </w:rPr>
      </w:pPr>
      <w:r w:rsidRPr="005C4960">
        <w:rPr>
          <w:rFonts w:ascii="Times New Roman" w:hAnsi="Times New Roman" w:cs="Times New Roman"/>
          <w:sz w:val="24"/>
          <w:szCs w:val="24"/>
          <w:lang w:val="en-ZW"/>
        </w:rPr>
        <w:t>Aggrieved by this decision the appellant noted the present appeal on the following grounds of appeal:</w:t>
      </w:r>
    </w:p>
    <w:p w14:paraId="019CA5EB" w14:textId="05E5525F" w:rsidR="006C6587" w:rsidRPr="005C4960" w:rsidRDefault="007156A5" w:rsidP="001B42D1">
      <w:pPr>
        <w:spacing w:line="480" w:lineRule="auto"/>
        <w:ind w:left="993" w:hanging="273"/>
        <w:contextualSpacing/>
        <w:jc w:val="both"/>
        <w:rPr>
          <w:rFonts w:ascii="Times New Roman" w:eastAsia="Calibri" w:hAnsi="Times New Roman" w:cs="Times New Roman"/>
          <w:sz w:val="24"/>
          <w:szCs w:val="24"/>
          <w:lang w:val="en-ZW"/>
        </w:rPr>
      </w:pPr>
      <w:r w:rsidRPr="005C4960">
        <w:rPr>
          <w:rFonts w:ascii="Times New Roman" w:eastAsia="Calibri" w:hAnsi="Times New Roman" w:cs="Times New Roman"/>
          <w:sz w:val="24"/>
          <w:szCs w:val="24"/>
          <w:lang w:val="en-ZW"/>
        </w:rPr>
        <w:t>“</w:t>
      </w:r>
      <w:r w:rsidR="004F13B6">
        <w:rPr>
          <w:rFonts w:ascii="Times New Roman" w:eastAsia="Calibri" w:hAnsi="Times New Roman" w:cs="Times New Roman"/>
          <w:sz w:val="24"/>
          <w:szCs w:val="24"/>
          <w:lang w:val="en-ZW"/>
        </w:rPr>
        <w:t xml:space="preserve">1. </w:t>
      </w:r>
      <w:r w:rsidR="006C6587" w:rsidRPr="005C4960">
        <w:rPr>
          <w:rFonts w:ascii="Times New Roman" w:eastAsia="Calibri" w:hAnsi="Times New Roman" w:cs="Times New Roman"/>
          <w:sz w:val="24"/>
          <w:szCs w:val="24"/>
          <w:lang w:val="en-ZW"/>
        </w:rPr>
        <w:t xml:space="preserve">The court </w:t>
      </w:r>
      <w:r w:rsidR="006C6587" w:rsidRPr="005C4960">
        <w:rPr>
          <w:rFonts w:ascii="Times New Roman" w:eastAsia="Calibri" w:hAnsi="Times New Roman" w:cs="Times New Roman"/>
          <w:i/>
          <w:sz w:val="24"/>
          <w:szCs w:val="24"/>
          <w:lang w:val="en-ZW"/>
        </w:rPr>
        <w:t>a quo</w:t>
      </w:r>
      <w:r w:rsidR="006C6587" w:rsidRPr="005C4960">
        <w:rPr>
          <w:rFonts w:ascii="Times New Roman" w:eastAsia="Calibri" w:hAnsi="Times New Roman" w:cs="Times New Roman"/>
          <w:sz w:val="24"/>
          <w:szCs w:val="24"/>
          <w:lang w:val="en-ZW"/>
        </w:rPr>
        <w:t xml:space="preserve"> erre</w:t>
      </w:r>
      <w:r w:rsidR="00B61D79">
        <w:rPr>
          <w:rFonts w:ascii="Times New Roman" w:eastAsia="Calibri" w:hAnsi="Times New Roman" w:cs="Times New Roman"/>
          <w:sz w:val="24"/>
          <w:szCs w:val="24"/>
          <w:lang w:val="en-ZW"/>
        </w:rPr>
        <w:t>d in law by holding that s</w:t>
      </w:r>
      <w:r w:rsidR="006C6587" w:rsidRPr="005C4960">
        <w:rPr>
          <w:rFonts w:ascii="Times New Roman" w:eastAsia="Calibri" w:hAnsi="Times New Roman" w:cs="Times New Roman"/>
          <w:sz w:val="24"/>
          <w:szCs w:val="24"/>
          <w:lang w:val="en-ZW"/>
        </w:rPr>
        <w:t xml:space="preserve"> 15 (2) (a) of the Income Tax Act </w:t>
      </w:r>
      <w:r w:rsidR="00B61D79">
        <w:rPr>
          <w:rFonts w:ascii="Times New Roman" w:eastAsia="Calibri" w:hAnsi="Times New Roman" w:cs="Times New Roman"/>
          <w:sz w:val="24"/>
          <w:szCs w:val="24"/>
          <w:lang w:val="en-ZW"/>
        </w:rPr>
        <w:t xml:space="preserve">                 </w:t>
      </w:r>
      <w:r w:rsidR="006C6587" w:rsidRPr="005C4960">
        <w:rPr>
          <w:rFonts w:ascii="Times New Roman" w:eastAsia="Calibri" w:hAnsi="Times New Roman" w:cs="Times New Roman"/>
          <w:sz w:val="24"/>
          <w:szCs w:val="24"/>
          <w:lang w:val="en-ZW"/>
        </w:rPr>
        <w:t>[</w:t>
      </w:r>
      <w:r w:rsidR="006C6587" w:rsidRPr="005C4960">
        <w:rPr>
          <w:rFonts w:ascii="Times New Roman" w:eastAsia="Calibri" w:hAnsi="Times New Roman" w:cs="Times New Roman"/>
          <w:i/>
          <w:sz w:val="24"/>
          <w:szCs w:val="24"/>
          <w:lang w:val="en-ZW"/>
        </w:rPr>
        <w:t>Chapter 23:06</w:t>
      </w:r>
      <w:r w:rsidR="006C6587" w:rsidRPr="005C4960">
        <w:rPr>
          <w:rFonts w:ascii="Times New Roman" w:eastAsia="Calibri" w:hAnsi="Times New Roman" w:cs="Times New Roman"/>
          <w:sz w:val="24"/>
          <w:szCs w:val="24"/>
          <w:lang w:val="en-ZW"/>
        </w:rPr>
        <w:t xml:space="preserve">] obliges the Applicant to match both income and expenditure before deducting such </w:t>
      </w:r>
      <w:r w:rsidR="00FB6B3D" w:rsidRPr="005C4960">
        <w:rPr>
          <w:rFonts w:ascii="Times New Roman" w:eastAsia="Calibri" w:hAnsi="Times New Roman" w:cs="Times New Roman"/>
          <w:sz w:val="24"/>
          <w:szCs w:val="24"/>
          <w:lang w:val="en-ZW"/>
        </w:rPr>
        <w:t>expenditure. (</w:t>
      </w:r>
      <w:r w:rsidR="006C6587" w:rsidRPr="005C4960">
        <w:rPr>
          <w:rFonts w:ascii="Times New Roman" w:eastAsia="Calibri" w:hAnsi="Times New Roman" w:cs="Times New Roman"/>
          <w:i/>
          <w:sz w:val="24"/>
          <w:szCs w:val="24"/>
          <w:lang w:val="en-ZW"/>
        </w:rPr>
        <w:t>sic</w:t>
      </w:r>
      <w:r w:rsidR="006C6587" w:rsidRPr="005C4960">
        <w:rPr>
          <w:rFonts w:ascii="Times New Roman" w:eastAsia="Calibri" w:hAnsi="Times New Roman" w:cs="Times New Roman"/>
          <w:sz w:val="24"/>
          <w:szCs w:val="24"/>
          <w:lang w:val="en-ZW"/>
        </w:rPr>
        <w:t>)</w:t>
      </w:r>
    </w:p>
    <w:p w14:paraId="7195D45A" w14:textId="78994C02" w:rsidR="006C6587" w:rsidRPr="004F13B6" w:rsidRDefault="006C6587" w:rsidP="004F13B6">
      <w:pPr>
        <w:pStyle w:val="ListParagraph"/>
        <w:numPr>
          <w:ilvl w:val="0"/>
          <w:numId w:val="20"/>
        </w:numPr>
        <w:spacing w:line="480" w:lineRule="auto"/>
        <w:ind w:left="993" w:hanging="273"/>
        <w:jc w:val="both"/>
        <w:rPr>
          <w:rFonts w:ascii="Times New Roman" w:eastAsia="Calibri" w:hAnsi="Times New Roman" w:cs="Times New Roman"/>
          <w:sz w:val="24"/>
          <w:szCs w:val="24"/>
          <w:lang w:val="en-ZW"/>
        </w:rPr>
      </w:pPr>
      <w:r w:rsidRPr="004F13B6">
        <w:rPr>
          <w:rFonts w:ascii="Times New Roman" w:eastAsia="Calibri" w:hAnsi="Times New Roman" w:cs="Times New Roman"/>
          <w:sz w:val="24"/>
          <w:szCs w:val="24"/>
          <w:lang w:val="en-ZW"/>
        </w:rPr>
        <w:t xml:space="preserve">The court </w:t>
      </w:r>
      <w:r w:rsidRPr="004F13B6">
        <w:rPr>
          <w:rFonts w:ascii="Times New Roman" w:eastAsia="Calibri" w:hAnsi="Times New Roman" w:cs="Times New Roman"/>
          <w:i/>
          <w:sz w:val="24"/>
          <w:szCs w:val="24"/>
          <w:lang w:val="en-ZW"/>
        </w:rPr>
        <w:t>a quo</w:t>
      </w:r>
      <w:r w:rsidRPr="004F13B6">
        <w:rPr>
          <w:rFonts w:ascii="Times New Roman" w:eastAsia="Calibri" w:hAnsi="Times New Roman" w:cs="Times New Roman"/>
          <w:sz w:val="24"/>
          <w:szCs w:val="24"/>
          <w:lang w:val="en-ZW"/>
        </w:rPr>
        <w:t xml:space="preserve"> erred</w:t>
      </w:r>
      <w:r w:rsidR="00B61D79">
        <w:rPr>
          <w:rFonts w:ascii="Times New Roman" w:eastAsia="Calibri" w:hAnsi="Times New Roman" w:cs="Times New Roman"/>
          <w:sz w:val="24"/>
          <w:szCs w:val="24"/>
          <w:lang w:val="en-ZW"/>
        </w:rPr>
        <w:t xml:space="preserve"> in law, by holding that s</w:t>
      </w:r>
      <w:r w:rsidRPr="004F13B6">
        <w:rPr>
          <w:rFonts w:ascii="Times New Roman" w:eastAsia="Calibri" w:hAnsi="Times New Roman" w:cs="Times New Roman"/>
          <w:sz w:val="24"/>
          <w:szCs w:val="24"/>
          <w:lang w:val="en-ZW"/>
        </w:rPr>
        <w:t xml:space="preserve"> 15 (2) (a) of the Income Tax Act </w:t>
      </w:r>
      <w:r w:rsidR="00B61D79">
        <w:rPr>
          <w:rFonts w:ascii="Times New Roman" w:eastAsia="Calibri" w:hAnsi="Times New Roman" w:cs="Times New Roman"/>
          <w:sz w:val="24"/>
          <w:szCs w:val="24"/>
          <w:lang w:val="en-ZW"/>
        </w:rPr>
        <w:t xml:space="preserve">           </w:t>
      </w:r>
      <w:r w:rsidRPr="004F13B6">
        <w:rPr>
          <w:rFonts w:ascii="Times New Roman" w:eastAsia="Calibri" w:hAnsi="Times New Roman" w:cs="Times New Roman"/>
          <w:sz w:val="24"/>
          <w:szCs w:val="24"/>
          <w:lang w:val="en-ZW"/>
        </w:rPr>
        <w:t>[</w:t>
      </w:r>
      <w:r w:rsidRPr="004F13B6">
        <w:rPr>
          <w:rFonts w:ascii="Times New Roman" w:eastAsia="Calibri" w:hAnsi="Times New Roman" w:cs="Times New Roman"/>
          <w:i/>
          <w:sz w:val="24"/>
          <w:szCs w:val="24"/>
          <w:lang w:val="en-ZW"/>
        </w:rPr>
        <w:t>Chapter 23:06]</w:t>
      </w:r>
      <w:r w:rsidRPr="004F13B6">
        <w:rPr>
          <w:rFonts w:ascii="Times New Roman" w:eastAsia="Calibri" w:hAnsi="Times New Roman" w:cs="Times New Roman"/>
          <w:sz w:val="24"/>
          <w:szCs w:val="24"/>
          <w:lang w:val="en-ZW"/>
        </w:rPr>
        <w:t xml:space="preserve"> requires expenditure to be deducted for the income that was earned from that expenditure.</w:t>
      </w:r>
    </w:p>
    <w:p w14:paraId="1C007271" w14:textId="54511F21" w:rsidR="006C6587" w:rsidRPr="00B61D79" w:rsidRDefault="006C6587" w:rsidP="00B61D79">
      <w:pPr>
        <w:pStyle w:val="ListParagraph"/>
        <w:numPr>
          <w:ilvl w:val="0"/>
          <w:numId w:val="20"/>
        </w:numPr>
        <w:spacing w:line="480" w:lineRule="auto"/>
        <w:ind w:left="993" w:hanging="273"/>
        <w:jc w:val="both"/>
        <w:rPr>
          <w:rFonts w:ascii="Times New Roman" w:eastAsia="Calibri" w:hAnsi="Times New Roman" w:cs="Times New Roman"/>
          <w:sz w:val="24"/>
          <w:szCs w:val="24"/>
          <w:lang w:val="en-ZW"/>
        </w:rPr>
      </w:pPr>
      <w:r w:rsidRPr="00B61D79">
        <w:rPr>
          <w:rFonts w:ascii="Times New Roman" w:eastAsia="Calibri" w:hAnsi="Times New Roman" w:cs="Times New Roman"/>
          <w:sz w:val="24"/>
          <w:szCs w:val="24"/>
          <w:lang w:val="en-ZW"/>
        </w:rPr>
        <w:t xml:space="preserve">The court </w:t>
      </w:r>
      <w:r w:rsidRPr="00B61D79">
        <w:rPr>
          <w:rFonts w:ascii="Times New Roman" w:eastAsia="Calibri" w:hAnsi="Times New Roman" w:cs="Times New Roman"/>
          <w:i/>
          <w:sz w:val="24"/>
          <w:szCs w:val="24"/>
          <w:lang w:val="en-ZW"/>
        </w:rPr>
        <w:t>a quo</w:t>
      </w:r>
      <w:r w:rsidRPr="00B61D79">
        <w:rPr>
          <w:rFonts w:ascii="Times New Roman" w:eastAsia="Calibri" w:hAnsi="Times New Roman" w:cs="Times New Roman"/>
          <w:sz w:val="24"/>
          <w:szCs w:val="24"/>
          <w:lang w:val="en-ZW"/>
        </w:rPr>
        <w:t xml:space="preserve"> erre</w:t>
      </w:r>
      <w:r w:rsidR="00B61D79">
        <w:rPr>
          <w:rFonts w:ascii="Times New Roman" w:eastAsia="Calibri" w:hAnsi="Times New Roman" w:cs="Times New Roman"/>
          <w:sz w:val="24"/>
          <w:szCs w:val="24"/>
          <w:lang w:val="en-ZW"/>
        </w:rPr>
        <w:t>d in law by holding that s</w:t>
      </w:r>
      <w:r w:rsidRPr="00B61D79">
        <w:rPr>
          <w:rFonts w:ascii="Times New Roman" w:eastAsia="Calibri" w:hAnsi="Times New Roman" w:cs="Times New Roman"/>
          <w:sz w:val="24"/>
          <w:szCs w:val="24"/>
          <w:lang w:val="en-ZW"/>
        </w:rPr>
        <w:t xml:space="preserve"> 15 (2) (a) of the Income Tax Act </w:t>
      </w:r>
      <w:r w:rsidR="00B61D79">
        <w:rPr>
          <w:rFonts w:ascii="Times New Roman" w:eastAsia="Calibri" w:hAnsi="Times New Roman" w:cs="Times New Roman"/>
          <w:sz w:val="24"/>
          <w:szCs w:val="24"/>
          <w:lang w:val="en-ZW"/>
        </w:rPr>
        <w:t xml:space="preserve">             </w:t>
      </w:r>
      <w:r w:rsidRPr="00B61D79">
        <w:rPr>
          <w:rFonts w:ascii="Times New Roman" w:eastAsia="Calibri" w:hAnsi="Times New Roman" w:cs="Times New Roman"/>
          <w:sz w:val="24"/>
          <w:szCs w:val="24"/>
          <w:lang w:val="en-ZW"/>
        </w:rPr>
        <w:t>[</w:t>
      </w:r>
      <w:r w:rsidRPr="00B61D79">
        <w:rPr>
          <w:rFonts w:ascii="Times New Roman" w:eastAsia="Calibri" w:hAnsi="Times New Roman" w:cs="Times New Roman"/>
          <w:i/>
          <w:sz w:val="24"/>
          <w:szCs w:val="24"/>
          <w:lang w:val="en-ZW"/>
        </w:rPr>
        <w:t>Chapter 23:06</w:t>
      </w:r>
      <w:r w:rsidR="00B61D79">
        <w:rPr>
          <w:rFonts w:ascii="Times New Roman" w:eastAsia="Calibri" w:hAnsi="Times New Roman" w:cs="Times New Roman"/>
          <w:sz w:val="24"/>
          <w:szCs w:val="24"/>
          <w:lang w:val="en-ZW"/>
        </w:rPr>
        <w:t>] as read with s</w:t>
      </w:r>
      <w:r w:rsidRPr="00B61D79">
        <w:rPr>
          <w:rFonts w:ascii="Times New Roman" w:eastAsia="Calibri" w:hAnsi="Times New Roman" w:cs="Times New Roman"/>
          <w:sz w:val="24"/>
          <w:szCs w:val="24"/>
          <w:lang w:val="en-ZW"/>
        </w:rPr>
        <w:t xml:space="preserve"> 4A (10) of the Finance Act [</w:t>
      </w:r>
      <w:r w:rsidRPr="00B61D79">
        <w:rPr>
          <w:rFonts w:ascii="Times New Roman" w:eastAsia="Calibri" w:hAnsi="Times New Roman" w:cs="Times New Roman"/>
          <w:i/>
          <w:sz w:val="24"/>
          <w:szCs w:val="24"/>
          <w:lang w:val="en-ZW"/>
        </w:rPr>
        <w:t>Chapter 23:04</w:t>
      </w:r>
      <w:r w:rsidRPr="00B61D79">
        <w:rPr>
          <w:rFonts w:ascii="Times New Roman" w:eastAsia="Calibri" w:hAnsi="Times New Roman" w:cs="Times New Roman"/>
          <w:sz w:val="24"/>
          <w:szCs w:val="24"/>
          <w:lang w:val="en-ZW"/>
        </w:rPr>
        <w:t xml:space="preserve">] required deductible expenditure to be apportioned in the same ratio of foreign currency to local currency income. </w:t>
      </w:r>
    </w:p>
    <w:p w14:paraId="58330DB9" w14:textId="40DF3612" w:rsidR="006C6587" w:rsidRPr="005C4960" w:rsidRDefault="006C6587" w:rsidP="00B61D79">
      <w:pPr>
        <w:numPr>
          <w:ilvl w:val="0"/>
          <w:numId w:val="20"/>
        </w:numPr>
        <w:spacing w:line="480" w:lineRule="auto"/>
        <w:ind w:left="993" w:hanging="273"/>
        <w:contextualSpacing/>
        <w:jc w:val="both"/>
        <w:rPr>
          <w:rFonts w:ascii="Times New Roman" w:eastAsia="Calibri" w:hAnsi="Times New Roman" w:cs="Times New Roman"/>
          <w:sz w:val="24"/>
          <w:szCs w:val="24"/>
          <w:lang w:val="en-ZW"/>
        </w:rPr>
      </w:pPr>
      <w:r w:rsidRPr="005C4960">
        <w:rPr>
          <w:rFonts w:ascii="Times New Roman" w:eastAsia="Calibri" w:hAnsi="Times New Roman" w:cs="Times New Roman"/>
          <w:sz w:val="24"/>
          <w:szCs w:val="24"/>
          <w:lang w:val="en-ZW"/>
        </w:rPr>
        <w:t xml:space="preserve">The court </w:t>
      </w:r>
      <w:r w:rsidRPr="005C4960">
        <w:rPr>
          <w:rFonts w:ascii="Times New Roman" w:eastAsia="Calibri" w:hAnsi="Times New Roman" w:cs="Times New Roman"/>
          <w:i/>
          <w:sz w:val="24"/>
          <w:szCs w:val="24"/>
          <w:lang w:val="en-ZW"/>
        </w:rPr>
        <w:t>a quo</w:t>
      </w:r>
      <w:r w:rsidRPr="005C4960">
        <w:rPr>
          <w:rFonts w:ascii="Times New Roman" w:eastAsia="Calibri" w:hAnsi="Times New Roman" w:cs="Times New Roman"/>
          <w:sz w:val="24"/>
          <w:szCs w:val="24"/>
          <w:lang w:val="en-ZW"/>
        </w:rPr>
        <w:t xml:space="preserve"> erred in law by holding that the appellant is </w:t>
      </w:r>
      <w:r w:rsidR="00B61D79">
        <w:rPr>
          <w:rFonts w:ascii="Times New Roman" w:eastAsia="Calibri" w:hAnsi="Times New Roman" w:cs="Times New Roman"/>
          <w:sz w:val="24"/>
          <w:szCs w:val="24"/>
          <w:lang w:val="en-ZW"/>
        </w:rPr>
        <w:t>not entitled in terms of          s</w:t>
      </w:r>
      <w:r w:rsidRPr="005C4960">
        <w:rPr>
          <w:rFonts w:ascii="Times New Roman" w:eastAsia="Calibri" w:hAnsi="Times New Roman" w:cs="Times New Roman"/>
          <w:sz w:val="24"/>
          <w:szCs w:val="24"/>
          <w:lang w:val="en-ZW"/>
        </w:rPr>
        <w:t xml:space="preserve"> 15 (2) (</w:t>
      </w:r>
      <w:r w:rsidR="004D1BE6">
        <w:rPr>
          <w:rFonts w:ascii="Times New Roman" w:eastAsia="Calibri" w:hAnsi="Times New Roman" w:cs="Times New Roman"/>
          <w:sz w:val="24"/>
          <w:szCs w:val="24"/>
          <w:lang w:val="en-ZW"/>
        </w:rPr>
        <w:t>a</w:t>
      </w:r>
      <w:r w:rsidRPr="005C4960">
        <w:rPr>
          <w:rFonts w:ascii="Times New Roman" w:eastAsia="Calibri" w:hAnsi="Times New Roman" w:cs="Times New Roman"/>
          <w:sz w:val="24"/>
          <w:szCs w:val="24"/>
          <w:lang w:val="en-ZW"/>
        </w:rPr>
        <w:t>) of the Income Tax Act [</w:t>
      </w:r>
      <w:r w:rsidRPr="005C4960">
        <w:rPr>
          <w:rFonts w:ascii="Times New Roman" w:eastAsia="Calibri" w:hAnsi="Times New Roman" w:cs="Times New Roman"/>
          <w:i/>
          <w:sz w:val="24"/>
          <w:szCs w:val="24"/>
          <w:lang w:val="en-ZW"/>
        </w:rPr>
        <w:t>Chapter 23:06</w:t>
      </w:r>
      <w:r w:rsidRPr="005C4960">
        <w:rPr>
          <w:rFonts w:ascii="Times New Roman" w:eastAsia="Calibri" w:hAnsi="Times New Roman" w:cs="Times New Roman"/>
          <w:sz w:val="24"/>
          <w:szCs w:val="24"/>
          <w:lang w:val="en-ZW"/>
        </w:rPr>
        <w:t xml:space="preserve">] to deduct deductible expenditure in </w:t>
      </w:r>
      <w:r w:rsidRPr="005C4960">
        <w:rPr>
          <w:rFonts w:ascii="Times New Roman" w:eastAsia="Calibri" w:hAnsi="Times New Roman" w:cs="Times New Roman"/>
          <w:sz w:val="24"/>
          <w:szCs w:val="24"/>
          <w:lang w:val="en-ZW"/>
        </w:rPr>
        <w:lastRenderedPageBreak/>
        <w:t xml:space="preserve">full in the currency of invoice without apportioning such expenditure to another currency. </w:t>
      </w:r>
    </w:p>
    <w:p w14:paraId="39A266A5" w14:textId="1572248B" w:rsidR="006C6587" w:rsidRPr="005C4960" w:rsidRDefault="006C6587" w:rsidP="00B61D79">
      <w:pPr>
        <w:numPr>
          <w:ilvl w:val="0"/>
          <w:numId w:val="20"/>
        </w:numPr>
        <w:spacing w:line="480" w:lineRule="auto"/>
        <w:ind w:left="993" w:hanging="284"/>
        <w:contextualSpacing/>
        <w:jc w:val="both"/>
        <w:rPr>
          <w:rFonts w:ascii="Times New Roman" w:eastAsia="Calibri" w:hAnsi="Times New Roman" w:cs="Times New Roman"/>
          <w:sz w:val="24"/>
          <w:szCs w:val="24"/>
          <w:lang w:val="en-ZW"/>
        </w:rPr>
      </w:pPr>
      <w:r w:rsidRPr="005C4960">
        <w:rPr>
          <w:rFonts w:ascii="Times New Roman" w:eastAsia="Calibri" w:hAnsi="Times New Roman" w:cs="Times New Roman"/>
          <w:sz w:val="24"/>
          <w:szCs w:val="24"/>
          <w:lang w:val="en-ZW"/>
        </w:rPr>
        <w:t xml:space="preserve">The court </w:t>
      </w:r>
      <w:r w:rsidRPr="005C4960">
        <w:rPr>
          <w:rFonts w:ascii="Times New Roman" w:eastAsia="Calibri" w:hAnsi="Times New Roman" w:cs="Times New Roman"/>
          <w:i/>
          <w:sz w:val="24"/>
          <w:szCs w:val="24"/>
          <w:lang w:val="en-ZW"/>
        </w:rPr>
        <w:t>a quo</w:t>
      </w:r>
      <w:r w:rsidRPr="005C4960">
        <w:rPr>
          <w:rFonts w:ascii="Times New Roman" w:eastAsia="Calibri" w:hAnsi="Times New Roman" w:cs="Times New Roman"/>
          <w:sz w:val="24"/>
          <w:szCs w:val="24"/>
          <w:lang w:val="en-ZW"/>
        </w:rPr>
        <w:t xml:space="preserve"> erred in law by holding that, by requiring apportionment of expenditure based on currency, the respondent’s Public Notices 26 of 2019, 49 of 2020, 36 of 2021 and 57 of 2021 did not prescribe a computation of income tax meth</w:t>
      </w:r>
      <w:r w:rsidR="00B61D79">
        <w:rPr>
          <w:rFonts w:ascii="Times New Roman" w:eastAsia="Calibri" w:hAnsi="Times New Roman" w:cs="Times New Roman"/>
          <w:sz w:val="24"/>
          <w:szCs w:val="24"/>
          <w:lang w:val="en-ZW"/>
        </w:rPr>
        <w:t>od which was ultra vires s</w:t>
      </w:r>
      <w:r w:rsidRPr="005C4960">
        <w:rPr>
          <w:rFonts w:ascii="Times New Roman" w:eastAsia="Calibri" w:hAnsi="Times New Roman" w:cs="Times New Roman"/>
          <w:sz w:val="24"/>
          <w:szCs w:val="24"/>
          <w:lang w:val="en-ZW"/>
        </w:rPr>
        <w:t xml:space="preserve"> 15 (2) of the </w:t>
      </w:r>
      <w:r w:rsidR="00B61D79">
        <w:rPr>
          <w:rFonts w:ascii="Times New Roman" w:eastAsia="Calibri" w:hAnsi="Times New Roman" w:cs="Times New Roman"/>
          <w:sz w:val="24"/>
          <w:szCs w:val="24"/>
          <w:lang w:val="en-ZW"/>
        </w:rPr>
        <w:t>Finance Act as read with s</w:t>
      </w:r>
      <w:r w:rsidRPr="005C4960">
        <w:rPr>
          <w:rFonts w:ascii="Times New Roman" w:eastAsia="Calibri" w:hAnsi="Times New Roman" w:cs="Times New Roman"/>
          <w:sz w:val="24"/>
          <w:szCs w:val="24"/>
          <w:lang w:val="en-ZW"/>
        </w:rPr>
        <w:t xml:space="preserve"> 4</w:t>
      </w:r>
      <w:r w:rsidR="00581B30" w:rsidRPr="005C4960">
        <w:rPr>
          <w:rFonts w:ascii="Times New Roman" w:eastAsia="Calibri" w:hAnsi="Times New Roman" w:cs="Times New Roman"/>
          <w:sz w:val="24"/>
          <w:szCs w:val="24"/>
          <w:lang w:val="en-ZW"/>
        </w:rPr>
        <w:t xml:space="preserve"> </w:t>
      </w:r>
      <w:r w:rsidRPr="005C4960">
        <w:rPr>
          <w:rFonts w:ascii="Times New Roman" w:eastAsia="Calibri" w:hAnsi="Times New Roman" w:cs="Times New Roman"/>
          <w:sz w:val="24"/>
          <w:szCs w:val="24"/>
          <w:lang w:val="en-ZW"/>
        </w:rPr>
        <w:t>A (10) of the Finance Act.</w:t>
      </w:r>
      <w:r w:rsidR="007156A5" w:rsidRPr="005C4960">
        <w:rPr>
          <w:rFonts w:ascii="Times New Roman" w:eastAsia="Calibri" w:hAnsi="Times New Roman" w:cs="Times New Roman"/>
          <w:sz w:val="24"/>
          <w:szCs w:val="24"/>
          <w:lang w:val="en-ZW"/>
        </w:rPr>
        <w:t>”</w:t>
      </w:r>
    </w:p>
    <w:p w14:paraId="2648AC1F" w14:textId="77777777" w:rsidR="003E3ABF" w:rsidRPr="005C4960" w:rsidRDefault="003E3ABF" w:rsidP="005C4960">
      <w:pPr>
        <w:spacing w:line="480" w:lineRule="auto"/>
        <w:ind w:left="720"/>
        <w:contextualSpacing/>
        <w:jc w:val="both"/>
        <w:rPr>
          <w:rFonts w:ascii="Times New Roman" w:eastAsia="Calibri" w:hAnsi="Times New Roman" w:cs="Times New Roman"/>
          <w:sz w:val="24"/>
          <w:szCs w:val="24"/>
          <w:lang w:val="en-ZW"/>
        </w:rPr>
      </w:pPr>
      <w:r w:rsidRPr="005C4960">
        <w:rPr>
          <w:rFonts w:ascii="Times New Roman" w:hAnsi="Times New Roman" w:cs="Times New Roman"/>
          <w:sz w:val="24"/>
          <w:szCs w:val="24"/>
          <w:lang w:val="en-GB"/>
        </w:rPr>
        <w:tab/>
      </w:r>
      <w:r w:rsidRPr="005C4960">
        <w:rPr>
          <w:rFonts w:ascii="Times New Roman" w:hAnsi="Times New Roman" w:cs="Times New Roman"/>
          <w:sz w:val="24"/>
          <w:szCs w:val="24"/>
          <w:lang w:val="en-GB"/>
        </w:rPr>
        <w:tab/>
      </w:r>
      <w:r w:rsidRPr="005C4960">
        <w:rPr>
          <w:rFonts w:ascii="Times New Roman" w:hAnsi="Times New Roman" w:cs="Times New Roman"/>
          <w:sz w:val="24"/>
          <w:szCs w:val="24"/>
          <w:lang w:val="en-GB"/>
        </w:rPr>
        <w:tab/>
      </w:r>
    </w:p>
    <w:p w14:paraId="4CFFF57B" w14:textId="77777777" w:rsidR="00FF0A68" w:rsidRPr="005C4960" w:rsidRDefault="00FF0A68" w:rsidP="00B61D79">
      <w:pPr>
        <w:spacing w:after="0" w:line="480" w:lineRule="auto"/>
        <w:ind w:left="-5" w:hanging="10"/>
        <w:jc w:val="both"/>
        <w:rPr>
          <w:rFonts w:ascii="Times New Roman" w:hAnsi="Times New Roman" w:cs="Times New Roman"/>
          <w:b/>
          <w:bCs/>
          <w:sz w:val="24"/>
          <w:szCs w:val="24"/>
          <w:u w:val="single"/>
          <w:lang w:val="en-GB"/>
        </w:rPr>
      </w:pPr>
      <w:r w:rsidRPr="005C4960">
        <w:rPr>
          <w:rFonts w:ascii="Times New Roman" w:hAnsi="Times New Roman" w:cs="Times New Roman"/>
          <w:b/>
          <w:bCs/>
          <w:sz w:val="24"/>
          <w:szCs w:val="24"/>
          <w:u w:val="single"/>
          <w:lang w:val="en-GB"/>
        </w:rPr>
        <w:t>APPELLANT’S SUBMISSIONS</w:t>
      </w:r>
    </w:p>
    <w:p w14:paraId="12794FD2" w14:textId="39EA543E" w:rsidR="006C6587" w:rsidRPr="005C4960" w:rsidRDefault="00456E52" w:rsidP="008A5903">
      <w:pPr>
        <w:spacing w:after="0" w:line="480" w:lineRule="auto"/>
        <w:ind w:firstLine="1440"/>
        <w:jc w:val="both"/>
        <w:rPr>
          <w:rFonts w:ascii="Times New Roman" w:hAnsi="Times New Roman" w:cs="Times New Roman"/>
          <w:sz w:val="24"/>
          <w:szCs w:val="24"/>
          <w:lang w:val="en-ZW"/>
        </w:rPr>
      </w:pPr>
      <w:r w:rsidRPr="005C4960">
        <w:rPr>
          <w:rFonts w:ascii="Times New Roman" w:hAnsi="Times New Roman" w:cs="Times New Roman"/>
          <w:sz w:val="24"/>
          <w:szCs w:val="24"/>
          <w:lang w:val="en-ZW"/>
        </w:rPr>
        <w:t xml:space="preserve">Mr </w:t>
      </w:r>
      <w:r w:rsidRPr="005C4960">
        <w:rPr>
          <w:rFonts w:ascii="Times New Roman" w:hAnsi="Times New Roman" w:cs="Times New Roman"/>
          <w:i/>
          <w:iCs/>
          <w:sz w:val="24"/>
          <w:szCs w:val="24"/>
          <w:lang w:val="en-ZW"/>
        </w:rPr>
        <w:t>Mpofu</w:t>
      </w:r>
      <w:r w:rsidRPr="005C4960">
        <w:rPr>
          <w:rFonts w:ascii="Times New Roman" w:hAnsi="Times New Roman" w:cs="Times New Roman"/>
          <w:sz w:val="24"/>
          <w:szCs w:val="24"/>
          <w:lang w:val="en-ZW"/>
        </w:rPr>
        <w:t>, c</w:t>
      </w:r>
      <w:r w:rsidR="006C6587" w:rsidRPr="005C4960">
        <w:rPr>
          <w:rFonts w:ascii="Times New Roman" w:hAnsi="Times New Roman" w:cs="Times New Roman"/>
          <w:sz w:val="24"/>
          <w:szCs w:val="24"/>
          <w:lang w:val="en-ZW"/>
        </w:rPr>
        <w:t>ounsel for the appellant</w:t>
      </w:r>
      <w:r w:rsidR="00B73E7F">
        <w:rPr>
          <w:rFonts w:ascii="Times New Roman" w:hAnsi="Times New Roman" w:cs="Times New Roman"/>
          <w:sz w:val="24"/>
          <w:szCs w:val="24"/>
          <w:lang w:val="en-ZW"/>
        </w:rPr>
        <w:t>,</w:t>
      </w:r>
      <w:r w:rsidR="006C6587" w:rsidRPr="005C4960">
        <w:rPr>
          <w:rFonts w:ascii="Times New Roman" w:hAnsi="Times New Roman" w:cs="Times New Roman"/>
          <w:sz w:val="24"/>
          <w:szCs w:val="24"/>
          <w:lang w:val="en-ZW"/>
        </w:rPr>
        <w:t xml:space="preserve"> </w:t>
      </w:r>
      <w:r w:rsidRPr="005C4960">
        <w:rPr>
          <w:rFonts w:ascii="Times New Roman" w:hAnsi="Times New Roman" w:cs="Times New Roman"/>
          <w:sz w:val="24"/>
          <w:szCs w:val="24"/>
          <w:lang w:val="en-ZW"/>
        </w:rPr>
        <w:t>submitt</w:t>
      </w:r>
      <w:r w:rsidR="006C6587" w:rsidRPr="005C4960">
        <w:rPr>
          <w:rFonts w:ascii="Times New Roman" w:hAnsi="Times New Roman" w:cs="Times New Roman"/>
          <w:sz w:val="24"/>
          <w:szCs w:val="24"/>
          <w:lang w:val="en-ZW"/>
        </w:rPr>
        <w:t xml:space="preserve">ed that the ITA does not have a provision for the splitting of expenses and income based on currency. </w:t>
      </w:r>
      <w:r w:rsidR="00DA0E6C">
        <w:rPr>
          <w:rFonts w:ascii="Times New Roman" w:hAnsi="Times New Roman" w:cs="Times New Roman"/>
          <w:sz w:val="24"/>
          <w:szCs w:val="24"/>
          <w:lang w:val="en-ZW"/>
        </w:rPr>
        <w:t xml:space="preserve"> </w:t>
      </w:r>
      <w:r w:rsidR="006C6587" w:rsidRPr="005C4960">
        <w:rPr>
          <w:rFonts w:ascii="Times New Roman" w:hAnsi="Times New Roman" w:cs="Times New Roman"/>
          <w:sz w:val="24"/>
          <w:szCs w:val="24"/>
          <w:lang w:val="en-ZW"/>
        </w:rPr>
        <w:t>Cou</w:t>
      </w:r>
      <w:r w:rsidR="00B61D79">
        <w:rPr>
          <w:rFonts w:ascii="Times New Roman" w:hAnsi="Times New Roman" w:cs="Times New Roman"/>
          <w:sz w:val="24"/>
          <w:szCs w:val="24"/>
          <w:lang w:val="en-ZW"/>
        </w:rPr>
        <w:t>nsel further argued that s</w:t>
      </w:r>
      <w:r w:rsidR="006C6587" w:rsidRPr="005C4960">
        <w:rPr>
          <w:rFonts w:ascii="Times New Roman" w:hAnsi="Times New Roman" w:cs="Times New Roman"/>
          <w:sz w:val="24"/>
          <w:szCs w:val="24"/>
          <w:lang w:val="en-ZW"/>
        </w:rPr>
        <w:t xml:space="preserve"> 15 of the ITA does not provide for such splitting of expenses and income. </w:t>
      </w:r>
      <w:r w:rsidR="00DA0E6C">
        <w:rPr>
          <w:rFonts w:ascii="Times New Roman" w:hAnsi="Times New Roman" w:cs="Times New Roman"/>
          <w:sz w:val="24"/>
          <w:szCs w:val="24"/>
          <w:lang w:val="en-ZW"/>
        </w:rPr>
        <w:t xml:space="preserve"> </w:t>
      </w:r>
      <w:r w:rsidR="008061B9" w:rsidRPr="005C4960">
        <w:rPr>
          <w:rFonts w:ascii="Times New Roman" w:hAnsi="Times New Roman" w:cs="Times New Roman"/>
          <w:sz w:val="24"/>
          <w:szCs w:val="24"/>
          <w:lang w:val="en-ZW"/>
        </w:rPr>
        <w:t>In addition</w:t>
      </w:r>
      <w:r w:rsidR="006C6587" w:rsidRPr="005C4960">
        <w:rPr>
          <w:rFonts w:ascii="Times New Roman" w:hAnsi="Times New Roman" w:cs="Times New Roman"/>
          <w:sz w:val="24"/>
          <w:szCs w:val="24"/>
          <w:lang w:val="en-ZW"/>
        </w:rPr>
        <w:t xml:space="preserve">, </w:t>
      </w:r>
      <w:r w:rsidR="008061B9" w:rsidRPr="005C4960">
        <w:rPr>
          <w:rFonts w:ascii="Times New Roman" w:hAnsi="Times New Roman" w:cs="Times New Roman"/>
          <w:sz w:val="24"/>
          <w:szCs w:val="24"/>
          <w:lang w:val="en-ZW"/>
        </w:rPr>
        <w:t xml:space="preserve">counsel argued </w:t>
      </w:r>
      <w:r w:rsidR="006C6587" w:rsidRPr="005C4960">
        <w:rPr>
          <w:rFonts w:ascii="Times New Roman" w:hAnsi="Times New Roman" w:cs="Times New Roman"/>
          <w:sz w:val="24"/>
          <w:szCs w:val="24"/>
          <w:lang w:val="en-ZW"/>
        </w:rPr>
        <w:t xml:space="preserve">that the matching principle is not part of our law. </w:t>
      </w:r>
      <w:r w:rsidR="00A01E1B">
        <w:rPr>
          <w:rFonts w:ascii="Times New Roman" w:hAnsi="Times New Roman" w:cs="Times New Roman"/>
          <w:sz w:val="24"/>
          <w:szCs w:val="24"/>
          <w:lang w:val="en-ZW"/>
        </w:rPr>
        <w:t xml:space="preserve"> </w:t>
      </w:r>
      <w:r w:rsidR="006C6587" w:rsidRPr="005C4960">
        <w:rPr>
          <w:rFonts w:ascii="Times New Roman" w:hAnsi="Times New Roman" w:cs="Times New Roman"/>
          <w:sz w:val="24"/>
          <w:szCs w:val="24"/>
          <w:lang w:val="en-ZW"/>
        </w:rPr>
        <w:t xml:space="preserve">It was counsel’s argument that tax must be calculated in terms of the </w:t>
      </w:r>
      <w:r w:rsidR="008061B9" w:rsidRPr="005C4960">
        <w:rPr>
          <w:rFonts w:ascii="Times New Roman" w:hAnsi="Times New Roman" w:cs="Times New Roman"/>
          <w:sz w:val="24"/>
          <w:szCs w:val="24"/>
          <w:lang w:val="en-ZW"/>
        </w:rPr>
        <w:t>IT</w:t>
      </w:r>
      <w:r w:rsidR="006C6587" w:rsidRPr="005C4960">
        <w:rPr>
          <w:rFonts w:ascii="Times New Roman" w:hAnsi="Times New Roman" w:cs="Times New Roman"/>
          <w:sz w:val="24"/>
          <w:szCs w:val="24"/>
          <w:lang w:val="en-ZW"/>
        </w:rPr>
        <w:t>A</w:t>
      </w:r>
      <w:r w:rsidR="008061B9" w:rsidRPr="005C4960">
        <w:rPr>
          <w:rFonts w:ascii="Times New Roman" w:hAnsi="Times New Roman" w:cs="Times New Roman"/>
          <w:sz w:val="24"/>
          <w:szCs w:val="24"/>
          <w:lang w:val="en-ZW"/>
        </w:rPr>
        <w:t xml:space="preserve"> and</w:t>
      </w:r>
      <w:r w:rsidR="006C6587" w:rsidRPr="005C4960">
        <w:rPr>
          <w:rFonts w:ascii="Times New Roman" w:hAnsi="Times New Roman" w:cs="Times New Roman"/>
          <w:sz w:val="24"/>
          <w:szCs w:val="24"/>
          <w:lang w:val="en-ZW"/>
        </w:rPr>
        <w:t xml:space="preserve"> that if there is any ambiguity in the </w:t>
      </w:r>
      <w:r w:rsidR="008061B9" w:rsidRPr="005C4960">
        <w:rPr>
          <w:rFonts w:ascii="Times New Roman" w:hAnsi="Times New Roman" w:cs="Times New Roman"/>
          <w:sz w:val="24"/>
          <w:szCs w:val="24"/>
          <w:lang w:val="en-ZW"/>
        </w:rPr>
        <w:t>IT</w:t>
      </w:r>
      <w:r w:rsidR="006C6587" w:rsidRPr="005C4960">
        <w:rPr>
          <w:rFonts w:ascii="Times New Roman" w:hAnsi="Times New Roman" w:cs="Times New Roman"/>
          <w:sz w:val="24"/>
          <w:szCs w:val="24"/>
          <w:lang w:val="en-ZW"/>
        </w:rPr>
        <w:t>A</w:t>
      </w:r>
      <w:r w:rsidR="008061B9" w:rsidRPr="005C4960">
        <w:rPr>
          <w:rFonts w:ascii="Times New Roman" w:hAnsi="Times New Roman" w:cs="Times New Roman"/>
          <w:sz w:val="24"/>
          <w:szCs w:val="24"/>
          <w:lang w:val="en-ZW"/>
        </w:rPr>
        <w:t>,</w:t>
      </w:r>
      <w:r w:rsidR="006C6587" w:rsidRPr="005C4960">
        <w:rPr>
          <w:rFonts w:ascii="Times New Roman" w:hAnsi="Times New Roman" w:cs="Times New Roman"/>
          <w:sz w:val="24"/>
          <w:szCs w:val="24"/>
          <w:lang w:val="en-ZW"/>
        </w:rPr>
        <w:t xml:space="preserve"> it must be resolved against the tax</w:t>
      </w:r>
      <w:r w:rsidR="008061B9" w:rsidRPr="005C4960">
        <w:rPr>
          <w:rFonts w:ascii="Times New Roman" w:hAnsi="Times New Roman" w:cs="Times New Roman"/>
          <w:sz w:val="24"/>
          <w:szCs w:val="24"/>
          <w:lang w:val="en-ZW"/>
        </w:rPr>
        <w:t xml:space="preserve"> authority</w:t>
      </w:r>
      <w:r w:rsidR="006C6587" w:rsidRPr="005C4960">
        <w:rPr>
          <w:rFonts w:ascii="Times New Roman" w:hAnsi="Times New Roman" w:cs="Times New Roman"/>
          <w:sz w:val="24"/>
          <w:szCs w:val="24"/>
          <w:lang w:val="en-ZW"/>
        </w:rPr>
        <w:t xml:space="preserve"> and that the tax payer must pay what is due and nothing more or less. Counsel maintained that the fixed 60/40 ratio could not apply to tax assessments as tax years differ from year to year and as such</w:t>
      </w:r>
      <w:r w:rsidR="00FD112B" w:rsidRPr="005C4960">
        <w:rPr>
          <w:rFonts w:ascii="Times New Roman" w:hAnsi="Times New Roman" w:cs="Times New Roman"/>
          <w:sz w:val="24"/>
          <w:szCs w:val="24"/>
          <w:lang w:val="en-ZW"/>
        </w:rPr>
        <w:t>,</w:t>
      </w:r>
      <w:r w:rsidR="006C6587" w:rsidRPr="005C4960">
        <w:rPr>
          <w:rFonts w:ascii="Times New Roman" w:hAnsi="Times New Roman" w:cs="Times New Roman"/>
          <w:sz w:val="24"/>
          <w:szCs w:val="24"/>
          <w:lang w:val="en-ZW"/>
        </w:rPr>
        <w:t xml:space="preserve"> there could not be a one size fits all approach for deduction of expenses from income as provided for in te</w:t>
      </w:r>
      <w:r w:rsidR="00B61D79">
        <w:rPr>
          <w:rFonts w:ascii="Times New Roman" w:hAnsi="Times New Roman" w:cs="Times New Roman"/>
          <w:sz w:val="24"/>
          <w:szCs w:val="24"/>
          <w:lang w:val="en-ZW"/>
        </w:rPr>
        <w:t>rms of s</w:t>
      </w:r>
      <w:r w:rsidR="006C6587" w:rsidRPr="005C4960">
        <w:rPr>
          <w:rFonts w:ascii="Times New Roman" w:hAnsi="Times New Roman" w:cs="Times New Roman"/>
          <w:sz w:val="24"/>
          <w:szCs w:val="24"/>
          <w:lang w:val="en-ZW"/>
        </w:rPr>
        <w:t xml:space="preserve"> 15 of the IT</w:t>
      </w:r>
      <w:r w:rsidR="004820E1" w:rsidRPr="005C4960">
        <w:rPr>
          <w:rFonts w:ascii="Times New Roman" w:hAnsi="Times New Roman" w:cs="Times New Roman"/>
          <w:sz w:val="24"/>
          <w:szCs w:val="24"/>
          <w:lang w:val="en-ZW"/>
        </w:rPr>
        <w:t>A</w:t>
      </w:r>
      <w:r w:rsidR="006C6587" w:rsidRPr="005C4960">
        <w:rPr>
          <w:rFonts w:ascii="Times New Roman" w:hAnsi="Times New Roman" w:cs="Times New Roman"/>
          <w:sz w:val="24"/>
          <w:szCs w:val="24"/>
          <w:lang w:val="en-ZW"/>
        </w:rPr>
        <w:t xml:space="preserve">. </w:t>
      </w:r>
    </w:p>
    <w:p w14:paraId="3BD10435" w14:textId="77777777" w:rsidR="00B61D79" w:rsidRDefault="00B61D79" w:rsidP="00B61D79">
      <w:pPr>
        <w:spacing w:after="0" w:line="480" w:lineRule="auto"/>
        <w:jc w:val="both"/>
        <w:rPr>
          <w:rFonts w:ascii="Times New Roman" w:hAnsi="Times New Roman" w:cs="Times New Roman"/>
          <w:sz w:val="24"/>
          <w:szCs w:val="24"/>
          <w:lang w:val="en-ZW"/>
        </w:rPr>
      </w:pPr>
    </w:p>
    <w:p w14:paraId="52F7E07D" w14:textId="034326E6" w:rsidR="006C6587" w:rsidRDefault="006C6587" w:rsidP="00A01E1B">
      <w:pPr>
        <w:spacing w:after="173" w:line="480" w:lineRule="auto"/>
        <w:ind w:firstLine="1440"/>
        <w:jc w:val="both"/>
        <w:rPr>
          <w:rFonts w:ascii="Times New Roman" w:hAnsi="Times New Roman" w:cs="Times New Roman"/>
          <w:sz w:val="24"/>
          <w:szCs w:val="24"/>
          <w:lang w:val="en-ZW"/>
        </w:rPr>
      </w:pPr>
      <w:r w:rsidRPr="005C4960">
        <w:rPr>
          <w:rFonts w:ascii="Times New Roman" w:hAnsi="Times New Roman" w:cs="Times New Roman"/>
          <w:sz w:val="24"/>
          <w:szCs w:val="24"/>
          <w:lang w:val="en-ZW"/>
        </w:rPr>
        <w:t xml:space="preserve">With regard to the matching principle, counsel argued that the decision in </w:t>
      </w:r>
      <w:r w:rsidR="00C52A61">
        <w:rPr>
          <w:rFonts w:ascii="Times New Roman" w:hAnsi="Times New Roman" w:cs="Times New Roman"/>
          <w:sz w:val="24"/>
          <w:szCs w:val="24"/>
          <w:lang w:val="en-ZW"/>
        </w:rPr>
        <w:t xml:space="preserve">                 </w:t>
      </w:r>
      <w:r w:rsidRPr="005C4960">
        <w:rPr>
          <w:rFonts w:ascii="Times New Roman" w:hAnsi="Times New Roman" w:cs="Times New Roman"/>
          <w:i/>
          <w:sz w:val="24"/>
          <w:szCs w:val="24"/>
          <w:lang w:val="en-ZW"/>
        </w:rPr>
        <w:t xml:space="preserve">Delta Beverages (Pvt) Ltd </w:t>
      </w:r>
      <w:r w:rsidRPr="00C52A61">
        <w:rPr>
          <w:rFonts w:ascii="Times New Roman" w:hAnsi="Times New Roman" w:cs="Times New Roman"/>
          <w:sz w:val="24"/>
          <w:szCs w:val="24"/>
          <w:lang w:val="en-ZW"/>
        </w:rPr>
        <w:t>v</w:t>
      </w:r>
      <w:r w:rsidRPr="005C4960">
        <w:rPr>
          <w:rFonts w:ascii="Times New Roman" w:hAnsi="Times New Roman" w:cs="Times New Roman"/>
          <w:i/>
          <w:sz w:val="24"/>
          <w:szCs w:val="24"/>
          <w:lang w:val="en-ZW"/>
        </w:rPr>
        <w:t xml:space="preserve"> Zimbabwe Revenue Authority</w:t>
      </w:r>
      <w:r w:rsidRPr="005C4960">
        <w:rPr>
          <w:rFonts w:ascii="Times New Roman" w:hAnsi="Times New Roman" w:cs="Times New Roman"/>
          <w:sz w:val="24"/>
          <w:szCs w:val="24"/>
          <w:lang w:val="en-ZW"/>
        </w:rPr>
        <w:t xml:space="preserve"> SC 3/22 wherein the court found that the matching principle was part of our law, was wrongly decided as it is impossible to match expenditure and incom</w:t>
      </w:r>
      <w:r w:rsidR="00A01E1B">
        <w:rPr>
          <w:rFonts w:ascii="Times New Roman" w:hAnsi="Times New Roman" w:cs="Times New Roman"/>
          <w:sz w:val="24"/>
          <w:szCs w:val="24"/>
          <w:lang w:val="en-ZW"/>
        </w:rPr>
        <w:t xml:space="preserve">e in a year.  </w:t>
      </w:r>
      <w:r w:rsidR="00C52A61">
        <w:rPr>
          <w:rFonts w:ascii="Times New Roman" w:hAnsi="Times New Roman" w:cs="Times New Roman"/>
          <w:sz w:val="24"/>
          <w:szCs w:val="24"/>
          <w:lang w:val="en-ZW"/>
        </w:rPr>
        <w:t>Counsel urged the c</w:t>
      </w:r>
      <w:r w:rsidRPr="005C4960">
        <w:rPr>
          <w:rFonts w:ascii="Times New Roman" w:hAnsi="Times New Roman" w:cs="Times New Roman"/>
          <w:sz w:val="24"/>
          <w:szCs w:val="24"/>
          <w:lang w:val="en-ZW"/>
        </w:rPr>
        <w:t xml:space="preserve">ourt to have regard to the case of </w:t>
      </w:r>
      <w:r w:rsidR="00C52A61">
        <w:rPr>
          <w:rFonts w:ascii="Times New Roman" w:hAnsi="Times New Roman" w:cs="Times New Roman"/>
          <w:sz w:val="24"/>
          <w:szCs w:val="24"/>
          <w:lang w:val="en-ZW"/>
        </w:rPr>
        <w:t xml:space="preserve">                        </w:t>
      </w:r>
      <w:r w:rsidRPr="005C4960">
        <w:rPr>
          <w:rFonts w:ascii="Times New Roman" w:hAnsi="Times New Roman" w:cs="Times New Roman"/>
          <w:i/>
          <w:sz w:val="24"/>
          <w:szCs w:val="24"/>
          <w:lang w:val="en-ZW"/>
        </w:rPr>
        <w:t xml:space="preserve">SZ (Pvt) Ltd </w:t>
      </w:r>
      <w:r w:rsidRPr="00C52A61">
        <w:rPr>
          <w:rFonts w:ascii="Times New Roman" w:hAnsi="Times New Roman" w:cs="Times New Roman"/>
          <w:sz w:val="24"/>
          <w:szCs w:val="24"/>
          <w:lang w:val="en-ZW"/>
        </w:rPr>
        <w:t>v</w:t>
      </w:r>
      <w:r w:rsidRPr="005C4960">
        <w:rPr>
          <w:rFonts w:ascii="Times New Roman" w:hAnsi="Times New Roman" w:cs="Times New Roman"/>
          <w:i/>
          <w:sz w:val="24"/>
          <w:szCs w:val="24"/>
          <w:lang w:val="en-ZW"/>
        </w:rPr>
        <w:t xml:space="preserve"> ZIMRA </w:t>
      </w:r>
      <w:r w:rsidRPr="005C4960">
        <w:rPr>
          <w:rFonts w:ascii="Times New Roman" w:hAnsi="Times New Roman" w:cs="Times New Roman"/>
          <w:sz w:val="24"/>
          <w:szCs w:val="24"/>
          <w:lang w:val="en-ZW"/>
        </w:rPr>
        <w:t xml:space="preserve">HH 142/20 wherein it was held that the matching principle is not part of our </w:t>
      </w:r>
      <w:r w:rsidRPr="005C4960">
        <w:rPr>
          <w:rFonts w:ascii="Times New Roman" w:hAnsi="Times New Roman" w:cs="Times New Roman"/>
          <w:sz w:val="24"/>
          <w:szCs w:val="24"/>
          <w:lang w:val="en-ZW"/>
        </w:rPr>
        <w:lastRenderedPageBreak/>
        <w:t xml:space="preserve">law. </w:t>
      </w:r>
      <w:r w:rsidR="00DA0E6C">
        <w:rPr>
          <w:rFonts w:ascii="Times New Roman" w:hAnsi="Times New Roman" w:cs="Times New Roman"/>
          <w:sz w:val="24"/>
          <w:szCs w:val="24"/>
          <w:lang w:val="en-ZW"/>
        </w:rPr>
        <w:t xml:space="preserve"> </w:t>
      </w:r>
      <w:r w:rsidRPr="005C4960">
        <w:rPr>
          <w:rFonts w:ascii="Times New Roman" w:hAnsi="Times New Roman" w:cs="Times New Roman"/>
          <w:sz w:val="24"/>
          <w:szCs w:val="24"/>
          <w:lang w:val="en-ZW"/>
        </w:rPr>
        <w:t xml:space="preserve">Counsel also argued that the decision of the court </w:t>
      </w:r>
      <w:r w:rsidRPr="005C4960">
        <w:rPr>
          <w:rFonts w:ascii="Times New Roman" w:hAnsi="Times New Roman" w:cs="Times New Roman"/>
          <w:i/>
          <w:sz w:val="24"/>
          <w:szCs w:val="24"/>
          <w:lang w:val="en-ZW"/>
        </w:rPr>
        <w:t>a quo</w:t>
      </w:r>
      <w:r w:rsidRPr="005C4960">
        <w:rPr>
          <w:rFonts w:ascii="Times New Roman" w:hAnsi="Times New Roman" w:cs="Times New Roman"/>
          <w:sz w:val="24"/>
          <w:szCs w:val="24"/>
          <w:lang w:val="en-ZW"/>
        </w:rPr>
        <w:t xml:space="preserve"> was erroneous as it gave regard to p</w:t>
      </w:r>
      <w:r w:rsidR="002C7EA5" w:rsidRPr="005C4960">
        <w:rPr>
          <w:rFonts w:ascii="Times New Roman" w:hAnsi="Times New Roman" w:cs="Times New Roman"/>
          <w:sz w:val="24"/>
          <w:szCs w:val="24"/>
          <w:lang w:val="en-ZW"/>
        </w:rPr>
        <w:t>ublic</w:t>
      </w:r>
      <w:r w:rsidRPr="005C4960">
        <w:rPr>
          <w:rFonts w:ascii="Times New Roman" w:hAnsi="Times New Roman" w:cs="Times New Roman"/>
          <w:sz w:val="24"/>
          <w:szCs w:val="24"/>
          <w:lang w:val="en-ZW"/>
        </w:rPr>
        <w:t xml:space="preserve"> notices which are not part of our law</w:t>
      </w:r>
      <w:r w:rsidR="00880464" w:rsidRPr="005C4960">
        <w:rPr>
          <w:rFonts w:ascii="Times New Roman" w:hAnsi="Times New Roman" w:cs="Times New Roman"/>
          <w:sz w:val="24"/>
          <w:szCs w:val="24"/>
          <w:lang w:val="en-ZW"/>
        </w:rPr>
        <w:t>.</w:t>
      </w:r>
    </w:p>
    <w:p w14:paraId="4237F3F0" w14:textId="77777777" w:rsidR="00A01E1B" w:rsidRPr="005C4960" w:rsidRDefault="00A01E1B" w:rsidP="00A01E1B">
      <w:pPr>
        <w:spacing w:after="0" w:line="240" w:lineRule="auto"/>
        <w:ind w:firstLine="1440"/>
        <w:jc w:val="both"/>
        <w:rPr>
          <w:rFonts w:ascii="Times New Roman" w:hAnsi="Times New Roman" w:cs="Times New Roman"/>
          <w:sz w:val="24"/>
          <w:szCs w:val="24"/>
        </w:rPr>
      </w:pPr>
    </w:p>
    <w:p w14:paraId="68873AA9" w14:textId="77777777" w:rsidR="00C52A61" w:rsidRDefault="00FF0A68" w:rsidP="00C52A61">
      <w:pPr>
        <w:spacing w:after="0" w:line="480" w:lineRule="auto"/>
        <w:ind w:left="-5" w:hanging="10"/>
        <w:jc w:val="both"/>
        <w:rPr>
          <w:rFonts w:ascii="Times New Roman" w:hAnsi="Times New Roman" w:cs="Times New Roman"/>
          <w:b/>
          <w:bCs/>
          <w:sz w:val="24"/>
          <w:szCs w:val="24"/>
          <w:u w:val="single"/>
        </w:rPr>
      </w:pPr>
      <w:r w:rsidRPr="005C4960">
        <w:rPr>
          <w:rFonts w:ascii="Times New Roman" w:hAnsi="Times New Roman" w:cs="Times New Roman"/>
          <w:b/>
          <w:bCs/>
          <w:sz w:val="24"/>
          <w:szCs w:val="24"/>
          <w:u w:val="single"/>
        </w:rPr>
        <w:t>RE</w:t>
      </w:r>
      <w:r w:rsidR="00C52A61">
        <w:rPr>
          <w:rFonts w:ascii="Times New Roman" w:hAnsi="Times New Roman" w:cs="Times New Roman"/>
          <w:b/>
          <w:bCs/>
          <w:sz w:val="24"/>
          <w:szCs w:val="24"/>
          <w:u w:val="single"/>
        </w:rPr>
        <w:t>SPONDENT’S SUBMISSIONS</w:t>
      </w:r>
    </w:p>
    <w:p w14:paraId="6A78AC3F" w14:textId="799F3C14" w:rsidR="006C6587" w:rsidRPr="00C52A61" w:rsidRDefault="006C6587" w:rsidP="00A01E1B">
      <w:pPr>
        <w:spacing w:after="0" w:line="480" w:lineRule="auto"/>
        <w:ind w:left="-5" w:firstLine="1445"/>
        <w:jc w:val="both"/>
        <w:rPr>
          <w:rFonts w:ascii="Times New Roman" w:hAnsi="Times New Roman" w:cs="Times New Roman"/>
          <w:b/>
          <w:bCs/>
          <w:sz w:val="24"/>
          <w:szCs w:val="24"/>
          <w:u w:val="single"/>
        </w:rPr>
      </w:pPr>
      <w:r w:rsidRPr="005C4960">
        <w:rPr>
          <w:rFonts w:ascii="Times New Roman" w:hAnsi="Times New Roman" w:cs="Times New Roman"/>
          <w:i/>
          <w:sz w:val="24"/>
          <w:szCs w:val="24"/>
          <w:lang w:val="en-ZW"/>
        </w:rPr>
        <w:t>Per contra,</w:t>
      </w:r>
      <w:r w:rsidRPr="005C4960">
        <w:rPr>
          <w:rFonts w:ascii="Times New Roman" w:hAnsi="Times New Roman" w:cs="Times New Roman"/>
          <w:sz w:val="24"/>
          <w:szCs w:val="24"/>
          <w:lang w:val="en-ZW"/>
        </w:rPr>
        <w:t xml:space="preserve"> </w:t>
      </w:r>
      <w:r w:rsidR="00456E52" w:rsidRPr="005C4960">
        <w:rPr>
          <w:rFonts w:ascii="Times New Roman" w:hAnsi="Times New Roman" w:cs="Times New Roman"/>
          <w:sz w:val="24"/>
          <w:szCs w:val="24"/>
          <w:lang w:val="en-ZW"/>
        </w:rPr>
        <w:t xml:space="preserve">Mr </w:t>
      </w:r>
      <w:r w:rsidR="00456E52" w:rsidRPr="00C52A61">
        <w:rPr>
          <w:rFonts w:ascii="Times New Roman" w:hAnsi="Times New Roman" w:cs="Times New Roman"/>
          <w:i/>
          <w:sz w:val="24"/>
          <w:szCs w:val="24"/>
          <w:lang w:val="en-ZW"/>
        </w:rPr>
        <w:t>Banda</w:t>
      </w:r>
      <w:r w:rsidR="00456E52" w:rsidRPr="005C4960">
        <w:rPr>
          <w:rFonts w:ascii="Times New Roman" w:hAnsi="Times New Roman" w:cs="Times New Roman"/>
          <w:sz w:val="24"/>
          <w:szCs w:val="24"/>
          <w:lang w:val="en-ZW"/>
        </w:rPr>
        <w:t xml:space="preserve">, </w:t>
      </w:r>
      <w:r w:rsidRPr="005C4960">
        <w:rPr>
          <w:rFonts w:ascii="Times New Roman" w:hAnsi="Times New Roman" w:cs="Times New Roman"/>
          <w:sz w:val="24"/>
          <w:szCs w:val="24"/>
          <w:lang w:val="en-ZW"/>
        </w:rPr>
        <w:t xml:space="preserve">counsel for the respondent </w:t>
      </w:r>
      <w:r w:rsidR="0025570F" w:rsidRPr="005C4960">
        <w:rPr>
          <w:rFonts w:ascii="Times New Roman" w:hAnsi="Times New Roman" w:cs="Times New Roman"/>
          <w:sz w:val="24"/>
          <w:szCs w:val="24"/>
          <w:lang w:val="en-ZW"/>
        </w:rPr>
        <w:t>submitted</w:t>
      </w:r>
      <w:r w:rsidRPr="005C4960">
        <w:rPr>
          <w:rFonts w:ascii="Times New Roman" w:hAnsi="Times New Roman" w:cs="Times New Roman"/>
          <w:sz w:val="24"/>
          <w:szCs w:val="24"/>
          <w:lang w:val="en-ZW"/>
        </w:rPr>
        <w:t xml:space="preserve"> that the appellant failed to show how the matching principle does not apply to the present matter.</w:t>
      </w:r>
      <w:r w:rsidR="00DA0E6C">
        <w:rPr>
          <w:rFonts w:ascii="Times New Roman" w:hAnsi="Times New Roman" w:cs="Times New Roman"/>
          <w:sz w:val="24"/>
          <w:szCs w:val="24"/>
          <w:lang w:val="en-ZW"/>
        </w:rPr>
        <w:t xml:space="preserve"> </w:t>
      </w:r>
      <w:r w:rsidRPr="005C4960">
        <w:rPr>
          <w:rFonts w:ascii="Times New Roman" w:hAnsi="Times New Roman" w:cs="Times New Roman"/>
          <w:sz w:val="24"/>
          <w:szCs w:val="24"/>
          <w:lang w:val="en-ZW"/>
        </w:rPr>
        <w:t xml:space="preserve"> Counsel argued that the judgment in </w:t>
      </w:r>
      <w:r w:rsidRPr="005C4960">
        <w:rPr>
          <w:rFonts w:ascii="Times New Roman" w:hAnsi="Times New Roman" w:cs="Times New Roman"/>
          <w:i/>
          <w:sz w:val="24"/>
          <w:szCs w:val="24"/>
          <w:lang w:val="en-ZW"/>
        </w:rPr>
        <w:t xml:space="preserve">Delta Beverages (Pvt) Ltd </w:t>
      </w:r>
      <w:r w:rsidRPr="00C52A61">
        <w:rPr>
          <w:rFonts w:ascii="Times New Roman" w:hAnsi="Times New Roman" w:cs="Times New Roman"/>
          <w:sz w:val="24"/>
          <w:szCs w:val="24"/>
          <w:lang w:val="en-ZW"/>
        </w:rPr>
        <w:t>v</w:t>
      </w:r>
      <w:r w:rsidRPr="005C4960">
        <w:rPr>
          <w:rFonts w:ascii="Times New Roman" w:hAnsi="Times New Roman" w:cs="Times New Roman"/>
          <w:i/>
          <w:sz w:val="24"/>
          <w:szCs w:val="24"/>
          <w:lang w:val="en-ZW"/>
        </w:rPr>
        <w:t xml:space="preserve"> Zimbabwe Revenue Authority</w:t>
      </w:r>
      <w:r w:rsidRPr="005C4960">
        <w:rPr>
          <w:rFonts w:ascii="Times New Roman" w:hAnsi="Times New Roman" w:cs="Times New Roman"/>
          <w:sz w:val="24"/>
          <w:szCs w:val="24"/>
          <w:lang w:val="en-ZW"/>
        </w:rPr>
        <w:t xml:space="preserve"> SC 3/22 is binding and established the matching principle. </w:t>
      </w:r>
      <w:r w:rsidR="00A01E1B">
        <w:rPr>
          <w:rFonts w:ascii="Times New Roman" w:hAnsi="Times New Roman" w:cs="Times New Roman"/>
          <w:sz w:val="24"/>
          <w:szCs w:val="24"/>
          <w:lang w:val="en-ZW"/>
        </w:rPr>
        <w:t xml:space="preserve"> </w:t>
      </w:r>
      <w:r w:rsidRPr="005C4960">
        <w:rPr>
          <w:rFonts w:ascii="Times New Roman" w:hAnsi="Times New Roman" w:cs="Times New Roman"/>
          <w:sz w:val="24"/>
          <w:szCs w:val="24"/>
          <w:lang w:val="en-ZW"/>
        </w:rPr>
        <w:t>Counsel further argued that the method for calculation of deductible tax proposed by the appellant was not in tande</w:t>
      </w:r>
      <w:r w:rsidR="00C52A61">
        <w:rPr>
          <w:rFonts w:ascii="Times New Roman" w:hAnsi="Times New Roman" w:cs="Times New Roman"/>
          <w:sz w:val="24"/>
          <w:szCs w:val="24"/>
          <w:lang w:val="en-ZW"/>
        </w:rPr>
        <w:t>m with the provisions of s</w:t>
      </w:r>
      <w:r w:rsidRPr="005C4960">
        <w:rPr>
          <w:rFonts w:ascii="Times New Roman" w:hAnsi="Times New Roman" w:cs="Times New Roman"/>
          <w:sz w:val="24"/>
          <w:szCs w:val="24"/>
          <w:lang w:val="en-ZW"/>
        </w:rPr>
        <w:t xml:space="preserve"> 4A (10) of the Finance Act </w:t>
      </w:r>
      <w:r w:rsidR="003F5F1F">
        <w:rPr>
          <w:rFonts w:ascii="Times New Roman" w:hAnsi="Times New Roman" w:cs="Times New Roman"/>
          <w:sz w:val="24"/>
          <w:szCs w:val="24"/>
          <w:lang w:val="en-ZW"/>
        </w:rPr>
        <w:t>in respect of</w:t>
      </w:r>
      <w:r w:rsidRPr="005C4960">
        <w:rPr>
          <w:rFonts w:ascii="Times New Roman" w:hAnsi="Times New Roman" w:cs="Times New Roman"/>
          <w:sz w:val="24"/>
          <w:szCs w:val="24"/>
          <w:lang w:val="en-ZW"/>
        </w:rPr>
        <w:t xml:space="preserve"> the splitting</w:t>
      </w:r>
      <w:r w:rsidR="00A01E1B">
        <w:rPr>
          <w:rFonts w:ascii="Times New Roman" w:hAnsi="Times New Roman" w:cs="Times New Roman"/>
          <w:sz w:val="24"/>
          <w:szCs w:val="24"/>
          <w:lang w:val="en-ZW"/>
        </w:rPr>
        <w:t xml:space="preserve"> of income into 60/40.  </w:t>
      </w:r>
      <w:r w:rsidRPr="005C4960">
        <w:rPr>
          <w:rFonts w:ascii="Times New Roman" w:hAnsi="Times New Roman" w:cs="Times New Roman"/>
          <w:sz w:val="24"/>
          <w:szCs w:val="24"/>
          <w:lang w:val="en-ZW"/>
        </w:rPr>
        <w:t>Counsel maintained that for tax purposes the appellant earns its income in both foreign currency and local currency and also that it has expenses like salaries in both forei</w:t>
      </w:r>
      <w:r w:rsidR="00A01E1B">
        <w:rPr>
          <w:rFonts w:ascii="Times New Roman" w:hAnsi="Times New Roman" w:cs="Times New Roman"/>
          <w:sz w:val="24"/>
          <w:szCs w:val="24"/>
          <w:lang w:val="en-ZW"/>
        </w:rPr>
        <w:t xml:space="preserve">gn currency and local currency.  </w:t>
      </w:r>
      <w:r w:rsidRPr="005C4960">
        <w:rPr>
          <w:rFonts w:ascii="Times New Roman" w:hAnsi="Times New Roman" w:cs="Times New Roman"/>
          <w:sz w:val="24"/>
          <w:szCs w:val="24"/>
          <w:lang w:val="en-ZW"/>
        </w:rPr>
        <w:t>As such</w:t>
      </w:r>
      <w:r w:rsidR="008C0FED" w:rsidRPr="005C4960">
        <w:rPr>
          <w:rFonts w:ascii="Times New Roman" w:hAnsi="Times New Roman" w:cs="Times New Roman"/>
          <w:sz w:val="24"/>
          <w:szCs w:val="24"/>
          <w:lang w:val="en-ZW"/>
        </w:rPr>
        <w:t>,</w:t>
      </w:r>
      <w:r w:rsidRPr="005C4960">
        <w:rPr>
          <w:rFonts w:ascii="Times New Roman" w:hAnsi="Times New Roman" w:cs="Times New Roman"/>
          <w:sz w:val="24"/>
          <w:szCs w:val="24"/>
          <w:lang w:val="en-ZW"/>
        </w:rPr>
        <w:t xml:space="preserve"> counsel argued that 60% of the appellant’s expenditure had to be deducted from the foreign currency income and 40% of the expenditure from the local currency income. </w:t>
      </w:r>
    </w:p>
    <w:p w14:paraId="3274EA18" w14:textId="77777777" w:rsidR="006C6587" w:rsidRPr="005C4960" w:rsidRDefault="006C6587" w:rsidP="00C52A61">
      <w:pPr>
        <w:spacing w:after="0" w:line="480" w:lineRule="auto"/>
        <w:ind w:left="-5" w:hanging="10"/>
        <w:jc w:val="both"/>
        <w:rPr>
          <w:rFonts w:ascii="Times New Roman" w:hAnsi="Times New Roman" w:cs="Times New Roman"/>
          <w:sz w:val="24"/>
          <w:szCs w:val="24"/>
        </w:rPr>
      </w:pPr>
    </w:p>
    <w:p w14:paraId="4A456233" w14:textId="77777777" w:rsidR="00FF0A68" w:rsidRPr="005C4960" w:rsidRDefault="00FF0A68" w:rsidP="005C4960">
      <w:pPr>
        <w:spacing w:after="173" w:line="480" w:lineRule="auto"/>
        <w:jc w:val="both"/>
        <w:rPr>
          <w:rFonts w:ascii="Times New Roman" w:hAnsi="Times New Roman" w:cs="Times New Roman"/>
          <w:b/>
          <w:sz w:val="24"/>
          <w:szCs w:val="24"/>
          <w:u w:val="single"/>
        </w:rPr>
      </w:pPr>
      <w:r w:rsidRPr="005C4960">
        <w:rPr>
          <w:rFonts w:ascii="Times New Roman" w:hAnsi="Times New Roman" w:cs="Times New Roman"/>
          <w:b/>
          <w:sz w:val="24"/>
          <w:szCs w:val="24"/>
          <w:u w:val="single"/>
        </w:rPr>
        <w:t>ISSUE FOR DETERMINATION</w:t>
      </w:r>
    </w:p>
    <w:p w14:paraId="62D5234E" w14:textId="079E1DB4" w:rsidR="00A329B5" w:rsidRPr="005C4960" w:rsidRDefault="00A329B5" w:rsidP="00A25415">
      <w:pPr>
        <w:spacing w:after="0" w:line="480" w:lineRule="auto"/>
        <w:jc w:val="both"/>
        <w:rPr>
          <w:rFonts w:ascii="Times New Roman" w:eastAsia="Calibri" w:hAnsi="Times New Roman" w:cs="Times New Roman"/>
          <w:b/>
          <w:i/>
          <w:sz w:val="24"/>
          <w:szCs w:val="24"/>
          <w:lang w:val="en-ZW"/>
        </w:rPr>
      </w:pPr>
      <w:r w:rsidRPr="005C4960">
        <w:rPr>
          <w:rFonts w:ascii="Times New Roman" w:eastAsia="Calibri" w:hAnsi="Times New Roman" w:cs="Times New Roman"/>
          <w:b/>
          <w:i/>
          <w:sz w:val="24"/>
          <w:szCs w:val="24"/>
          <w:lang w:val="en-ZW"/>
        </w:rPr>
        <w:t>Whether or not the court a quo erred in f</w:t>
      </w:r>
      <w:r w:rsidR="00C52A61">
        <w:rPr>
          <w:rFonts w:ascii="Times New Roman" w:eastAsia="Calibri" w:hAnsi="Times New Roman" w:cs="Times New Roman"/>
          <w:b/>
          <w:i/>
          <w:sz w:val="24"/>
          <w:szCs w:val="24"/>
          <w:lang w:val="en-ZW"/>
        </w:rPr>
        <w:t>inding that a reading of s</w:t>
      </w:r>
      <w:r w:rsidRPr="005C4960">
        <w:rPr>
          <w:rFonts w:ascii="Times New Roman" w:eastAsia="Calibri" w:hAnsi="Times New Roman" w:cs="Times New Roman"/>
          <w:b/>
          <w:i/>
          <w:sz w:val="24"/>
          <w:szCs w:val="24"/>
          <w:lang w:val="en-ZW"/>
        </w:rPr>
        <w:t xml:space="preserve"> 4A (10) of the </w:t>
      </w:r>
      <w:r w:rsidR="00C52A61">
        <w:rPr>
          <w:rFonts w:ascii="Times New Roman" w:eastAsia="Calibri" w:hAnsi="Times New Roman" w:cs="Times New Roman"/>
          <w:b/>
          <w:i/>
          <w:sz w:val="24"/>
          <w:szCs w:val="24"/>
          <w:lang w:val="en-ZW"/>
        </w:rPr>
        <w:t>Finance Act as read with s</w:t>
      </w:r>
      <w:r w:rsidRPr="005C4960">
        <w:rPr>
          <w:rFonts w:ascii="Times New Roman" w:eastAsia="Calibri" w:hAnsi="Times New Roman" w:cs="Times New Roman"/>
          <w:b/>
          <w:i/>
          <w:sz w:val="24"/>
          <w:szCs w:val="24"/>
          <w:lang w:val="en-ZW"/>
        </w:rPr>
        <w:t xml:space="preserve"> 15 (2) (a) of the Income Tax Act apportions foreign currency and local currency income in the same ratios as the foreign currency expenditure and local expenditure thereby matching income and expenditure.</w:t>
      </w:r>
    </w:p>
    <w:p w14:paraId="25B84CF1" w14:textId="77777777" w:rsidR="00A329B5" w:rsidRPr="005C4960" w:rsidRDefault="00A329B5" w:rsidP="00C52A61">
      <w:pPr>
        <w:spacing w:after="0" w:line="480" w:lineRule="auto"/>
        <w:jc w:val="both"/>
        <w:rPr>
          <w:rFonts w:ascii="Times New Roman" w:hAnsi="Times New Roman" w:cs="Times New Roman"/>
          <w:b/>
          <w:sz w:val="24"/>
          <w:szCs w:val="24"/>
        </w:rPr>
      </w:pPr>
    </w:p>
    <w:p w14:paraId="2A6C78B8" w14:textId="77777777" w:rsidR="00FF0A68" w:rsidRPr="005C4960" w:rsidRDefault="00FF0A68" w:rsidP="00C52A61">
      <w:pPr>
        <w:spacing w:after="0" w:line="480" w:lineRule="auto"/>
        <w:ind w:left="-5" w:hanging="10"/>
        <w:jc w:val="both"/>
        <w:rPr>
          <w:rFonts w:ascii="Times New Roman" w:hAnsi="Times New Roman" w:cs="Times New Roman"/>
          <w:b/>
          <w:sz w:val="24"/>
          <w:szCs w:val="24"/>
          <w:u w:val="single"/>
        </w:rPr>
      </w:pPr>
      <w:r w:rsidRPr="005C4960">
        <w:rPr>
          <w:rFonts w:ascii="Times New Roman" w:hAnsi="Times New Roman" w:cs="Times New Roman"/>
          <w:b/>
          <w:sz w:val="24"/>
          <w:szCs w:val="24"/>
          <w:u w:val="single"/>
        </w:rPr>
        <w:t>APPLICATION OF THE LAW</w:t>
      </w:r>
    </w:p>
    <w:p w14:paraId="1E5FE30B" w14:textId="001AAE69" w:rsidR="00DB402E" w:rsidRPr="005C4960" w:rsidRDefault="00B16C81" w:rsidP="00A01E1B">
      <w:pPr>
        <w:spacing w:after="0" w:line="480" w:lineRule="auto"/>
        <w:ind w:firstLine="1440"/>
        <w:jc w:val="both"/>
        <w:rPr>
          <w:rFonts w:ascii="Times New Roman" w:hAnsi="Times New Roman" w:cs="Times New Roman"/>
          <w:sz w:val="24"/>
          <w:szCs w:val="24"/>
          <w:lang w:val="en-ZW"/>
        </w:rPr>
      </w:pPr>
      <w:r w:rsidRPr="005C4960">
        <w:rPr>
          <w:rFonts w:ascii="Times New Roman" w:hAnsi="Times New Roman" w:cs="Times New Roman"/>
          <w:sz w:val="24"/>
          <w:szCs w:val="24"/>
        </w:rPr>
        <w:lastRenderedPageBreak/>
        <w:t>S</w:t>
      </w:r>
      <w:r w:rsidR="00BF047C" w:rsidRPr="005C4960">
        <w:rPr>
          <w:rFonts w:ascii="Times New Roman" w:hAnsi="Times New Roman" w:cs="Times New Roman"/>
          <w:sz w:val="24"/>
          <w:szCs w:val="24"/>
        </w:rPr>
        <w:t>ection</w:t>
      </w:r>
      <w:r w:rsidR="00BE5086" w:rsidRPr="005C4960">
        <w:rPr>
          <w:rFonts w:ascii="Times New Roman" w:hAnsi="Times New Roman" w:cs="Times New Roman"/>
          <w:sz w:val="24"/>
          <w:szCs w:val="24"/>
        </w:rPr>
        <w:t xml:space="preserve"> 15</w:t>
      </w:r>
      <w:r w:rsidRPr="005C4960">
        <w:rPr>
          <w:rFonts w:ascii="Times New Roman" w:hAnsi="Times New Roman" w:cs="Times New Roman"/>
          <w:sz w:val="24"/>
          <w:szCs w:val="24"/>
        </w:rPr>
        <w:t xml:space="preserve"> </w:t>
      </w:r>
      <w:r w:rsidR="00BE5086" w:rsidRPr="005C4960">
        <w:rPr>
          <w:rFonts w:ascii="Times New Roman" w:hAnsi="Times New Roman" w:cs="Times New Roman"/>
          <w:sz w:val="24"/>
          <w:szCs w:val="24"/>
        </w:rPr>
        <w:t>(2) of the ITA ought to be read</w:t>
      </w:r>
      <w:r w:rsidR="007D1AD6" w:rsidRPr="005C4960">
        <w:rPr>
          <w:rFonts w:ascii="Times New Roman" w:hAnsi="Times New Roman" w:cs="Times New Roman"/>
          <w:sz w:val="24"/>
          <w:szCs w:val="24"/>
        </w:rPr>
        <w:t xml:space="preserve"> together with s 4 A (10) of the</w:t>
      </w:r>
      <w:r w:rsidR="00DB402E" w:rsidRPr="005C4960">
        <w:rPr>
          <w:rFonts w:ascii="Times New Roman" w:hAnsi="Times New Roman" w:cs="Times New Roman"/>
          <w:sz w:val="24"/>
          <w:szCs w:val="24"/>
        </w:rPr>
        <w:t xml:space="preserve"> Finance Act</w:t>
      </w:r>
      <w:r w:rsidR="00BF047C" w:rsidRPr="005C4960">
        <w:rPr>
          <w:rFonts w:ascii="Times New Roman" w:hAnsi="Times New Roman" w:cs="Times New Roman"/>
          <w:sz w:val="24"/>
          <w:szCs w:val="24"/>
        </w:rPr>
        <w:t xml:space="preserve"> as the two statues complement each other in respect of revenue matters</w:t>
      </w:r>
      <w:r w:rsidR="00F26FBB" w:rsidRPr="005C4960">
        <w:rPr>
          <w:rFonts w:ascii="Times New Roman" w:hAnsi="Times New Roman" w:cs="Times New Roman"/>
          <w:sz w:val="24"/>
          <w:szCs w:val="24"/>
        </w:rPr>
        <w:t xml:space="preserve">. </w:t>
      </w:r>
      <w:r w:rsidR="00A01E1B">
        <w:rPr>
          <w:rFonts w:ascii="Times New Roman" w:hAnsi="Times New Roman" w:cs="Times New Roman"/>
          <w:sz w:val="24"/>
          <w:szCs w:val="24"/>
        </w:rPr>
        <w:t xml:space="preserve"> </w:t>
      </w:r>
      <w:r w:rsidR="00BF047C" w:rsidRPr="005C4960">
        <w:rPr>
          <w:rFonts w:ascii="Times New Roman" w:hAnsi="Times New Roman" w:cs="Times New Roman"/>
          <w:sz w:val="24"/>
          <w:szCs w:val="24"/>
        </w:rPr>
        <w:t>S</w:t>
      </w:r>
      <w:r w:rsidR="00DB402E" w:rsidRPr="005C4960">
        <w:rPr>
          <w:rFonts w:ascii="Times New Roman" w:hAnsi="Times New Roman" w:cs="Times New Roman"/>
          <w:sz w:val="24"/>
          <w:szCs w:val="24"/>
        </w:rPr>
        <w:t xml:space="preserve">ection </w:t>
      </w:r>
      <w:r w:rsidR="00DB402E" w:rsidRPr="005C4960">
        <w:rPr>
          <w:rFonts w:ascii="Times New Roman" w:hAnsi="Times New Roman" w:cs="Times New Roman"/>
          <w:sz w:val="24"/>
          <w:szCs w:val="24"/>
          <w:lang w:val="en-ZW"/>
        </w:rPr>
        <w:t>4</w:t>
      </w:r>
      <w:r w:rsidRPr="005C4960">
        <w:rPr>
          <w:rFonts w:ascii="Times New Roman" w:hAnsi="Times New Roman" w:cs="Times New Roman"/>
          <w:sz w:val="24"/>
          <w:szCs w:val="24"/>
          <w:lang w:val="en-ZW"/>
        </w:rPr>
        <w:t xml:space="preserve"> </w:t>
      </w:r>
      <w:r w:rsidR="00DB402E" w:rsidRPr="005C4960">
        <w:rPr>
          <w:rFonts w:ascii="Times New Roman" w:hAnsi="Times New Roman" w:cs="Times New Roman"/>
          <w:sz w:val="24"/>
          <w:szCs w:val="24"/>
          <w:lang w:val="en-ZW"/>
        </w:rPr>
        <w:t>A (10) of the Finance Act provides as follows:</w:t>
      </w:r>
    </w:p>
    <w:p w14:paraId="5F95D950" w14:textId="77777777" w:rsidR="00DB402E" w:rsidRPr="005C4960" w:rsidRDefault="00DB402E" w:rsidP="00C52A61">
      <w:pPr>
        <w:spacing w:after="173" w:line="240" w:lineRule="auto"/>
        <w:ind w:left="-5" w:firstLine="572"/>
        <w:jc w:val="both"/>
        <w:rPr>
          <w:rFonts w:ascii="Times New Roman" w:hAnsi="Times New Roman" w:cs="Times New Roman"/>
          <w:sz w:val="24"/>
          <w:szCs w:val="24"/>
          <w:lang w:val="en-ZW"/>
        </w:rPr>
      </w:pPr>
      <w:r w:rsidRPr="005C4960">
        <w:rPr>
          <w:rFonts w:ascii="Times New Roman" w:hAnsi="Times New Roman" w:cs="Times New Roman"/>
          <w:sz w:val="24"/>
          <w:szCs w:val="24"/>
          <w:lang w:val="en-ZW"/>
        </w:rPr>
        <w:t>“10. Where any person liable to pay tax on income from trade or investment-</w:t>
      </w:r>
    </w:p>
    <w:p w14:paraId="12BEB45F" w14:textId="58BAF52B" w:rsidR="00DB402E" w:rsidRPr="005C4960" w:rsidRDefault="00A976F1" w:rsidP="00A01E1B">
      <w:pPr>
        <w:numPr>
          <w:ilvl w:val="0"/>
          <w:numId w:val="18"/>
        </w:numPr>
        <w:spacing w:after="0" w:line="240" w:lineRule="auto"/>
        <w:ind w:left="1276" w:hanging="283"/>
        <w:jc w:val="both"/>
        <w:rPr>
          <w:rFonts w:ascii="Times New Roman" w:hAnsi="Times New Roman" w:cs="Times New Roman"/>
          <w:sz w:val="24"/>
          <w:szCs w:val="24"/>
          <w:lang w:val="en-ZW"/>
        </w:rPr>
      </w:pPr>
      <w:r>
        <w:rPr>
          <w:rFonts w:ascii="Times New Roman" w:hAnsi="Times New Roman" w:cs="Times New Roman"/>
          <w:sz w:val="24"/>
          <w:szCs w:val="24"/>
          <w:lang w:val="en-ZW"/>
        </w:rPr>
        <w:t xml:space="preserve"> </w:t>
      </w:r>
      <w:r w:rsidR="00DB402E" w:rsidRPr="005C4960">
        <w:rPr>
          <w:rFonts w:ascii="Times New Roman" w:hAnsi="Times New Roman" w:cs="Times New Roman"/>
          <w:sz w:val="24"/>
          <w:szCs w:val="24"/>
          <w:lang w:val="en-ZW"/>
        </w:rPr>
        <w:t xml:space="preserve">earns any part </w:t>
      </w:r>
      <w:r w:rsidR="00F26FBB" w:rsidRPr="005C4960">
        <w:rPr>
          <w:rFonts w:ascii="Times New Roman" w:hAnsi="Times New Roman" w:cs="Times New Roman"/>
          <w:sz w:val="24"/>
          <w:szCs w:val="24"/>
          <w:lang w:val="en-ZW"/>
        </w:rPr>
        <w:t xml:space="preserve">of </w:t>
      </w:r>
      <w:r w:rsidR="00DB402E" w:rsidRPr="005C4960">
        <w:rPr>
          <w:rFonts w:ascii="Times New Roman" w:hAnsi="Times New Roman" w:cs="Times New Roman"/>
          <w:sz w:val="24"/>
          <w:szCs w:val="24"/>
          <w:lang w:val="en-ZW"/>
        </w:rPr>
        <w:t xml:space="preserve">such income in foreign currency; and </w:t>
      </w:r>
    </w:p>
    <w:p w14:paraId="391A5FFA" w14:textId="64042CF6" w:rsidR="00DB402E" w:rsidRPr="005C4960" w:rsidRDefault="00A976F1" w:rsidP="00A01E1B">
      <w:pPr>
        <w:spacing w:after="0" w:line="240" w:lineRule="auto"/>
        <w:ind w:left="1350" w:hanging="720"/>
        <w:jc w:val="both"/>
        <w:rPr>
          <w:rFonts w:ascii="Times New Roman" w:hAnsi="Times New Roman" w:cs="Times New Roman"/>
          <w:sz w:val="24"/>
          <w:szCs w:val="24"/>
          <w:lang w:val="en-ZW"/>
        </w:rPr>
      </w:pPr>
      <w:r>
        <w:rPr>
          <w:rFonts w:ascii="Times New Roman" w:hAnsi="Times New Roman" w:cs="Times New Roman"/>
          <w:sz w:val="24"/>
          <w:szCs w:val="24"/>
          <w:lang w:val="en-ZW"/>
        </w:rPr>
        <w:t xml:space="preserve"> </w:t>
      </w:r>
      <w:r w:rsidR="00A01E1B">
        <w:rPr>
          <w:rFonts w:ascii="Times New Roman" w:hAnsi="Times New Roman" w:cs="Times New Roman"/>
          <w:sz w:val="24"/>
          <w:szCs w:val="24"/>
          <w:lang w:val="en-ZW"/>
        </w:rPr>
        <w:tab/>
      </w:r>
      <w:r w:rsidR="00DB402E" w:rsidRPr="005C4960">
        <w:rPr>
          <w:rFonts w:ascii="Times New Roman" w:hAnsi="Times New Roman" w:cs="Times New Roman"/>
          <w:sz w:val="24"/>
          <w:szCs w:val="24"/>
          <w:lang w:val="en-ZW"/>
        </w:rPr>
        <w:t>has any part of such income liquidated and paid in local currency upon transfer to a nostro account, pursuant to a retention scheme operated by the Reserve Bank of Zimbabwe; any tax due on such part that is liquidated shall be calculated on the basis that it was earned in local currency.”</w:t>
      </w:r>
    </w:p>
    <w:p w14:paraId="2527A4EB" w14:textId="6798B911" w:rsidR="00C52A61" w:rsidRDefault="00C52A61" w:rsidP="00C52A61">
      <w:pPr>
        <w:spacing w:after="0" w:line="480" w:lineRule="auto"/>
        <w:ind w:left="1418"/>
        <w:jc w:val="both"/>
        <w:rPr>
          <w:rFonts w:ascii="Times New Roman" w:hAnsi="Times New Roman" w:cs="Times New Roman"/>
          <w:sz w:val="24"/>
          <w:szCs w:val="24"/>
          <w:lang w:val="en-ZW"/>
        </w:rPr>
      </w:pPr>
    </w:p>
    <w:p w14:paraId="20B20FA0" w14:textId="6900B04B" w:rsidR="006F543F" w:rsidRPr="005C4960" w:rsidRDefault="006F543F" w:rsidP="00A01E1B">
      <w:pPr>
        <w:spacing w:after="0" w:line="480" w:lineRule="auto"/>
        <w:ind w:firstLine="1440"/>
        <w:jc w:val="both"/>
        <w:rPr>
          <w:rFonts w:ascii="Times New Roman" w:hAnsi="Times New Roman" w:cs="Times New Roman"/>
          <w:sz w:val="24"/>
          <w:szCs w:val="24"/>
          <w:lang w:val="en-ZW"/>
        </w:rPr>
      </w:pPr>
      <w:r w:rsidRPr="005C4960">
        <w:rPr>
          <w:rFonts w:ascii="Times New Roman" w:hAnsi="Times New Roman" w:cs="Times New Roman"/>
          <w:sz w:val="24"/>
          <w:szCs w:val="24"/>
          <w:lang w:val="en-ZW"/>
        </w:rPr>
        <w:t>For purposes of allowable deductions in respect of taxable income, s 15 (2) (a) of the ITA provides that:</w:t>
      </w:r>
    </w:p>
    <w:p w14:paraId="67E3A0D5" w14:textId="77777777" w:rsidR="000D3A6D" w:rsidRPr="005C4960" w:rsidRDefault="006F543F" w:rsidP="00B43943">
      <w:pPr>
        <w:autoSpaceDE w:val="0"/>
        <w:autoSpaceDN w:val="0"/>
        <w:adjustRightInd w:val="0"/>
        <w:spacing w:after="0" w:line="240" w:lineRule="auto"/>
        <w:ind w:firstLine="720"/>
        <w:jc w:val="both"/>
        <w:rPr>
          <w:rFonts w:ascii="Times New Roman" w:hAnsi="Times New Roman" w:cs="Times New Roman"/>
          <w:sz w:val="24"/>
          <w:szCs w:val="24"/>
          <w:lang w:val="en-ZW"/>
        </w:rPr>
      </w:pPr>
      <w:r w:rsidRPr="005C4960">
        <w:rPr>
          <w:rFonts w:ascii="Times New Roman" w:hAnsi="Times New Roman" w:cs="Times New Roman"/>
          <w:sz w:val="24"/>
          <w:szCs w:val="24"/>
          <w:lang w:val="en-ZW"/>
        </w:rPr>
        <w:t>“</w:t>
      </w:r>
      <w:r w:rsidR="000D3A6D" w:rsidRPr="005C4960">
        <w:rPr>
          <w:rFonts w:ascii="Times New Roman" w:hAnsi="Times New Roman" w:cs="Times New Roman"/>
          <w:sz w:val="24"/>
          <w:szCs w:val="24"/>
          <w:lang w:val="en-ZW"/>
        </w:rPr>
        <w:t>The deductions allowed shall be—</w:t>
      </w:r>
    </w:p>
    <w:p w14:paraId="2052514B" w14:textId="35D5221B" w:rsidR="000D3A6D" w:rsidRPr="005C4960" w:rsidRDefault="000D3A6D" w:rsidP="00B43943">
      <w:pPr>
        <w:autoSpaceDE w:val="0"/>
        <w:autoSpaceDN w:val="0"/>
        <w:adjustRightInd w:val="0"/>
        <w:spacing w:after="0" w:line="240" w:lineRule="auto"/>
        <w:ind w:left="1418" w:hanging="425"/>
        <w:jc w:val="both"/>
        <w:rPr>
          <w:rFonts w:ascii="Times New Roman" w:hAnsi="Times New Roman" w:cs="Times New Roman"/>
          <w:sz w:val="24"/>
          <w:szCs w:val="24"/>
          <w:lang w:val="en-ZW"/>
        </w:rPr>
      </w:pPr>
      <w:r w:rsidRPr="00A01E1B">
        <w:rPr>
          <w:rFonts w:ascii="Times New Roman" w:hAnsi="Times New Roman" w:cs="Times New Roman"/>
          <w:sz w:val="24"/>
          <w:szCs w:val="24"/>
          <w:lang w:val="en-ZW"/>
        </w:rPr>
        <w:t>(</w:t>
      </w:r>
      <w:r w:rsidRPr="00A01E1B">
        <w:rPr>
          <w:rFonts w:ascii="Times New Roman" w:hAnsi="Times New Roman" w:cs="Times New Roman"/>
          <w:iCs/>
          <w:sz w:val="24"/>
          <w:szCs w:val="24"/>
          <w:lang w:val="en-ZW"/>
        </w:rPr>
        <w:t>a</w:t>
      </w:r>
      <w:r w:rsidRPr="00A01E1B">
        <w:rPr>
          <w:rFonts w:ascii="Times New Roman" w:hAnsi="Times New Roman" w:cs="Times New Roman"/>
          <w:sz w:val="24"/>
          <w:szCs w:val="24"/>
          <w:lang w:val="en-ZW"/>
        </w:rPr>
        <w:t>)</w:t>
      </w:r>
      <w:r w:rsidRPr="005C4960">
        <w:rPr>
          <w:rFonts w:ascii="Times New Roman" w:hAnsi="Times New Roman" w:cs="Times New Roman"/>
          <w:sz w:val="24"/>
          <w:szCs w:val="24"/>
          <w:lang w:val="en-ZW"/>
        </w:rPr>
        <w:t xml:space="preserve"> </w:t>
      </w:r>
      <w:r w:rsidR="00A01E1B">
        <w:rPr>
          <w:rFonts w:ascii="Times New Roman" w:hAnsi="Times New Roman" w:cs="Times New Roman"/>
          <w:sz w:val="24"/>
          <w:szCs w:val="24"/>
          <w:lang w:val="en-ZW"/>
        </w:rPr>
        <w:t xml:space="preserve"> </w:t>
      </w:r>
      <w:r w:rsidRPr="005C4960">
        <w:rPr>
          <w:rFonts w:ascii="Times New Roman" w:hAnsi="Times New Roman" w:cs="Times New Roman"/>
          <w:sz w:val="24"/>
          <w:szCs w:val="24"/>
          <w:lang w:val="en-ZW"/>
        </w:rPr>
        <w:t>expenditure and losses to the extent to which they are incurred for the purposes of trade or in the production</w:t>
      </w:r>
      <w:r w:rsidR="008C167A" w:rsidRPr="005C4960">
        <w:rPr>
          <w:rFonts w:ascii="Times New Roman" w:hAnsi="Times New Roman" w:cs="Times New Roman"/>
          <w:sz w:val="24"/>
          <w:szCs w:val="24"/>
          <w:lang w:val="en-ZW"/>
        </w:rPr>
        <w:t xml:space="preserve"> </w:t>
      </w:r>
      <w:r w:rsidRPr="005C4960">
        <w:rPr>
          <w:rFonts w:ascii="Times New Roman" w:hAnsi="Times New Roman" w:cs="Times New Roman"/>
          <w:sz w:val="24"/>
          <w:szCs w:val="24"/>
          <w:lang w:val="en-ZW"/>
        </w:rPr>
        <w:t>of the income except—</w:t>
      </w:r>
    </w:p>
    <w:p w14:paraId="11055B7A" w14:textId="4C8A26FF" w:rsidR="000D3A6D" w:rsidRDefault="00A01E1B" w:rsidP="00B43943">
      <w:pPr>
        <w:autoSpaceDE w:val="0"/>
        <w:autoSpaceDN w:val="0"/>
        <w:adjustRightInd w:val="0"/>
        <w:spacing w:after="0" w:line="240" w:lineRule="auto"/>
        <w:ind w:firstLine="1560"/>
        <w:jc w:val="both"/>
        <w:rPr>
          <w:rFonts w:ascii="Times New Roman" w:hAnsi="Times New Roman" w:cs="Times New Roman"/>
          <w:sz w:val="24"/>
          <w:szCs w:val="24"/>
          <w:lang w:val="en-ZW"/>
        </w:rPr>
      </w:pPr>
      <w:r>
        <w:rPr>
          <w:rFonts w:ascii="Times New Roman" w:hAnsi="Times New Roman" w:cs="Times New Roman"/>
          <w:sz w:val="24"/>
          <w:szCs w:val="24"/>
          <w:lang w:val="en-ZW"/>
        </w:rPr>
        <w:t xml:space="preserve">      </w:t>
      </w:r>
      <w:r w:rsidR="000D3A6D" w:rsidRPr="005C4960">
        <w:rPr>
          <w:rFonts w:ascii="Times New Roman" w:hAnsi="Times New Roman" w:cs="Times New Roman"/>
          <w:sz w:val="24"/>
          <w:szCs w:val="24"/>
          <w:lang w:val="en-ZW"/>
        </w:rPr>
        <w:t>(i) to the extent to which they are expenditure or losses of a capital nature; or</w:t>
      </w:r>
    </w:p>
    <w:p w14:paraId="6DF00E3B" w14:textId="77777777" w:rsidR="00FB6AC2" w:rsidRPr="005C4960" w:rsidRDefault="00FB6AC2" w:rsidP="00B43943">
      <w:pPr>
        <w:autoSpaceDE w:val="0"/>
        <w:autoSpaceDN w:val="0"/>
        <w:adjustRightInd w:val="0"/>
        <w:spacing w:after="0" w:line="240" w:lineRule="auto"/>
        <w:ind w:firstLine="1560"/>
        <w:jc w:val="both"/>
        <w:rPr>
          <w:rFonts w:ascii="Times New Roman" w:hAnsi="Times New Roman" w:cs="Times New Roman"/>
          <w:sz w:val="24"/>
          <w:szCs w:val="24"/>
          <w:lang w:val="en-ZW"/>
        </w:rPr>
      </w:pPr>
    </w:p>
    <w:p w14:paraId="650A3221" w14:textId="6F7476AD" w:rsidR="000D3A6D" w:rsidRPr="005C4960" w:rsidRDefault="00A01E1B" w:rsidP="00B43943">
      <w:pPr>
        <w:autoSpaceDE w:val="0"/>
        <w:autoSpaceDN w:val="0"/>
        <w:adjustRightInd w:val="0"/>
        <w:spacing w:after="0" w:line="240" w:lineRule="auto"/>
        <w:ind w:left="2250" w:hanging="690"/>
        <w:jc w:val="both"/>
        <w:rPr>
          <w:rFonts w:ascii="Times New Roman" w:hAnsi="Times New Roman" w:cs="Times New Roman"/>
          <w:sz w:val="24"/>
          <w:szCs w:val="24"/>
          <w:lang w:val="en-ZW"/>
        </w:rPr>
      </w:pPr>
      <w:r>
        <w:rPr>
          <w:rFonts w:ascii="Times New Roman" w:hAnsi="Times New Roman" w:cs="Times New Roman"/>
          <w:sz w:val="24"/>
          <w:szCs w:val="24"/>
          <w:lang w:val="en-ZW"/>
        </w:rPr>
        <w:t xml:space="preserve">      </w:t>
      </w:r>
      <w:r w:rsidR="000D3A6D" w:rsidRPr="005C4960">
        <w:rPr>
          <w:rFonts w:ascii="Times New Roman" w:hAnsi="Times New Roman" w:cs="Times New Roman"/>
          <w:sz w:val="24"/>
          <w:szCs w:val="24"/>
          <w:lang w:val="en-ZW"/>
        </w:rPr>
        <w:t>(ii) expenditure that constitutes prepayment for g</w:t>
      </w:r>
      <w:r w:rsidR="00812109">
        <w:rPr>
          <w:rFonts w:ascii="Times New Roman" w:hAnsi="Times New Roman" w:cs="Times New Roman"/>
          <w:sz w:val="24"/>
          <w:szCs w:val="24"/>
          <w:lang w:val="en-ZW"/>
        </w:rPr>
        <w:t xml:space="preserve">oods, services or benefits </w:t>
      </w:r>
      <w:r>
        <w:rPr>
          <w:rFonts w:ascii="Times New Roman" w:hAnsi="Times New Roman" w:cs="Times New Roman"/>
          <w:sz w:val="24"/>
          <w:szCs w:val="24"/>
          <w:lang w:val="en-ZW"/>
        </w:rPr>
        <w:t xml:space="preserve"> </w:t>
      </w:r>
      <w:r w:rsidR="00812109">
        <w:rPr>
          <w:rFonts w:ascii="Times New Roman" w:hAnsi="Times New Roman" w:cs="Times New Roman"/>
          <w:sz w:val="24"/>
          <w:szCs w:val="24"/>
          <w:lang w:val="en-ZW"/>
        </w:rPr>
        <w:t xml:space="preserve">that </w:t>
      </w:r>
      <w:r w:rsidR="000D3A6D" w:rsidRPr="005C4960">
        <w:rPr>
          <w:rFonts w:ascii="Times New Roman" w:hAnsi="Times New Roman" w:cs="Times New Roman"/>
          <w:sz w:val="24"/>
          <w:szCs w:val="24"/>
          <w:lang w:val="en-ZW"/>
        </w:rPr>
        <w:t>will be used up in any subsequent</w:t>
      </w:r>
      <w:r w:rsidR="007F797B" w:rsidRPr="005C4960">
        <w:rPr>
          <w:rFonts w:ascii="Times New Roman" w:hAnsi="Times New Roman" w:cs="Times New Roman"/>
          <w:sz w:val="24"/>
          <w:szCs w:val="24"/>
          <w:lang w:val="en-ZW"/>
        </w:rPr>
        <w:t xml:space="preserve"> </w:t>
      </w:r>
      <w:r w:rsidR="000D3A6D" w:rsidRPr="005C4960">
        <w:rPr>
          <w:rFonts w:ascii="Times New Roman" w:hAnsi="Times New Roman" w:cs="Times New Roman"/>
          <w:sz w:val="24"/>
          <w:szCs w:val="24"/>
          <w:lang w:val="en-ZW"/>
        </w:rPr>
        <w:t>year of assessment (in which event the expenditure will be allowed proportionately over the years of</w:t>
      </w:r>
      <w:r w:rsidR="007F797B" w:rsidRPr="005C4960">
        <w:rPr>
          <w:rFonts w:ascii="Times New Roman" w:hAnsi="Times New Roman" w:cs="Times New Roman"/>
          <w:sz w:val="24"/>
          <w:szCs w:val="24"/>
          <w:lang w:val="en-ZW"/>
        </w:rPr>
        <w:t xml:space="preserve"> </w:t>
      </w:r>
      <w:r w:rsidR="000D3A6D" w:rsidRPr="005C4960">
        <w:rPr>
          <w:rFonts w:ascii="Times New Roman" w:hAnsi="Times New Roman" w:cs="Times New Roman"/>
          <w:sz w:val="24"/>
          <w:szCs w:val="24"/>
          <w:lang w:val="en-ZW"/>
        </w:rPr>
        <w:t>assessment in which the goods, services or benefits are used up).</w:t>
      </w:r>
    </w:p>
    <w:p w14:paraId="533204AA" w14:textId="2CA0F73B" w:rsidR="000D3A6D" w:rsidRDefault="00A01E1B" w:rsidP="00B43943">
      <w:pPr>
        <w:autoSpaceDE w:val="0"/>
        <w:autoSpaceDN w:val="0"/>
        <w:adjustRightInd w:val="0"/>
        <w:spacing w:after="0" w:line="240" w:lineRule="auto"/>
        <w:ind w:firstLine="1843"/>
        <w:jc w:val="both"/>
        <w:rPr>
          <w:rFonts w:ascii="Times New Roman" w:hAnsi="Times New Roman" w:cs="Times New Roman"/>
          <w:sz w:val="24"/>
          <w:szCs w:val="24"/>
          <w:lang w:val="en-ZW"/>
        </w:rPr>
      </w:pPr>
      <w:r>
        <w:rPr>
          <w:rFonts w:ascii="Times New Roman" w:hAnsi="Times New Roman" w:cs="Times New Roman"/>
          <w:sz w:val="24"/>
          <w:szCs w:val="24"/>
          <w:lang w:val="en-ZW"/>
        </w:rPr>
        <w:t xml:space="preserve">       </w:t>
      </w:r>
      <w:r w:rsidR="000D3A6D" w:rsidRPr="005C4960">
        <w:rPr>
          <w:rFonts w:ascii="Times New Roman" w:hAnsi="Times New Roman" w:cs="Times New Roman"/>
          <w:sz w:val="24"/>
          <w:szCs w:val="24"/>
          <w:lang w:val="en-ZW"/>
        </w:rPr>
        <w:t>[Paragraph substituted by Act 1 of 2018]</w:t>
      </w:r>
    </w:p>
    <w:p w14:paraId="2D5EEA31" w14:textId="77777777" w:rsidR="00FB6AC2" w:rsidRPr="005C4960" w:rsidRDefault="00FB6AC2" w:rsidP="00B43943">
      <w:pPr>
        <w:autoSpaceDE w:val="0"/>
        <w:autoSpaceDN w:val="0"/>
        <w:adjustRightInd w:val="0"/>
        <w:spacing w:after="0" w:line="240" w:lineRule="auto"/>
        <w:ind w:firstLine="1843"/>
        <w:jc w:val="both"/>
        <w:rPr>
          <w:rFonts w:ascii="Times New Roman" w:hAnsi="Times New Roman" w:cs="Times New Roman"/>
          <w:sz w:val="24"/>
          <w:szCs w:val="24"/>
          <w:lang w:val="en-ZW"/>
        </w:rPr>
      </w:pPr>
    </w:p>
    <w:p w14:paraId="056BFDBB" w14:textId="78D1A1AD" w:rsidR="006F543F" w:rsidRPr="005C4960" w:rsidRDefault="00A01E1B" w:rsidP="00B43943">
      <w:pPr>
        <w:autoSpaceDE w:val="0"/>
        <w:autoSpaceDN w:val="0"/>
        <w:adjustRightInd w:val="0"/>
        <w:spacing w:after="0" w:line="240" w:lineRule="auto"/>
        <w:ind w:left="2340" w:hanging="875"/>
        <w:jc w:val="both"/>
        <w:rPr>
          <w:rFonts w:ascii="Times New Roman" w:hAnsi="Times New Roman" w:cs="Times New Roman"/>
          <w:sz w:val="24"/>
          <w:szCs w:val="24"/>
          <w:lang w:val="en-ZW"/>
        </w:rPr>
      </w:pPr>
      <w:r>
        <w:rPr>
          <w:rFonts w:ascii="Times New Roman" w:hAnsi="Times New Roman" w:cs="Times New Roman"/>
          <w:sz w:val="24"/>
          <w:szCs w:val="24"/>
          <w:lang w:val="en-ZW"/>
        </w:rPr>
        <w:t xml:space="preserve">       </w:t>
      </w:r>
      <w:r w:rsidR="000D3A6D" w:rsidRPr="005C4960">
        <w:rPr>
          <w:rFonts w:ascii="Times New Roman" w:hAnsi="Times New Roman" w:cs="Times New Roman"/>
          <w:sz w:val="24"/>
          <w:szCs w:val="24"/>
          <w:lang w:val="en-ZW"/>
        </w:rPr>
        <w:t xml:space="preserve">(iii) where the taxpayer is a </w:t>
      </w:r>
      <w:r w:rsidR="00812109">
        <w:rPr>
          <w:rFonts w:ascii="Times New Roman" w:hAnsi="Times New Roman" w:cs="Times New Roman"/>
          <w:sz w:val="24"/>
          <w:szCs w:val="24"/>
          <w:lang w:val="en-ZW"/>
        </w:rPr>
        <w:t>miner as defined in subpara</w:t>
      </w:r>
      <w:r w:rsidR="000D3A6D" w:rsidRPr="005C4960">
        <w:rPr>
          <w:rFonts w:ascii="Times New Roman" w:hAnsi="Times New Roman" w:cs="Times New Roman"/>
          <w:sz w:val="24"/>
          <w:szCs w:val="24"/>
          <w:lang w:val="en-ZW"/>
        </w:rPr>
        <w:t xml:space="preserve"> (ii), the amount of any royalty paid during the</w:t>
      </w:r>
      <w:r w:rsidR="007F797B" w:rsidRPr="005C4960">
        <w:rPr>
          <w:rFonts w:ascii="Times New Roman" w:hAnsi="Times New Roman" w:cs="Times New Roman"/>
          <w:sz w:val="24"/>
          <w:szCs w:val="24"/>
          <w:lang w:val="en-ZW"/>
        </w:rPr>
        <w:t xml:space="preserve"> </w:t>
      </w:r>
      <w:r w:rsidR="000D3A6D" w:rsidRPr="005C4960">
        <w:rPr>
          <w:rFonts w:ascii="Times New Roman" w:hAnsi="Times New Roman" w:cs="Times New Roman"/>
          <w:sz w:val="24"/>
          <w:szCs w:val="24"/>
          <w:lang w:val="en-ZW"/>
        </w:rPr>
        <w:t>year o</w:t>
      </w:r>
      <w:r w:rsidR="00812109">
        <w:rPr>
          <w:rFonts w:ascii="Times New Roman" w:hAnsi="Times New Roman" w:cs="Times New Roman"/>
          <w:sz w:val="24"/>
          <w:szCs w:val="24"/>
          <w:lang w:val="en-ZW"/>
        </w:rPr>
        <w:t>f assessment in terms of s</w:t>
      </w:r>
      <w:r w:rsidR="000D3A6D" w:rsidRPr="005C4960">
        <w:rPr>
          <w:rFonts w:ascii="Times New Roman" w:hAnsi="Times New Roman" w:cs="Times New Roman"/>
          <w:sz w:val="24"/>
          <w:szCs w:val="24"/>
          <w:lang w:val="en-ZW"/>
        </w:rPr>
        <w:t xml:space="preserve"> 245 of the Mines and Minerals Act [</w:t>
      </w:r>
      <w:r w:rsidR="000D3A6D" w:rsidRPr="005C4960">
        <w:rPr>
          <w:rFonts w:ascii="Times New Roman" w:hAnsi="Times New Roman" w:cs="Times New Roman"/>
          <w:i/>
          <w:iCs/>
          <w:sz w:val="24"/>
          <w:szCs w:val="24"/>
          <w:lang w:val="en-ZW"/>
        </w:rPr>
        <w:t>Chapter 21:05</w:t>
      </w:r>
      <w:r w:rsidR="000D3A6D" w:rsidRPr="005C4960">
        <w:rPr>
          <w:rFonts w:ascii="Times New Roman" w:hAnsi="Times New Roman" w:cs="Times New Roman"/>
          <w:sz w:val="24"/>
          <w:szCs w:val="24"/>
          <w:lang w:val="en-ZW"/>
        </w:rPr>
        <w:t>].”</w:t>
      </w:r>
      <w:r w:rsidR="00B240C5" w:rsidRPr="005C4960">
        <w:rPr>
          <w:rFonts w:ascii="Times New Roman" w:hAnsi="Times New Roman" w:cs="Times New Roman"/>
          <w:sz w:val="24"/>
          <w:szCs w:val="24"/>
          <w:lang w:val="en-ZW"/>
        </w:rPr>
        <w:t xml:space="preserve">             </w:t>
      </w:r>
    </w:p>
    <w:p w14:paraId="1911F5C4" w14:textId="77777777" w:rsidR="00812109" w:rsidRDefault="00AD78CE" w:rsidP="00812109">
      <w:pPr>
        <w:spacing w:after="0" w:line="480" w:lineRule="auto"/>
        <w:ind w:left="-5" w:firstLine="365"/>
        <w:jc w:val="both"/>
        <w:rPr>
          <w:rFonts w:ascii="Times New Roman" w:hAnsi="Times New Roman" w:cs="Times New Roman"/>
          <w:sz w:val="24"/>
          <w:szCs w:val="24"/>
          <w:lang w:val="en-ZW"/>
        </w:rPr>
      </w:pPr>
      <w:r w:rsidRPr="005C4960">
        <w:rPr>
          <w:rFonts w:ascii="Times New Roman" w:hAnsi="Times New Roman" w:cs="Times New Roman"/>
          <w:sz w:val="24"/>
          <w:szCs w:val="24"/>
          <w:lang w:val="en-ZW"/>
        </w:rPr>
        <w:t xml:space="preserve">           </w:t>
      </w:r>
    </w:p>
    <w:p w14:paraId="43E0CDE4" w14:textId="7B80A951" w:rsidR="007D1AD6" w:rsidRPr="005C4960" w:rsidRDefault="00DB402E" w:rsidP="000962D7">
      <w:pPr>
        <w:spacing w:after="0" w:line="480" w:lineRule="auto"/>
        <w:ind w:firstLine="1440"/>
        <w:jc w:val="both"/>
        <w:rPr>
          <w:rFonts w:ascii="Times New Roman" w:hAnsi="Times New Roman" w:cs="Times New Roman"/>
          <w:sz w:val="24"/>
          <w:szCs w:val="24"/>
          <w:lang w:val="en-ZW"/>
        </w:rPr>
      </w:pPr>
      <w:r w:rsidRPr="005C4960">
        <w:rPr>
          <w:rFonts w:ascii="Times New Roman" w:hAnsi="Times New Roman" w:cs="Times New Roman"/>
          <w:sz w:val="24"/>
          <w:szCs w:val="24"/>
          <w:lang w:val="en-ZW"/>
        </w:rPr>
        <w:t xml:space="preserve">Section 15 (2) (a) of the ITA is clear and unambiguous. </w:t>
      </w:r>
      <w:r w:rsidR="000962D7">
        <w:rPr>
          <w:rFonts w:ascii="Times New Roman" w:hAnsi="Times New Roman" w:cs="Times New Roman"/>
          <w:sz w:val="24"/>
          <w:szCs w:val="24"/>
          <w:lang w:val="en-ZW"/>
        </w:rPr>
        <w:t xml:space="preserve"> </w:t>
      </w:r>
      <w:r w:rsidRPr="005C4960">
        <w:rPr>
          <w:rFonts w:ascii="Times New Roman" w:hAnsi="Times New Roman" w:cs="Times New Roman"/>
          <w:sz w:val="24"/>
          <w:szCs w:val="24"/>
          <w:lang w:val="en-ZW"/>
        </w:rPr>
        <w:t>The provision allows for expenditure incurred for trade purposes</w:t>
      </w:r>
      <w:r w:rsidR="005254C8">
        <w:rPr>
          <w:rFonts w:ascii="Times New Roman" w:hAnsi="Times New Roman" w:cs="Times New Roman"/>
          <w:sz w:val="24"/>
          <w:szCs w:val="24"/>
          <w:lang w:val="en-ZW"/>
        </w:rPr>
        <w:t xml:space="preserve">, which is not of a capital nature, to be </w:t>
      </w:r>
      <w:r w:rsidRPr="005C4960">
        <w:rPr>
          <w:rFonts w:ascii="Times New Roman" w:hAnsi="Times New Roman" w:cs="Times New Roman"/>
          <w:sz w:val="24"/>
          <w:szCs w:val="24"/>
          <w:lang w:val="en-ZW"/>
        </w:rPr>
        <w:t>deduct</w:t>
      </w:r>
      <w:r w:rsidR="005254C8">
        <w:rPr>
          <w:rFonts w:ascii="Times New Roman" w:hAnsi="Times New Roman" w:cs="Times New Roman"/>
          <w:sz w:val="24"/>
          <w:szCs w:val="24"/>
          <w:lang w:val="en-ZW"/>
        </w:rPr>
        <w:t>ed in</w:t>
      </w:r>
      <w:r w:rsidRPr="005C4960">
        <w:rPr>
          <w:rFonts w:ascii="Times New Roman" w:hAnsi="Times New Roman" w:cs="Times New Roman"/>
          <w:sz w:val="24"/>
          <w:szCs w:val="24"/>
          <w:lang w:val="en-ZW"/>
        </w:rPr>
        <w:t xml:space="preserve"> the </w:t>
      </w:r>
      <w:r w:rsidR="005254C8">
        <w:rPr>
          <w:rFonts w:ascii="Times New Roman" w:hAnsi="Times New Roman" w:cs="Times New Roman"/>
          <w:sz w:val="24"/>
          <w:szCs w:val="24"/>
          <w:lang w:val="en-ZW"/>
        </w:rPr>
        <w:t xml:space="preserve">computation of </w:t>
      </w:r>
      <w:r w:rsidRPr="005C4960">
        <w:rPr>
          <w:rFonts w:ascii="Times New Roman" w:hAnsi="Times New Roman" w:cs="Times New Roman"/>
          <w:sz w:val="24"/>
          <w:szCs w:val="24"/>
          <w:lang w:val="en-ZW"/>
        </w:rPr>
        <w:t>taxable income</w:t>
      </w:r>
      <w:r w:rsidR="005254C8">
        <w:rPr>
          <w:rFonts w:ascii="Times New Roman" w:hAnsi="Times New Roman" w:cs="Times New Roman"/>
          <w:sz w:val="24"/>
          <w:szCs w:val="24"/>
          <w:lang w:val="en-ZW"/>
        </w:rPr>
        <w:t>.</w:t>
      </w:r>
      <w:r w:rsidR="003E391A">
        <w:rPr>
          <w:rFonts w:ascii="Times New Roman" w:hAnsi="Times New Roman" w:cs="Times New Roman"/>
          <w:sz w:val="24"/>
          <w:szCs w:val="24"/>
          <w:lang w:val="en-ZW"/>
        </w:rPr>
        <w:t xml:space="preserve"> </w:t>
      </w:r>
      <w:r w:rsidR="000962D7">
        <w:rPr>
          <w:rFonts w:ascii="Times New Roman" w:hAnsi="Times New Roman" w:cs="Times New Roman"/>
          <w:sz w:val="24"/>
          <w:szCs w:val="24"/>
          <w:lang w:val="en-ZW"/>
        </w:rPr>
        <w:t xml:space="preserve"> </w:t>
      </w:r>
      <w:r w:rsidRPr="005C4960">
        <w:rPr>
          <w:rFonts w:ascii="Times New Roman" w:hAnsi="Times New Roman" w:cs="Times New Roman"/>
          <w:sz w:val="24"/>
          <w:szCs w:val="24"/>
          <w:lang w:val="en-ZW"/>
        </w:rPr>
        <w:t>Section 4</w:t>
      </w:r>
      <w:r w:rsidR="00D06D34" w:rsidRPr="005C4960">
        <w:rPr>
          <w:rFonts w:ascii="Times New Roman" w:hAnsi="Times New Roman" w:cs="Times New Roman"/>
          <w:sz w:val="24"/>
          <w:szCs w:val="24"/>
          <w:lang w:val="en-ZW"/>
        </w:rPr>
        <w:t xml:space="preserve"> </w:t>
      </w:r>
      <w:r w:rsidRPr="005C4960">
        <w:rPr>
          <w:rFonts w:ascii="Times New Roman" w:hAnsi="Times New Roman" w:cs="Times New Roman"/>
          <w:sz w:val="24"/>
          <w:szCs w:val="24"/>
          <w:lang w:val="en-ZW"/>
        </w:rPr>
        <w:t xml:space="preserve">A (10) of the Finance Act refers to income only. </w:t>
      </w:r>
      <w:r w:rsidR="000962D7">
        <w:rPr>
          <w:rFonts w:ascii="Times New Roman" w:hAnsi="Times New Roman" w:cs="Times New Roman"/>
          <w:sz w:val="24"/>
          <w:szCs w:val="24"/>
          <w:lang w:val="en-ZW"/>
        </w:rPr>
        <w:t xml:space="preserve"> </w:t>
      </w:r>
      <w:r w:rsidRPr="005C4960">
        <w:rPr>
          <w:rFonts w:ascii="Times New Roman" w:hAnsi="Times New Roman" w:cs="Times New Roman"/>
          <w:sz w:val="24"/>
          <w:szCs w:val="24"/>
          <w:lang w:val="en-ZW"/>
        </w:rPr>
        <w:t xml:space="preserve">The two </w:t>
      </w:r>
      <w:r w:rsidR="00B16C81" w:rsidRPr="005C4960">
        <w:rPr>
          <w:rFonts w:ascii="Times New Roman" w:hAnsi="Times New Roman" w:cs="Times New Roman"/>
          <w:sz w:val="24"/>
          <w:szCs w:val="24"/>
          <w:lang w:val="en-ZW"/>
        </w:rPr>
        <w:t>provis</w:t>
      </w:r>
      <w:r w:rsidRPr="005C4960">
        <w:rPr>
          <w:rFonts w:ascii="Times New Roman" w:hAnsi="Times New Roman" w:cs="Times New Roman"/>
          <w:sz w:val="24"/>
          <w:szCs w:val="24"/>
          <w:lang w:val="en-ZW"/>
        </w:rPr>
        <w:t>ions must</w:t>
      </w:r>
      <w:r w:rsidR="003E391A">
        <w:rPr>
          <w:rFonts w:ascii="Times New Roman" w:hAnsi="Times New Roman" w:cs="Times New Roman"/>
          <w:sz w:val="24"/>
          <w:szCs w:val="24"/>
          <w:lang w:val="en-ZW"/>
        </w:rPr>
        <w:t xml:space="preserve">, as reasoned by the court </w:t>
      </w:r>
      <w:r w:rsidR="003E391A" w:rsidRPr="003E391A">
        <w:rPr>
          <w:rFonts w:ascii="Times New Roman" w:hAnsi="Times New Roman" w:cs="Times New Roman"/>
          <w:i/>
          <w:iCs/>
          <w:sz w:val="24"/>
          <w:szCs w:val="24"/>
          <w:lang w:val="en-ZW"/>
        </w:rPr>
        <w:t>a quo</w:t>
      </w:r>
      <w:r w:rsidR="003E391A">
        <w:rPr>
          <w:rFonts w:ascii="Times New Roman" w:hAnsi="Times New Roman" w:cs="Times New Roman"/>
          <w:i/>
          <w:iCs/>
          <w:sz w:val="24"/>
          <w:szCs w:val="24"/>
          <w:lang w:val="en-ZW"/>
        </w:rPr>
        <w:t>,</w:t>
      </w:r>
      <w:r w:rsidRPr="005C4960">
        <w:rPr>
          <w:rFonts w:ascii="Times New Roman" w:hAnsi="Times New Roman" w:cs="Times New Roman"/>
          <w:sz w:val="24"/>
          <w:szCs w:val="24"/>
          <w:lang w:val="en-ZW"/>
        </w:rPr>
        <w:t xml:space="preserve"> be read together whe</w:t>
      </w:r>
      <w:r w:rsidR="00CE6811" w:rsidRPr="005C4960">
        <w:rPr>
          <w:rFonts w:ascii="Times New Roman" w:hAnsi="Times New Roman" w:cs="Times New Roman"/>
          <w:sz w:val="24"/>
          <w:szCs w:val="24"/>
          <w:lang w:val="en-ZW"/>
        </w:rPr>
        <w:t>n determining deductible income</w:t>
      </w:r>
      <w:r w:rsidR="00270BB5" w:rsidRPr="005C4960">
        <w:rPr>
          <w:rFonts w:ascii="Times New Roman" w:hAnsi="Times New Roman" w:cs="Times New Roman"/>
          <w:sz w:val="24"/>
          <w:szCs w:val="24"/>
          <w:lang w:val="en-ZW"/>
        </w:rPr>
        <w:t xml:space="preserve"> in order to understand the true intention of the legislature</w:t>
      </w:r>
      <w:r w:rsidR="003E391A">
        <w:rPr>
          <w:rFonts w:ascii="Times New Roman" w:hAnsi="Times New Roman" w:cs="Times New Roman"/>
          <w:sz w:val="24"/>
          <w:szCs w:val="24"/>
          <w:lang w:val="en-ZW"/>
        </w:rPr>
        <w:t>.</w:t>
      </w:r>
      <w:r w:rsidR="00DA0E6C">
        <w:rPr>
          <w:rFonts w:ascii="Times New Roman" w:hAnsi="Times New Roman" w:cs="Times New Roman"/>
          <w:sz w:val="24"/>
          <w:szCs w:val="24"/>
          <w:lang w:val="en-ZW"/>
        </w:rPr>
        <w:t xml:space="preserve">  </w:t>
      </w:r>
      <w:r w:rsidR="00894020" w:rsidRPr="005C4960">
        <w:rPr>
          <w:rFonts w:ascii="Times New Roman" w:hAnsi="Times New Roman" w:cs="Times New Roman"/>
          <w:sz w:val="24"/>
          <w:szCs w:val="24"/>
          <w:lang w:val="en-ZW"/>
        </w:rPr>
        <w:t>The unitary reading</w:t>
      </w:r>
      <w:r w:rsidR="00CE6811" w:rsidRPr="005C4960">
        <w:rPr>
          <w:rFonts w:ascii="Times New Roman" w:hAnsi="Times New Roman" w:cs="Times New Roman"/>
          <w:sz w:val="24"/>
          <w:szCs w:val="24"/>
          <w:lang w:val="en-ZW"/>
        </w:rPr>
        <w:t xml:space="preserve"> of these two provisions shows that the legislature intended to apportion foreign currency </w:t>
      </w:r>
      <w:r w:rsidR="00DB5FE6">
        <w:rPr>
          <w:rFonts w:ascii="Times New Roman" w:hAnsi="Times New Roman" w:cs="Times New Roman"/>
          <w:sz w:val="24"/>
          <w:szCs w:val="24"/>
          <w:lang w:val="en-ZW"/>
        </w:rPr>
        <w:t>expenditur</w:t>
      </w:r>
      <w:r w:rsidR="00CE6811" w:rsidRPr="005C4960">
        <w:rPr>
          <w:rFonts w:ascii="Times New Roman" w:hAnsi="Times New Roman" w:cs="Times New Roman"/>
          <w:sz w:val="24"/>
          <w:szCs w:val="24"/>
          <w:lang w:val="en-ZW"/>
        </w:rPr>
        <w:t xml:space="preserve">e and </w:t>
      </w:r>
      <w:r w:rsidR="00CE6811" w:rsidRPr="005C4960">
        <w:rPr>
          <w:rFonts w:ascii="Times New Roman" w:hAnsi="Times New Roman" w:cs="Times New Roman"/>
          <w:sz w:val="24"/>
          <w:szCs w:val="24"/>
          <w:lang w:val="en-ZW"/>
        </w:rPr>
        <w:lastRenderedPageBreak/>
        <w:t>local</w:t>
      </w:r>
      <w:r w:rsidR="002017C3">
        <w:rPr>
          <w:rFonts w:ascii="Times New Roman" w:hAnsi="Times New Roman" w:cs="Times New Roman"/>
          <w:sz w:val="24"/>
          <w:szCs w:val="24"/>
          <w:lang w:val="en-ZW"/>
        </w:rPr>
        <w:t xml:space="preserve"> currency</w:t>
      </w:r>
      <w:r w:rsidR="00CE6811" w:rsidRPr="005C4960">
        <w:rPr>
          <w:rFonts w:ascii="Times New Roman" w:hAnsi="Times New Roman" w:cs="Times New Roman"/>
          <w:sz w:val="24"/>
          <w:szCs w:val="24"/>
          <w:lang w:val="en-ZW"/>
        </w:rPr>
        <w:t xml:space="preserve"> </w:t>
      </w:r>
      <w:r w:rsidR="00DB5FE6">
        <w:rPr>
          <w:rFonts w:ascii="Times New Roman" w:hAnsi="Times New Roman" w:cs="Times New Roman"/>
          <w:sz w:val="24"/>
          <w:szCs w:val="24"/>
          <w:lang w:val="en-ZW"/>
        </w:rPr>
        <w:t>expenditur</w:t>
      </w:r>
      <w:r w:rsidR="00CE6811" w:rsidRPr="005C4960">
        <w:rPr>
          <w:rFonts w:ascii="Times New Roman" w:hAnsi="Times New Roman" w:cs="Times New Roman"/>
          <w:sz w:val="24"/>
          <w:szCs w:val="24"/>
          <w:lang w:val="en-ZW"/>
        </w:rPr>
        <w:t>e in the same ratio</w:t>
      </w:r>
      <w:r w:rsidR="00DB5FE6">
        <w:rPr>
          <w:rFonts w:ascii="Times New Roman" w:hAnsi="Times New Roman" w:cs="Times New Roman"/>
          <w:sz w:val="24"/>
          <w:szCs w:val="24"/>
          <w:lang w:val="en-ZW"/>
        </w:rPr>
        <w:t xml:space="preserve"> applicable to the liquidation of</w:t>
      </w:r>
      <w:r w:rsidR="00CE6811" w:rsidRPr="005C4960">
        <w:rPr>
          <w:rFonts w:ascii="Times New Roman" w:hAnsi="Times New Roman" w:cs="Times New Roman"/>
          <w:sz w:val="24"/>
          <w:szCs w:val="24"/>
          <w:lang w:val="en-ZW"/>
        </w:rPr>
        <w:t xml:space="preserve"> the foreign currency </w:t>
      </w:r>
      <w:r w:rsidR="00DB5FE6">
        <w:rPr>
          <w:rFonts w:ascii="Times New Roman" w:hAnsi="Times New Roman" w:cs="Times New Roman"/>
          <w:sz w:val="24"/>
          <w:szCs w:val="24"/>
          <w:lang w:val="en-ZW"/>
        </w:rPr>
        <w:t>income into</w:t>
      </w:r>
      <w:r w:rsidR="00CE6811" w:rsidRPr="005C4960">
        <w:rPr>
          <w:rFonts w:ascii="Times New Roman" w:hAnsi="Times New Roman" w:cs="Times New Roman"/>
          <w:sz w:val="24"/>
          <w:szCs w:val="24"/>
          <w:lang w:val="en-ZW"/>
        </w:rPr>
        <w:t xml:space="preserve"> local currency</w:t>
      </w:r>
      <w:r w:rsidR="00D03151" w:rsidRPr="005C4960">
        <w:rPr>
          <w:rFonts w:ascii="Times New Roman" w:hAnsi="Times New Roman" w:cs="Times New Roman"/>
          <w:sz w:val="24"/>
          <w:szCs w:val="24"/>
          <w:lang w:val="en-ZW"/>
        </w:rPr>
        <w:t>.</w:t>
      </w:r>
      <w:r w:rsidR="00894020" w:rsidRPr="005C4960">
        <w:rPr>
          <w:rFonts w:ascii="Times New Roman" w:hAnsi="Times New Roman" w:cs="Times New Roman"/>
          <w:sz w:val="24"/>
          <w:szCs w:val="24"/>
          <w:lang w:val="en-ZW"/>
        </w:rPr>
        <w:t xml:space="preserve"> </w:t>
      </w:r>
      <w:r w:rsidR="00DA0E6C">
        <w:rPr>
          <w:rFonts w:ascii="Times New Roman" w:hAnsi="Times New Roman" w:cs="Times New Roman"/>
          <w:sz w:val="24"/>
          <w:szCs w:val="24"/>
          <w:lang w:val="en-ZW"/>
        </w:rPr>
        <w:t xml:space="preserve"> </w:t>
      </w:r>
      <w:r w:rsidR="00CB08ED" w:rsidRPr="005C4960">
        <w:rPr>
          <w:rFonts w:ascii="Times New Roman" w:hAnsi="Times New Roman" w:cs="Times New Roman"/>
          <w:sz w:val="24"/>
          <w:szCs w:val="24"/>
          <w:lang w:val="en-ZW"/>
        </w:rPr>
        <w:t>Therefore,</w:t>
      </w:r>
      <w:r w:rsidR="00894020" w:rsidRPr="005C4960">
        <w:rPr>
          <w:rFonts w:ascii="Times New Roman" w:hAnsi="Times New Roman" w:cs="Times New Roman"/>
          <w:sz w:val="24"/>
          <w:szCs w:val="24"/>
          <w:lang w:val="en-ZW"/>
        </w:rPr>
        <w:t xml:space="preserve"> the appellant ought to match both income and expenditure before deducting</w:t>
      </w:r>
      <w:r w:rsidR="00F90C22">
        <w:rPr>
          <w:rFonts w:ascii="Times New Roman" w:hAnsi="Times New Roman" w:cs="Times New Roman"/>
          <w:sz w:val="24"/>
          <w:szCs w:val="24"/>
          <w:lang w:val="en-ZW"/>
        </w:rPr>
        <w:t xml:space="preserve"> the appropriate</w:t>
      </w:r>
      <w:r w:rsidR="00894020" w:rsidRPr="005C4960">
        <w:rPr>
          <w:rFonts w:ascii="Times New Roman" w:hAnsi="Times New Roman" w:cs="Times New Roman"/>
          <w:sz w:val="24"/>
          <w:szCs w:val="24"/>
          <w:lang w:val="en-ZW"/>
        </w:rPr>
        <w:t xml:space="preserve"> expenditure.</w:t>
      </w:r>
      <w:r w:rsidR="00D03151" w:rsidRPr="005C4960">
        <w:rPr>
          <w:rFonts w:ascii="Times New Roman" w:hAnsi="Times New Roman" w:cs="Times New Roman"/>
          <w:sz w:val="24"/>
          <w:szCs w:val="24"/>
          <w:lang w:val="en-ZW"/>
        </w:rPr>
        <w:t xml:space="preserve"> </w:t>
      </w:r>
      <w:r w:rsidR="00DA0E6C">
        <w:rPr>
          <w:rFonts w:ascii="Times New Roman" w:hAnsi="Times New Roman" w:cs="Times New Roman"/>
          <w:sz w:val="24"/>
          <w:szCs w:val="24"/>
          <w:lang w:val="en-ZW"/>
        </w:rPr>
        <w:t xml:space="preserve"> </w:t>
      </w:r>
      <w:r w:rsidR="0025570F" w:rsidRPr="005C4960">
        <w:rPr>
          <w:rFonts w:ascii="Times New Roman" w:hAnsi="Times New Roman" w:cs="Times New Roman"/>
          <w:sz w:val="24"/>
          <w:szCs w:val="24"/>
          <w:lang w:val="en-ZW"/>
        </w:rPr>
        <w:t>Income and expenditure</w:t>
      </w:r>
      <w:r w:rsidR="00D03151" w:rsidRPr="005C4960">
        <w:rPr>
          <w:rFonts w:ascii="Times New Roman" w:hAnsi="Times New Roman" w:cs="Times New Roman"/>
          <w:sz w:val="24"/>
          <w:szCs w:val="24"/>
          <w:lang w:val="en-ZW"/>
        </w:rPr>
        <w:t xml:space="preserve"> cannot be separated as the expenses that must be deducted are those incurred in the production of the income.</w:t>
      </w:r>
      <w:r w:rsidR="00840E11" w:rsidRPr="005C4960">
        <w:rPr>
          <w:rFonts w:ascii="Times New Roman" w:hAnsi="Times New Roman" w:cs="Times New Roman"/>
          <w:sz w:val="24"/>
          <w:szCs w:val="24"/>
          <w:lang w:val="en-ZW"/>
        </w:rPr>
        <w:t xml:space="preserve"> </w:t>
      </w:r>
      <w:r w:rsidR="00DA0E6C">
        <w:rPr>
          <w:rFonts w:ascii="Times New Roman" w:hAnsi="Times New Roman" w:cs="Times New Roman"/>
          <w:sz w:val="24"/>
          <w:szCs w:val="24"/>
          <w:lang w:val="en-ZW"/>
        </w:rPr>
        <w:t xml:space="preserve"> </w:t>
      </w:r>
      <w:r w:rsidR="00840E11" w:rsidRPr="005C4960">
        <w:rPr>
          <w:rFonts w:ascii="Times New Roman" w:hAnsi="Times New Roman" w:cs="Times New Roman"/>
          <w:sz w:val="24"/>
          <w:szCs w:val="24"/>
          <w:lang w:val="en-ZW"/>
        </w:rPr>
        <w:t>This has to be so because s 4 A</w:t>
      </w:r>
      <w:r w:rsidR="0009289B" w:rsidRPr="005C4960">
        <w:rPr>
          <w:rFonts w:ascii="Times New Roman" w:hAnsi="Times New Roman" w:cs="Times New Roman"/>
          <w:sz w:val="24"/>
          <w:szCs w:val="24"/>
          <w:lang w:val="en-ZW"/>
        </w:rPr>
        <w:t xml:space="preserve"> </w:t>
      </w:r>
      <w:r w:rsidR="00840E11" w:rsidRPr="005C4960">
        <w:rPr>
          <w:rFonts w:ascii="Times New Roman" w:hAnsi="Times New Roman" w:cs="Times New Roman"/>
          <w:sz w:val="24"/>
          <w:szCs w:val="24"/>
          <w:lang w:val="en-ZW"/>
        </w:rPr>
        <w:t xml:space="preserve">(10) of the Finance Act refers </w:t>
      </w:r>
      <w:r w:rsidR="003C1527" w:rsidRPr="005C4960">
        <w:rPr>
          <w:rFonts w:ascii="Times New Roman" w:hAnsi="Times New Roman" w:cs="Times New Roman"/>
          <w:sz w:val="24"/>
          <w:szCs w:val="24"/>
          <w:lang w:val="en-ZW"/>
        </w:rPr>
        <w:t xml:space="preserve">to income only whilst </w:t>
      </w:r>
      <w:r w:rsidR="00840E11" w:rsidRPr="005C4960">
        <w:rPr>
          <w:rFonts w:ascii="Times New Roman" w:hAnsi="Times New Roman" w:cs="Times New Roman"/>
          <w:sz w:val="24"/>
          <w:szCs w:val="24"/>
          <w:lang w:val="en-ZW"/>
        </w:rPr>
        <w:t>s 15 (2)</w:t>
      </w:r>
      <w:r w:rsidR="006261A5" w:rsidRPr="005C4960">
        <w:rPr>
          <w:rFonts w:ascii="Times New Roman" w:hAnsi="Times New Roman" w:cs="Times New Roman"/>
          <w:sz w:val="24"/>
          <w:szCs w:val="24"/>
          <w:lang w:val="en-ZW"/>
        </w:rPr>
        <w:t xml:space="preserve"> </w:t>
      </w:r>
      <w:r w:rsidR="00840E11" w:rsidRPr="005C4960">
        <w:rPr>
          <w:rFonts w:ascii="Times New Roman" w:hAnsi="Times New Roman" w:cs="Times New Roman"/>
          <w:sz w:val="24"/>
          <w:szCs w:val="24"/>
          <w:lang w:val="en-ZW"/>
        </w:rPr>
        <w:t xml:space="preserve">(a) of the ITA matches both the income and the expenditure. </w:t>
      </w:r>
      <w:r w:rsidR="000962D7">
        <w:rPr>
          <w:rFonts w:ascii="Times New Roman" w:hAnsi="Times New Roman" w:cs="Times New Roman"/>
          <w:sz w:val="24"/>
          <w:szCs w:val="24"/>
          <w:lang w:val="en-ZW"/>
        </w:rPr>
        <w:t xml:space="preserve"> </w:t>
      </w:r>
      <w:r w:rsidR="00E715EB" w:rsidRPr="005C4960">
        <w:rPr>
          <w:rFonts w:ascii="Times New Roman" w:hAnsi="Times New Roman" w:cs="Times New Roman"/>
          <w:sz w:val="24"/>
          <w:szCs w:val="24"/>
          <w:lang w:val="en-ZW"/>
        </w:rPr>
        <w:t>Therefore,</w:t>
      </w:r>
      <w:r w:rsidR="00840E11" w:rsidRPr="005C4960">
        <w:rPr>
          <w:rFonts w:ascii="Times New Roman" w:hAnsi="Times New Roman" w:cs="Times New Roman"/>
          <w:sz w:val="24"/>
          <w:szCs w:val="24"/>
          <w:lang w:val="en-ZW"/>
        </w:rPr>
        <w:t xml:space="preserve"> the income in the respective currencies matches with expenses incurre</w:t>
      </w:r>
      <w:r w:rsidR="002E560F">
        <w:rPr>
          <w:rFonts w:ascii="Times New Roman" w:hAnsi="Times New Roman" w:cs="Times New Roman"/>
          <w:sz w:val="24"/>
          <w:szCs w:val="24"/>
          <w:lang w:val="en-ZW"/>
        </w:rPr>
        <w:t xml:space="preserve">d in the respective currencies.  </w:t>
      </w:r>
      <w:r w:rsidR="00D03151" w:rsidRPr="005C4960">
        <w:rPr>
          <w:rFonts w:ascii="Times New Roman" w:hAnsi="Times New Roman" w:cs="Times New Roman"/>
          <w:sz w:val="24"/>
          <w:szCs w:val="24"/>
          <w:lang w:val="en-ZW"/>
        </w:rPr>
        <w:t>In this regard</w:t>
      </w:r>
      <w:r w:rsidR="00840E11" w:rsidRPr="005C4960">
        <w:rPr>
          <w:rFonts w:ascii="Times New Roman" w:hAnsi="Times New Roman" w:cs="Times New Roman"/>
          <w:sz w:val="24"/>
          <w:szCs w:val="24"/>
          <w:lang w:val="en-ZW"/>
        </w:rPr>
        <w:t xml:space="preserve"> the matching principle give</w:t>
      </w:r>
      <w:r w:rsidR="00FB7A8C" w:rsidRPr="005C4960">
        <w:rPr>
          <w:rFonts w:ascii="Times New Roman" w:hAnsi="Times New Roman" w:cs="Times New Roman"/>
          <w:sz w:val="24"/>
          <w:szCs w:val="24"/>
          <w:lang w:val="en-ZW"/>
        </w:rPr>
        <w:t>s</w:t>
      </w:r>
      <w:r w:rsidR="00812109">
        <w:rPr>
          <w:rFonts w:ascii="Times New Roman" w:hAnsi="Times New Roman" w:cs="Times New Roman"/>
          <w:sz w:val="24"/>
          <w:szCs w:val="24"/>
          <w:lang w:val="en-ZW"/>
        </w:rPr>
        <w:t xml:space="preserve"> effect to s</w:t>
      </w:r>
      <w:r w:rsidR="00840E11" w:rsidRPr="005C4960">
        <w:rPr>
          <w:rFonts w:ascii="Times New Roman" w:hAnsi="Times New Roman" w:cs="Times New Roman"/>
          <w:sz w:val="24"/>
          <w:szCs w:val="24"/>
          <w:lang w:val="en-ZW"/>
        </w:rPr>
        <w:t xml:space="preserve"> 4</w:t>
      </w:r>
      <w:r w:rsidR="00B16C81" w:rsidRPr="005C4960">
        <w:rPr>
          <w:rFonts w:ascii="Times New Roman" w:hAnsi="Times New Roman" w:cs="Times New Roman"/>
          <w:sz w:val="24"/>
          <w:szCs w:val="24"/>
          <w:lang w:val="en-ZW"/>
        </w:rPr>
        <w:t xml:space="preserve"> </w:t>
      </w:r>
      <w:r w:rsidR="00840E11" w:rsidRPr="005C4960">
        <w:rPr>
          <w:rFonts w:ascii="Times New Roman" w:hAnsi="Times New Roman" w:cs="Times New Roman"/>
          <w:sz w:val="24"/>
          <w:szCs w:val="24"/>
          <w:lang w:val="en-ZW"/>
        </w:rPr>
        <w:t xml:space="preserve">A (10) of the </w:t>
      </w:r>
      <w:r w:rsidR="00812109">
        <w:rPr>
          <w:rFonts w:ascii="Times New Roman" w:hAnsi="Times New Roman" w:cs="Times New Roman"/>
          <w:sz w:val="24"/>
          <w:szCs w:val="24"/>
          <w:lang w:val="en-ZW"/>
        </w:rPr>
        <w:t>Finance Act as read with s</w:t>
      </w:r>
      <w:r w:rsidR="00840E11" w:rsidRPr="005C4960">
        <w:rPr>
          <w:rFonts w:ascii="Times New Roman" w:hAnsi="Times New Roman" w:cs="Times New Roman"/>
          <w:sz w:val="24"/>
          <w:szCs w:val="24"/>
          <w:lang w:val="en-ZW"/>
        </w:rPr>
        <w:t xml:space="preserve"> 15 (2) of the ITA. </w:t>
      </w:r>
    </w:p>
    <w:p w14:paraId="1D3EA173" w14:textId="77777777" w:rsidR="00812109" w:rsidRDefault="00BE5086" w:rsidP="0019736C">
      <w:pPr>
        <w:spacing w:after="0" w:line="480" w:lineRule="auto"/>
        <w:ind w:left="-5" w:hanging="10"/>
        <w:jc w:val="both"/>
        <w:rPr>
          <w:rFonts w:ascii="Times New Roman" w:hAnsi="Times New Roman" w:cs="Times New Roman"/>
          <w:sz w:val="24"/>
          <w:szCs w:val="24"/>
        </w:rPr>
      </w:pPr>
      <w:r w:rsidRPr="005C4960">
        <w:rPr>
          <w:rFonts w:ascii="Times New Roman" w:hAnsi="Times New Roman" w:cs="Times New Roman"/>
          <w:sz w:val="24"/>
          <w:szCs w:val="24"/>
        </w:rPr>
        <w:t xml:space="preserve"> </w:t>
      </w:r>
    </w:p>
    <w:p w14:paraId="22477607" w14:textId="56E0918A" w:rsidR="00112220" w:rsidRPr="005C4960" w:rsidRDefault="00864A39" w:rsidP="000962D7">
      <w:pPr>
        <w:spacing w:after="0" w:line="480" w:lineRule="auto"/>
        <w:ind w:left="-5" w:firstLine="1445"/>
        <w:jc w:val="both"/>
        <w:rPr>
          <w:rFonts w:ascii="Times New Roman" w:hAnsi="Times New Roman" w:cs="Times New Roman"/>
          <w:sz w:val="24"/>
          <w:szCs w:val="24"/>
        </w:rPr>
      </w:pPr>
      <w:r w:rsidRPr="005C4960">
        <w:rPr>
          <w:rFonts w:ascii="Times New Roman" w:hAnsi="Times New Roman" w:cs="Times New Roman"/>
          <w:sz w:val="24"/>
          <w:szCs w:val="24"/>
        </w:rPr>
        <w:t>However,</w:t>
      </w:r>
      <w:r w:rsidR="00BE5086" w:rsidRPr="005C4960">
        <w:rPr>
          <w:rFonts w:ascii="Times New Roman" w:hAnsi="Times New Roman" w:cs="Times New Roman"/>
          <w:sz w:val="24"/>
          <w:szCs w:val="24"/>
        </w:rPr>
        <w:t xml:space="preserve"> the appellant </w:t>
      </w:r>
      <w:r w:rsidR="00AA5B09" w:rsidRPr="005C4960">
        <w:rPr>
          <w:rFonts w:ascii="Times New Roman" w:hAnsi="Times New Roman" w:cs="Times New Roman"/>
          <w:sz w:val="24"/>
          <w:szCs w:val="24"/>
        </w:rPr>
        <w:t>prefers to treat</w:t>
      </w:r>
      <w:r w:rsidR="007D1AD6" w:rsidRPr="005C4960">
        <w:rPr>
          <w:rFonts w:ascii="Times New Roman" w:hAnsi="Times New Roman" w:cs="Times New Roman"/>
          <w:sz w:val="24"/>
          <w:szCs w:val="24"/>
        </w:rPr>
        <w:t xml:space="preserve"> </w:t>
      </w:r>
      <w:r w:rsidR="00AA5B09" w:rsidRPr="005C4960">
        <w:rPr>
          <w:rFonts w:ascii="Times New Roman" w:hAnsi="Times New Roman" w:cs="Times New Roman"/>
          <w:sz w:val="24"/>
          <w:szCs w:val="24"/>
        </w:rPr>
        <w:t>s</w:t>
      </w:r>
      <w:r w:rsidR="007D1AD6" w:rsidRPr="005C4960">
        <w:rPr>
          <w:rFonts w:ascii="Times New Roman" w:hAnsi="Times New Roman" w:cs="Times New Roman"/>
          <w:sz w:val="24"/>
          <w:szCs w:val="24"/>
        </w:rPr>
        <w:t xml:space="preserve"> </w:t>
      </w:r>
      <w:r w:rsidR="00BE5086" w:rsidRPr="005C4960">
        <w:rPr>
          <w:rFonts w:ascii="Times New Roman" w:hAnsi="Times New Roman" w:cs="Times New Roman"/>
          <w:sz w:val="24"/>
          <w:szCs w:val="24"/>
        </w:rPr>
        <w:t>15</w:t>
      </w:r>
      <w:r w:rsidR="008C167A" w:rsidRPr="005C4960">
        <w:rPr>
          <w:rFonts w:ascii="Times New Roman" w:hAnsi="Times New Roman" w:cs="Times New Roman"/>
          <w:sz w:val="24"/>
          <w:szCs w:val="24"/>
        </w:rPr>
        <w:t xml:space="preserve"> </w:t>
      </w:r>
      <w:r w:rsidR="00BE5086" w:rsidRPr="005C4960">
        <w:rPr>
          <w:rFonts w:ascii="Times New Roman" w:hAnsi="Times New Roman" w:cs="Times New Roman"/>
          <w:sz w:val="24"/>
          <w:szCs w:val="24"/>
        </w:rPr>
        <w:t>(2) of the IT</w:t>
      </w:r>
      <w:r w:rsidR="00AA5B09" w:rsidRPr="005C4960">
        <w:rPr>
          <w:rFonts w:ascii="Times New Roman" w:hAnsi="Times New Roman" w:cs="Times New Roman"/>
          <w:sz w:val="24"/>
          <w:szCs w:val="24"/>
        </w:rPr>
        <w:t>A</w:t>
      </w:r>
      <w:r w:rsidR="00BE5086" w:rsidRPr="005C4960">
        <w:rPr>
          <w:rFonts w:ascii="Times New Roman" w:hAnsi="Times New Roman" w:cs="Times New Roman"/>
          <w:sz w:val="24"/>
          <w:szCs w:val="24"/>
        </w:rPr>
        <w:t xml:space="preserve"> as a standalone provision.</w:t>
      </w:r>
      <w:r w:rsidR="00D03151" w:rsidRPr="005C4960">
        <w:rPr>
          <w:rFonts w:ascii="Times New Roman" w:hAnsi="Times New Roman" w:cs="Times New Roman"/>
          <w:sz w:val="24"/>
          <w:szCs w:val="24"/>
        </w:rPr>
        <w:t xml:space="preserve"> </w:t>
      </w:r>
      <w:r w:rsidR="0009289B" w:rsidRPr="005C4960">
        <w:rPr>
          <w:rFonts w:ascii="Times New Roman" w:hAnsi="Times New Roman" w:cs="Times New Roman"/>
          <w:sz w:val="24"/>
          <w:szCs w:val="24"/>
        </w:rPr>
        <w:t>In this manner t</w:t>
      </w:r>
      <w:r w:rsidR="00840E11" w:rsidRPr="005C4960">
        <w:rPr>
          <w:rFonts w:ascii="Times New Roman" w:hAnsi="Times New Roman" w:cs="Times New Roman"/>
          <w:sz w:val="24"/>
          <w:szCs w:val="24"/>
        </w:rPr>
        <w:t>he appellant</w:t>
      </w:r>
      <w:r w:rsidR="0009289B" w:rsidRPr="005C4960">
        <w:rPr>
          <w:rFonts w:ascii="Times New Roman" w:hAnsi="Times New Roman" w:cs="Times New Roman"/>
          <w:sz w:val="24"/>
          <w:szCs w:val="24"/>
        </w:rPr>
        <w:t xml:space="preserve"> singled</w:t>
      </w:r>
      <w:r w:rsidR="00840E11" w:rsidRPr="005C4960">
        <w:rPr>
          <w:rFonts w:ascii="Times New Roman" w:hAnsi="Times New Roman" w:cs="Times New Roman"/>
          <w:sz w:val="24"/>
          <w:szCs w:val="24"/>
        </w:rPr>
        <w:t xml:space="preserve"> out a particular provision and sought to interpret it</w:t>
      </w:r>
      <w:r w:rsidR="00D10CB8" w:rsidRPr="005C4960">
        <w:rPr>
          <w:rFonts w:ascii="Times New Roman" w:hAnsi="Times New Roman" w:cs="Times New Roman"/>
          <w:sz w:val="24"/>
          <w:szCs w:val="24"/>
        </w:rPr>
        <w:t xml:space="preserve"> </w:t>
      </w:r>
      <w:r w:rsidR="00840E11" w:rsidRPr="005C4960">
        <w:rPr>
          <w:rFonts w:ascii="Times New Roman" w:hAnsi="Times New Roman" w:cs="Times New Roman"/>
          <w:sz w:val="24"/>
          <w:szCs w:val="24"/>
        </w:rPr>
        <w:t xml:space="preserve">in isolation </w:t>
      </w:r>
      <w:r w:rsidR="0083675F" w:rsidRPr="005C4960">
        <w:rPr>
          <w:rFonts w:ascii="Times New Roman" w:hAnsi="Times New Roman" w:cs="Times New Roman"/>
          <w:sz w:val="24"/>
          <w:szCs w:val="24"/>
        </w:rPr>
        <w:t>from</w:t>
      </w:r>
      <w:r w:rsidR="00840E11" w:rsidRPr="005C4960">
        <w:rPr>
          <w:rFonts w:ascii="Times New Roman" w:hAnsi="Times New Roman" w:cs="Times New Roman"/>
          <w:sz w:val="24"/>
          <w:szCs w:val="24"/>
        </w:rPr>
        <w:t xml:space="preserve"> </w:t>
      </w:r>
      <w:r w:rsidR="0083675F" w:rsidRPr="005C4960">
        <w:rPr>
          <w:rFonts w:ascii="Times New Roman" w:hAnsi="Times New Roman" w:cs="Times New Roman"/>
          <w:sz w:val="24"/>
          <w:szCs w:val="24"/>
        </w:rPr>
        <w:t>s 4 A (10) of the Finance Act</w:t>
      </w:r>
      <w:r w:rsidR="00840E11" w:rsidRPr="005C4960">
        <w:rPr>
          <w:rFonts w:ascii="Times New Roman" w:hAnsi="Times New Roman" w:cs="Times New Roman"/>
          <w:sz w:val="24"/>
          <w:szCs w:val="24"/>
        </w:rPr>
        <w:t xml:space="preserve"> </w:t>
      </w:r>
      <w:r w:rsidR="0083675F" w:rsidRPr="005C4960">
        <w:rPr>
          <w:rFonts w:ascii="Times New Roman" w:hAnsi="Times New Roman" w:cs="Times New Roman"/>
          <w:sz w:val="24"/>
          <w:szCs w:val="24"/>
        </w:rPr>
        <w:t>which has</w:t>
      </w:r>
      <w:r w:rsidR="00840E11" w:rsidRPr="005C4960">
        <w:rPr>
          <w:rFonts w:ascii="Times New Roman" w:hAnsi="Times New Roman" w:cs="Times New Roman"/>
          <w:sz w:val="24"/>
          <w:szCs w:val="24"/>
        </w:rPr>
        <w:t xml:space="preserve"> a bearing on the </w:t>
      </w:r>
      <w:r w:rsidR="00F629F9" w:rsidRPr="005C4960">
        <w:rPr>
          <w:rFonts w:ascii="Times New Roman" w:hAnsi="Times New Roman" w:cs="Times New Roman"/>
          <w:sz w:val="24"/>
          <w:szCs w:val="24"/>
        </w:rPr>
        <w:t>issue</w:t>
      </w:r>
      <w:r w:rsidR="00840E11" w:rsidRPr="005C4960">
        <w:rPr>
          <w:rFonts w:ascii="Times New Roman" w:hAnsi="Times New Roman" w:cs="Times New Roman"/>
          <w:sz w:val="24"/>
          <w:szCs w:val="24"/>
        </w:rPr>
        <w:t xml:space="preserve"> in contention</w:t>
      </w:r>
      <w:r w:rsidR="0084125F" w:rsidRPr="005C4960">
        <w:rPr>
          <w:rFonts w:ascii="Times New Roman" w:hAnsi="Times New Roman" w:cs="Times New Roman"/>
          <w:sz w:val="24"/>
          <w:szCs w:val="24"/>
        </w:rPr>
        <w:t>.</w:t>
      </w:r>
      <w:r w:rsidR="009A299A" w:rsidRPr="005C4960">
        <w:rPr>
          <w:rFonts w:ascii="Times New Roman" w:hAnsi="Times New Roman" w:cs="Times New Roman"/>
          <w:sz w:val="24"/>
          <w:szCs w:val="24"/>
        </w:rPr>
        <w:t xml:space="preserve"> </w:t>
      </w:r>
      <w:r w:rsidR="000962D7">
        <w:rPr>
          <w:rFonts w:ascii="Times New Roman" w:hAnsi="Times New Roman" w:cs="Times New Roman"/>
          <w:sz w:val="24"/>
          <w:szCs w:val="24"/>
        </w:rPr>
        <w:t xml:space="preserve"> </w:t>
      </w:r>
      <w:r w:rsidR="009A299A" w:rsidRPr="005C4960">
        <w:rPr>
          <w:rFonts w:ascii="Times New Roman" w:hAnsi="Times New Roman" w:cs="Times New Roman"/>
          <w:sz w:val="24"/>
          <w:szCs w:val="24"/>
        </w:rPr>
        <w:t xml:space="preserve">It is an established principle of interpretation that related statutes must be read together. </w:t>
      </w:r>
      <w:r w:rsidR="000962D7">
        <w:rPr>
          <w:rFonts w:ascii="Times New Roman" w:hAnsi="Times New Roman" w:cs="Times New Roman"/>
          <w:sz w:val="24"/>
          <w:szCs w:val="24"/>
        </w:rPr>
        <w:t xml:space="preserve"> </w:t>
      </w:r>
      <w:r w:rsidR="009A299A" w:rsidRPr="005C4960">
        <w:rPr>
          <w:rFonts w:ascii="Times New Roman" w:hAnsi="Times New Roman" w:cs="Times New Roman"/>
          <w:sz w:val="24"/>
          <w:szCs w:val="24"/>
        </w:rPr>
        <w:t xml:space="preserve">See </w:t>
      </w:r>
      <w:r w:rsidR="009A299A" w:rsidRPr="005C4960">
        <w:rPr>
          <w:rFonts w:ascii="Times New Roman" w:hAnsi="Times New Roman" w:cs="Times New Roman"/>
          <w:i/>
          <w:iCs/>
          <w:sz w:val="24"/>
          <w:szCs w:val="24"/>
        </w:rPr>
        <w:t xml:space="preserve">PTC </w:t>
      </w:r>
      <w:r w:rsidR="009A299A" w:rsidRPr="0019736C">
        <w:rPr>
          <w:rFonts w:ascii="Times New Roman" w:hAnsi="Times New Roman" w:cs="Times New Roman"/>
          <w:iCs/>
          <w:sz w:val="24"/>
          <w:szCs w:val="24"/>
        </w:rPr>
        <w:t>v</w:t>
      </w:r>
      <w:r w:rsidR="009A299A" w:rsidRPr="005C4960">
        <w:rPr>
          <w:rFonts w:ascii="Times New Roman" w:hAnsi="Times New Roman" w:cs="Times New Roman"/>
          <w:i/>
          <w:iCs/>
          <w:sz w:val="24"/>
          <w:szCs w:val="24"/>
        </w:rPr>
        <w:t xml:space="preserve"> Retrofit (Pvt) Ltd </w:t>
      </w:r>
      <w:r w:rsidR="009A299A" w:rsidRPr="005C4960">
        <w:rPr>
          <w:rFonts w:ascii="Times New Roman" w:hAnsi="Times New Roman" w:cs="Times New Roman"/>
          <w:sz w:val="24"/>
          <w:szCs w:val="24"/>
        </w:rPr>
        <w:t xml:space="preserve">1994 (2) ZLR 71 (S). </w:t>
      </w:r>
      <w:r w:rsidR="0084125F" w:rsidRPr="005C4960">
        <w:rPr>
          <w:rFonts w:ascii="Times New Roman" w:hAnsi="Times New Roman" w:cs="Times New Roman"/>
          <w:sz w:val="24"/>
          <w:szCs w:val="24"/>
        </w:rPr>
        <w:t xml:space="preserve"> </w:t>
      </w:r>
      <w:r w:rsidR="00EC62F3" w:rsidRPr="005C4960">
        <w:rPr>
          <w:rFonts w:ascii="Times New Roman" w:hAnsi="Times New Roman" w:cs="Times New Roman"/>
          <w:sz w:val="24"/>
          <w:szCs w:val="24"/>
        </w:rPr>
        <w:t>The appellant is of the contention that th</w:t>
      </w:r>
      <w:r w:rsidR="00EF3882" w:rsidRPr="005C4960">
        <w:rPr>
          <w:rFonts w:ascii="Times New Roman" w:hAnsi="Times New Roman" w:cs="Times New Roman"/>
          <w:sz w:val="24"/>
          <w:szCs w:val="24"/>
        </w:rPr>
        <w:t>is</w:t>
      </w:r>
      <w:r w:rsidR="00EC62F3" w:rsidRPr="005C4960">
        <w:rPr>
          <w:rFonts w:ascii="Times New Roman" w:hAnsi="Times New Roman" w:cs="Times New Roman"/>
          <w:sz w:val="24"/>
          <w:szCs w:val="24"/>
        </w:rPr>
        <w:t xml:space="preserve"> Court should</w:t>
      </w:r>
      <w:r w:rsidR="00801654" w:rsidRPr="005C4960">
        <w:rPr>
          <w:rFonts w:ascii="Times New Roman" w:hAnsi="Times New Roman" w:cs="Times New Roman"/>
          <w:sz w:val="24"/>
          <w:szCs w:val="24"/>
        </w:rPr>
        <w:t xml:space="preserve"> not</w:t>
      </w:r>
      <w:r w:rsidR="00EF3882" w:rsidRPr="005C4960">
        <w:rPr>
          <w:rFonts w:ascii="Times New Roman" w:hAnsi="Times New Roman" w:cs="Times New Roman"/>
          <w:sz w:val="24"/>
          <w:szCs w:val="24"/>
        </w:rPr>
        <w:t xml:space="preserve"> adopt the matching principle as enunciated in</w:t>
      </w:r>
      <w:r w:rsidR="00EC62F3" w:rsidRPr="005C4960">
        <w:rPr>
          <w:rFonts w:ascii="Times New Roman" w:hAnsi="Times New Roman" w:cs="Times New Roman"/>
          <w:sz w:val="24"/>
          <w:szCs w:val="24"/>
        </w:rPr>
        <w:t xml:space="preserve"> </w:t>
      </w:r>
      <w:r w:rsidR="00EC62F3" w:rsidRPr="005C4960">
        <w:rPr>
          <w:rFonts w:ascii="Times New Roman" w:hAnsi="Times New Roman" w:cs="Times New Roman"/>
          <w:i/>
          <w:sz w:val="24"/>
          <w:szCs w:val="24"/>
        </w:rPr>
        <w:t xml:space="preserve">DEB (Pvt) Ltd </w:t>
      </w:r>
      <w:r w:rsidR="00EC62F3" w:rsidRPr="0019736C">
        <w:rPr>
          <w:rFonts w:ascii="Times New Roman" w:hAnsi="Times New Roman" w:cs="Times New Roman"/>
          <w:sz w:val="24"/>
          <w:szCs w:val="24"/>
        </w:rPr>
        <w:t>v</w:t>
      </w:r>
      <w:r w:rsidR="00EC62F3" w:rsidRPr="005C4960">
        <w:rPr>
          <w:rFonts w:ascii="Times New Roman" w:hAnsi="Times New Roman" w:cs="Times New Roman"/>
          <w:i/>
          <w:sz w:val="24"/>
          <w:szCs w:val="24"/>
        </w:rPr>
        <w:t xml:space="preserve"> ZIMRA</w:t>
      </w:r>
      <w:r w:rsidR="00EC62F3" w:rsidRPr="005C4960">
        <w:rPr>
          <w:rFonts w:ascii="Times New Roman" w:hAnsi="Times New Roman" w:cs="Times New Roman"/>
          <w:sz w:val="24"/>
          <w:szCs w:val="24"/>
        </w:rPr>
        <w:t xml:space="preserve"> </w:t>
      </w:r>
      <w:r w:rsidR="00617153">
        <w:rPr>
          <w:rFonts w:ascii="Times New Roman" w:hAnsi="Times New Roman" w:cs="Times New Roman"/>
          <w:sz w:val="24"/>
          <w:szCs w:val="24"/>
        </w:rPr>
        <w:t>2019 (3) ZLR 722</w:t>
      </w:r>
      <w:r w:rsidR="0017054F" w:rsidRPr="005C4960">
        <w:rPr>
          <w:rFonts w:ascii="Times New Roman" w:hAnsi="Times New Roman" w:cs="Times New Roman"/>
          <w:sz w:val="24"/>
          <w:szCs w:val="24"/>
        </w:rPr>
        <w:t xml:space="preserve"> and</w:t>
      </w:r>
      <w:r w:rsidR="00EF3882" w:rsidRPr="005C4960">
        <w:rPr>
          <w:rFonts w:ascii="Times New Roman" w:hAnsi="Times New Roman" w:cs="Times New Roman"/>
          <w:sz w:val="24"/>
          <w:szCs w:val="24"/>
        </w:rPr>
        <w:t xml:space="preserve"> later </w:t>
      </w:r>
      <w:r w:rsidR="00EC62F3" w:rsidRPr="005C4960">
        <w:rPr>
          <w:rFonts w:ascii="Times New Roman" w:hAnsi="Times New Roman" w:cs="Times New Roman"/>
          <w:sz w:val="24"/>
          <w:szCs w:val="24"/>
        </w:rPr>
        <w:t xml:space="preserve">confirmed in </w:t>
      </w:r>
      <w:r w:rsidR="00EC62F3" w:rsidRPr="005C4960">
        <w:rPr>
          <w:rFonts w:ascii="Times New Roman" w:hAnsi="Times New Roman" w:cs="Times New Roman"/>
          <w:i/>
          <w:iCs/>
          <w:sz w:val="24"/>
          <w:szCs w:val="24"/>
        </w:rPr>
        <w:t>D</w:t>
      </w:r>
      <w:r w:rsidR="00B210E8" w:rsidRPr="005C4960">
        <w:rPr>
          <w:rFonts w:ascii="Times New Roman" w:hAnsi="Times New Roman" w:cs="Times New Roman"/>
          <w:i/>
          <w:iCs/>
          <w:sz w:val="24"/>
          <w:szCs w:val="24"/>
        </w:rPr>
        <w:t>elta</w:t>
      </w:r>
      <w:r w:rsidR="00B210E8" w:rsidRPr="005C4960">
        <w:rPr>
          <w:rFonts w:ascii="Times New Roman" w:hAnsi="Times New Roman" w:cs="Times New Roman"/>
          <w:i/>
          <w:sz w:val="24"/>
          <w:szCs w:val="24"/>
          <w:lang w:val="en-ZW"/>
        </w:rPr>
        <w:t xml:space="preserve"> Beverages</w:t>
      </w:r>
      <w:r w:rsidR="00B210E8" w:rsidRPr="005C4960">
        <w:rPr>
          <w:rFonts w:ascii="Times New Roman" w:hAnsi="Times New Roman" w:cs="Times New Roman"/>
          <w:i/>
          <w:sz w:val="24"/>
          <w:szCs w:val="24"/>
        </w:rPr>
        <w:t xml:space="preserve"> (Pvt) Ltd </w:t>
      </w:r>
      <w:r w:rsidR="00B210E8" w:rsidRPr="0019736C">
        <w:rPr>
          <w:rFonts w:ascii="Times New Roman" w:hAnsi="Times New Roman" w:cs="Times New Roman"/>
          <w:sz w:val="24"/>
          <w:szCs w:val="24"/>
        </w:rPr>
        <w:t>v</w:t>
      </w:r>
      <w:r w:rsidR="00B210E8" w:rsidRPr="005C4960">
        <w:rPr>
          <w:rFonts w:ascii="Times New Roman" w:hAnsi="Times New Roman" w:cs="Times New Roman"/>
          <w:i/>
          <w:sz w:val="24"/>
          <w:szCs w:val="24"/>
          <w:lang w:val="en-ZW"/>
        </w:rPr>
        <w:t xml:space="preserve"> Zimbabwe Revenue Authority supra</w:t>
      </w:r>
      <w:r w:rsidR="00EC62F3" w:rsidRPr="005C4960">
        <w:rPr>
          <w:rFonts w:ascii="Times New Roman" w:hAnsi="Times New Roman" w:cs="Times New Roman"/>
          <w:sz w:val="24"/>
          <w:szCs w:val="24"/>
        </w:rPr>
        <w:t xml:space="preserve">. </w:t>
      </w:r>
      <w:r w:rsidR="002E560F">
        <w:rPr>
          <w:rFonts w:ascii="Times New Roman" w:hAnsi="Times New Roman" w:cs="Times New Roman"/>
          <w:sz w:val="24"/>
          <w:szCs w:val="24"/>
        </w:rPr>
        <w:t xml:space="preserve"> </w:t>
      </w:r>
      <w:r w:rsidR="000962D7">
        <w:rPr>
          <w:rFonts w:ascii="Times New Roman" w:hAnsi="Times New Roman" w:cs="Times New Roman"/>
          <w:sz w:val="24"/>
          <w:szCs w:val="24"/>
        </w:rPr>
        <w:t xml:space="preserve"> </w:t>
      </w:r>
      <w:r w:rsidR="0013482A" w:rsidRPr="005C4960">
        <w:rPr>
          <w:rFonts w:ascii="Times New Roman" w:hAnsi="Times New Roman" w:cs="Times New Roman"/>
          <w:sz w:val="24"/>
          <w:szCs w:val="24"/>
        </w:rPr>
        <w:t>The appellant further argued that</w:t>
      </w:r>
      <w:r w:rsidR="00EC62F3" w:rsidRPr="005C4960">
        <w:rPr>
          <w:rFonts w:ascii="Times New Roman" w:hAnsi="Times New Roman" w:cs="Times New Roman"/>
          <w:sz w:val="24"/>
          <w:szCs w:val="24"/>
        </w:rPr>
        <w:t xml:space="preserve"> by the time this </w:t>
      </w:r>
      <w:r w:rsidR="0017054F" w:rsidRPr="005C4960">
        <w:rPr>
          <w:rFonts w:ascii="Times New Roman" w:hAnsi="Times New Roman" w:cs="Times New Roman"/>
          <w:sz w:val="24"/>
          <w:szCs w:val="24"/>
        </w:rPr>
        <w:t>C</w:t>
      </w:r>
      <w:r w:rsidR="00EC62F3" w:rsidRPr="005C4960">
        <w:rPr>
          <w:rFonts w:ascii="Times New Roman" w:hAnsi="Times New Roman" w:cs="Times New Roman"/>
          <w:sz w:val="24"/>
          <w:szCs w:val="24"/>
        </w:rPr>
        <w:t>ourt confir</w:t>
      </w:r>
      <w:r w:rsidR="00112220" w:rsidRPr="005C4960">
        <w:rPr>
          <w:rFonts w:ascii="Times New Roman" w:hAnsi="Times New Roman" w:cs="Times New Roman"/>
          <w:sz w:val="24"/>
          <w:szCs w:val="24"/>
        </w:rPr>
        <w:t>med the</w:t>
      </w:r>
      <w:r w:rsidR="0017054F" w:rsidRPr="005C4960">
        <w:rPr>
          <w:rFonts w:ascii="Times New Roman" w:hAnsi="Times New Roman" w:cs="Times New Roman"/>
          <w:sz w:val="24"/>
          <w:szCs w:val="24"/>
        </w:rPr>
        <w:t xml:space="preserve"> matching</w:t>
      </w:r>
      <w:r w:rsidR="00112220" w:rsidRPr="005C4960">
        <w:rPr>
          <w:rFonts w:ascii="Times New Roman" w:hAnsi="Times New Roman" w:cs="Times New Roman"/>
          <w:sz w:val="24"/>
          <w:szCs w:val="24"/>
        </w:rPr>
        <w:t xml:space="preserve"> principle in</w:t>
      </w:r>
      <w:r w:rsidR="00EC62F3" w:rsidRPr="005C4960">
        <w:rPr>
          <w:rFonts w:ascii="Times New Roman" w:hAnsi="Times New Roman" w:cs="Times New Roman"/>
          <w:sz w:val="24"/>
          <w:szCs w:val="24"/>
        </w:rPr>
        <w:t xml:space="preserve"> 2022, the lower court had </w:t>
      </w:r>
      <w:r w:rsidR="0017054F" w:rsidRPr="005C4960">
        <w:rPr>
          <w:rFonts w:ascii="Times New Roman" w:hAnsi="Times New Roman" w:cs="Times New Roman"/>
          <w:sz w:val="24"/>
          <w:szCs w:val="24"/>
        </w:rPr>
        <w:t>reversed</w:t>
      </w:r>
      <w:r w:rsidR="00EC62F3" w:rsidRPr="005C4960">
        <w:rPr>
          <w:rFonts w:ascii="Times New Roman" w:hAnsi="Times New Roman" w:cs="Times New Roman"/>
          <w:sz w:val="24"/>
          <w:szCs w:val="24"/>
        </w:rPr>
        <w:t xml:space="preserve"> its earlier decision in </w:t>
      </w:r>
      <w:r w:rsidR="00EC62F3" w:rsidRPr="002E560F">
        <w:rPr>
          <w:rFonts w:ascii="Times New Roman" w:hAnsi="Times New Roman" w:cs="Times New Roman"/>
          <w:i/>
          <w:sz w:val="24"/>
          <w:szCs w:val="24"/>
        </w:rPr>
        <w:t>DEB</w:t>
      </w:r>
      <w:r w:rsidR="00B25CB9" w:rsidRPr="005C4960">
        <w:rPr>
          <w:rFonts w:ascii="Times New Roman" w:hAnsi="Times New Roman" w:cs="Times New Roman"/>
          <w:sz w:val="24"/>
          <w:szCs w:val="24"/>
        </w:rPr>
        <w:t xml:space="preserve"> </w:t>
      </w:r>
      <w:r w:rsidR="00B25CB9" w:rsidRPr="005C4960">
        <w:rPr>
          <w:rFonts w:ascii="Times New Roman" w:hAnsi="Times New Roman" w:cs="Times New Roman"/>
          <w:i/>
          <w:sz w:val="24"/>
          <w:szCs w:val="24"/>
        </w:rPr>
        <w:t xml:space="preserve">(Pvt) Ltd </w:t>
      </w:r>
      <w:r w:rsidR="00B25CB9" w:rsidRPr="0019736C">
        <w:rPr>
          <w:rFonts w:ascii="Times New Roman" w:hAnsi="Times New Roman" w:cs="Times New Roman"/>
          <w:sz w:val="24"/>
          <w:szCs w:val="24"/>
        </w:rPr>
        <w:t>v</w:t>
      </w:r>
      <w:r w:rsidR="00B25CB9" w:rsidRPr="005C4960">
        <w:rPr>
          <w:rFonts w:ascii="Times New Roman" w:hAnsi="Times New Roman" w:cs="Times New Roman"/>
          <w:i/>
          <w:sz w:val="24"/>
          <w:szCs w:val="24"/>
        </w:rPr>
        <w:t xml:space="preserve"> ZIMRA </w:t>
      </w:r>
      <w:r w:rsidR="00A65029" w:rsidRPr="005C4960">
        <w:rPr>
          <w:rFonts w:ascii="Times New Roman" w:hAnsi="Times New Roman" w:cs="Times New Roman"/>
          <w:i/>
          <w:sz w:val="24"/>
          <w:szCs w:val="24"/>
        </w:rPr>
        <w:t>supra</w:t>
      </w:r>
      <w:r w:rsidR="00A65029" w:rsidRPr="005C4960">
        <w:rPr>
          <w:rFonts w:ascii="Times New Roman" w:hAnsi="Times New Roman" w:cs="Times New Roman"/>
          <w:sz w:val="24"/>
          <w:szCs w:val="24"/>
        </w:rPr>
        <w:t xml:space="preserve"> by holding </w:t>
      </w:r>
      <w:r w:rsidR="00EC62F3" w:rsidRPr="005C4960">
        <w:rPr>
          <w:rFonts w:ascii="Times New Roman" w:hAnsi="Times New Roman" w:cs="Times New Roman"/>
          <w:sz w:val="24"/>
          <w:szCs w:val="24"/>
        </w:rPr>
        <w:t>that the matching principle was</w:t>
      </w:r>
      <w:r w:rsidR="00880464" w:rsidRPr="005C4960">
        <w:rPr>
          <w:rFonts w:ascii="Times New Roman" w:hAnsi="Times New Roman" w:cs="Times New Roman"/>
          <w:sz w:val="24"/>
          <w:szCs w:val="24"/>
        </w:rPr>
        <w:t xml:space="preserve"> not</w:t>
      </w:r>
      <w:r w:rsidR="00EC62F3" w:rsidRPr="005C4960">
        <w:rPr>
          <w:rFonts w:ascii="Times New Roman" w:hAnsi="Times New Roman" w:cs="Times New Roman"/>
          <w:sz w:val="24"/>
          <w:szCs w:val="24"/>
        </w:rPr>
        <w:t xml:space="preserve"> part of our law in the case of </w:t>
      </w:r>
      <w:r w:rsidR="00EC62F3" w:rsidRPr="005C4960">
        <w:rPr>
          <w:rFonts w:ascii="Times New Roman" w:hAnsi="Times New Roman" w:cs="Times New Roman"/>
          <w:i/>
          <w:sz w:val="24"/>
          <w:szCs w:val="24"/>
        </w:rPr>
        <w:t xml:space="preserve">SZ (Pvt) Ltd </w:t>
      </w:r>
      <w:r w:rsidR="00EC62F3" w:rsidRPr="0019736C">
        <w:rPr>
          <w:rFonts w:ascii="Times New Roman" w:hAnsi="Times New Roman" w:cs="Times New Roman"/>
          <w:sz w:val="24"/>
          <w:szCs w:val="24"/>
        </w:rPr>
        <w:t>v</w:t>
      </w:r>
      <w:r w:rsidR="00EC62F3" w:rsidRPr="005C4960">
        <w:rPr>
          <w:rFonts w:ascii="Times New Roman" w:hAnsi="Times New Roman" w:cs="Times New Roman"/>
          <w:i/>
          <w:sz w:val="24"/>
          <w:szCs w:val="24"/>
        </w:rPr>
        <w:t xml:space="preserve"> Z</w:t>
      </w:r>
      <w:r w:rsidR="004A6B82" w:rsidRPr="005C4960">
        <w:rPr>
          <w:rFonts w:ascii="Times New Roman" w:hAnsi="Times New Roman" w:cs="Times New Roman"/>
          <w:i/>
          <w:sz w:val="24"/>
          <w:szCs w:val="24"/>
        </w:rPr>
        <w:t>imbabwe Revenue Authority</w:t>
      </w:r>
      <w:r w:rsidR="00EC62F3" w:rsidRPr="005C4960">
        <w:rPr>
          <w:rFonts w:ascii="Times New Roman" w:hAnsi="Times New Roman" w:cs="Times New Roman"/>
          <w:sz w:val="24"/>
          <w:szCs w:val="24"/>
        </w:rPr>
        <w:t xml:space="preserve"> </w:t>
      </w:r>
      <w:r w:rsidR="00617153">
        <w:rPr>
          <w:rFonts w:ascii="Times New Roman" w:hAnsi="Times New Roman" w:cs="Times New Roman"/>
          <w:sz w:val="24"/>
          <w:szCs w:val="24"/>
        </w:rPr>
        <w:t>20</w:t>
      </w:r>
      <w:r w:rsidR="00EC62F3" w:rsidRPr="005C4960">
        <w:rPr>
          <w:rFonts w:ascii="Times New Roman" w:hAnsi="Times New Roman" w:cs="Times New Roman"/>
          <w:sz w:val="24"/>
          <w:szCs w:val="24"/>
        </w:rPr>
        <w:t>20</w:t>
      </w:r>
      <w:r w:rsidR="00617153">
        <w:rPr>
          <w:rFonts w:ascii="Times New Roman" w:hAnsi="Times New Roman" w:cs="Times New Roman"/>
          <w:sz w:val="24"/>
          <w:szCs w:val="24"/>
        </w:rPr>
        <w:t xml:space="preserve"> (1) ZLR 315 (H)</w:t>
      </w:r>
      <w:r w:rsidR="00C4413A">
        <w:rPr>
          <w:rFonts w:ascii="Times New Roman" w:hAnsi="Times New Roman" w:cs="Times New Roman"/>
          <w:sz w:val="24"/>
          <w:szCs w:val="24"/>
        </w:rPr>
        <w:t xml:space="preserve">.  </w:t>
      </w:r>
      <w:r w:rsidR="000962D7">
        <w:rPr>
          <w:rFonts w:ascii="Times New Roman" w:hAnsi="Times New Roman" w:cs="Times New Roman"/>
          <w:sz w:val="24"/>
          <w:szCs w:val="24"/>
        </w:rPr>
        <w:t xml:space="preserve"> </w:t>
      </w:r>
      <w:r w:rsidR="00EC62F3" w:rsidRPr="005C4960">
        <w:rPr>
          <w:rFonts w:ascii="Times New Roman" w:hAnsi="Times New Roman" w:cs="Times New Roman"/>
          <w:sz w:val="24"/>
          <w:szCs w:val="24"/>
        </w:rPr>
        <w:t xml:space="preserve">The </w:t>
      </w:r>
      <w:r w:rsidR="00C61F0D" w:rsidRPr="005C4960">
        <w:rPr>
          <w:rFonts w:ascii="Times New Roman" w:hAnsi="Times New Roman" w:cs="Times New Roman"/>
          <w:sz w:val="24"/>
          <w:szCs w:val="24"/>
        </w:rPr>
        <w:t>nub</w:t>
      </w:r>
      <w:r w:rsidR="00EC62F3" w:rsidRPr="005C4960">
        <w:rPr>
          <w:rFonts w:ascii="Times New Roman" w:hAnsi="Times New Roman" w:cs="Times New Roman"/>
          <w:sz w:val="24"/>
          <w:szCs w:val="24"/>
        </w:rPr>
        <w:t xml:space="preserve"> of the appellant’s argument was that th</w:t>
      </w:r>
      <w:r w:rsidR="009A1F30" w:rsidRPr="005C4960">
        <w:rPr>
          <w:rFonts w:ascii="Times New Roman" w:hAnsi="Times New Roman" w:cs="Times New Roman"/>
          <w:sz w:val="24"/>
          <w:szCs w:val="24"/>
        </w:rPr>
        <w:t>is</w:t>
      </w:r>
      <w:r w:rsidR="0078539B" w:rsidRPr="005C4960">
        <w:rPr>
          <w:rFonts w:ascii="Times New Roman" w:hAnsi="Times New Roman" w:cs="Times New Roman"/>
          <w:sz w:val="24"/>
          <w:szCs w:val="24"/>
        </w:rPr>
        <w:t xml:space="preserve"> </w:t>
      </w:r>
      <w:r w:rsidR="0019736C">
        <w:rPr>
          <w:rFonts w:ascii="Times New Roman" w:hAnsi="Times New Roman" w:cs="Times New Roman"/>
          <w:sz w:val="24"/>
          <w:szCs w:val="24"/>
        </w:rPr>
        <w:t>C</w:t>
      </w:r>
      <w:r w:rsidR="0078539B" w:rsidRPr="005C4960">
        <w:rPr>
          <w:rFonts w:ascii="Times New Roman" w:hAnsi="Times New Roman" w:cs="Times New Roman"/>
          <w:sz w:val="24"/>
          <w:szCs w:val="24"/>
        </w:rPr>
        <w:t>ourt should depart from</w:t>
      </w:r>
      <w:r w:rsidR="00EC62F3" w:rsidRPr="005C4960">
        <w:rPr>
          <w:rFonts w:ascii="Times New Roman" w:hAnsi="Times New Roman" w:cs="Times New Roman"/>
          <w:sz w:val="24"/>
          <w:szCs w:val="24"/>
        </w:rPr>
        <w:t xml:space="preserve"> the</w:t>
      </w:r>
      <w:r w:rsidR="00386C62" w:rsidRPr="005C4960">
        <w:rPr>
          <w:rFonts w:ascii="Times New Roman" w:hAnsi="Times New Roman" w:cs="Times New Roman"/>
          <w:i/>
          <w:iCs/>
          <w:sz w:val="24"/>
          <w:szCs w:val="24"/>
        </w:rPr>
        <w:t xml:space="preserve"> Delta</w:t>
      </w:r>
      <w:r w:rsidR="00386C62" w:rsidRPr="005C4960">
        <w:rPr>
          <w:rFonts w:ascii="Times New Roman" w:hAnsi="Times New Roman" w:cs="Times New Roman"/>
          <w:i/>
          <w:sz w:val="24"/>
          <w:szCs w:val="24"/>
          <w:lang w:val="en-ZW"/>
        </w:rPr>
        <w:t xml:space="preserve"> Beverages</w:t>
      </w:r>
      <w:r w:rsidR="00386C62" w:rsidRPr="005C4960">
        <w:rPr>
          <w:rFonts w:ascii="Times New Roman" w:hAnsi="Times New Roman" w:cs="Times New Roman"/>
          <w:i/>
          <w:sz w:val="24"/>
          <w:szCs w:val="24"/>
        </w:rPr>
        <w:t xml:space="preserve"> (Pvt) Ltd </w:t>
      </w:r>
      <w:r w:rsidR="00386C62" w:rsidRPr="0019736C">
        <w:rPr>
          <w:rFonts w:ascii="Times New Roman" w:hAnsi="Times New Roman" w:cs="Times New Roman"/>
          <w:sz w:val="24"/>
          <w:szCs w:val="24"/>
        </w:rPr>
        <w:t>v</w:t>
      </w:r>
      <w:r w:rsidR="00386C62" w:rsidRPr="005C4960">
        <w:rPr>
          <w:rFonts w:ascii="Times New Roman" w:hAnsi="Times New Roman" w:cs="Times New Roman"/>
          <w:i/>
          <w:sz w:val="24"/>
          <w:szCs w:val="24"/>
          <w:lang w:val="en-ZW"/>
        </w:rPr>
        <w:t xml:space="preserve"> Zimbabwe Revenue Authority </w:t>
      </w:r>
      <w:r w:rsidR="00CF029A" w:rsidRPr="005C4960">
        <w:rPr>
          <w:rFonts w:ascii="Times New Roman" w:hAnsi="Times New Roman" w:cs="Times New Roman"/>
          <w:i/>
          <w:sz w:val="24"/>
          <w:szCs w:val="24"/>
          <w:lang w:val="en-ZW"/>
        </w:rPr>
        <w:t>supra</w:t>
      </w:r>
      <w:r w:rsidR="00CF029A" w:rsidRPr="005C4960">
        <w:rPr>
          <w:rFonts w:ascii="Times New Roman" w:hAnsi="Times New Roman" w:cs="Times New Roman"/>
          <w:sz w:val="24"/>
          <w:szCs w:val="24"/>
        </w:rPr>
        <w:t xml:space="preserve"> judgment</w:t>
      </w:r>
      <w:r w:rsidR="00EC62F3" w:rsidRPr="005C4960">
        <w:rPr>
          <w:rFonts w:ascii="Times New Roman" w:hAnsi="Times New Roman" w:cs="Times New Roman"/>
          <w:sz w:val="24"/>
          <w:szCs w:val="24"/>
        </w:rPr>
        <w:t xml:space="preserve"> because of the retraction by the lower court of its earlier position on the matching principle.</w:t>
      </w:r>
      <w:r w:rsidR="0013482A" w:rsidRPr="005C4960">
        <w:rPr>
          <w:rFonts w:ascii="Times New Roman" w:hAnsi="Times New Roman" w:cs="Times New Roman"/>
          <w:sz w:val="24"/>
          <w:szCs w:val="24"/>
        </w:rPr>
        <w:t xml:space="preserve"> </w:t>
      </w:r>
      <w:r w:rsidR="000962D7">
        <w:rPr>
          <w:rFonts w:ascii="Times New Roman" w:hAnsi="Times New Roman" w:cs="Times New Roman"/>
          <w:sz w:val="24"/>
          <w:szCs w:val="24"/>
        </w:rPr>
        <w:t xml:space="preserve"> </w:t>
      </w:r>
      <w:r w:rsidR="0013482A" w:rsidRPr="005C4960">
        <w:rPr>
          <w:rFonts w:ascii="Times New Roman" w:hAnsi="Times New Roman" w:cs="Times New Roman"/>
          <w:sz w:val="24"/>
          <w:szCs w:val="24"/>
        </w:rPr>
        <w:t>In a nutshell, the appellant</w:t>
      </w:r>
      <w:r w:rsidR="0019736C">
        <w:rPr>
          <w:rFonts w:ascii="Times New Roman" w:hAnsi="Times New Roman" w:cs="Times New Roman"/>
          <w:sz w:val="24"/>
          <w:szCs w:val="24"/>
        </w:rPr>
        <w:t xml:space="preserve"> urges this C</w:t>
      </w:r>
      <w:r w:rsidR="00CF029A" w:rsidRPr="005C4960">
        <w:rPr>
          <w:rFonts w:ascii="Times New Roman" w:hAnsi="Times New Roman" w:cs="Times New Roman"/>
          <w:sz w:val="24"/>
          <w:szCs w:val="24"/>
        </w:rPr>
        <w:t>ourt to be bound by the judgment in</w:t>
      </w:r>
      <w:r w:rsidR="00CF029A" w:rsidRPr="005C4960">
        <w:rPr>
          <w:rFonts w:ascii="Times New Roman" w:hAnsi="Times New Roman" w:cs="Times New Roman"/>
          <w:i/>
          <w:sz w:val="24"/>
          <w:szCs w:val="24"/>
        </w:rPr>
        <w:t xml:space="preserve"> </w:t>
      </w:r>
      <w:r w:rsidR="00CF029A" w:rsidRPr="00C4413A">
        <w:rPr>
          <w:rFonts w:ascii="Times New Roman" w:hAnsi="Times New Roman" w:cs="Times New Roman"/>
          <w:i/>
          <w:sz w:val="24"/>
          <w:szCs w:val="24"/>
        </w:rPr>
        <w:t>SZ</w:t>
      </w:r>
      <w:r w:rsidR="00CF029A" w:rsidRPr="005C4960">
        <w:rPr>
          <w:rFonts w:ascii="Times New Roman" w:hAnsi="Times New Roman" w:cs="Times New Roman"/>
          <w:i/>
          <w:sz w:val="24"/>
          <w:szCs w:val="24"/>
        </w:rPr>
        <w:t xml:space="preserve"> (Pvt) Ltd </w:t>
      </w:r>
      <w:r w:rsidR="00CF029A" w:rsidRPr="0019736C">
        <w:rPr>
          <w:rFonts w:ascii="Times New Roman" w:hAnsi="Times New Roman" w:cs="Times New Roman"/>
          <w:sz w:val="24"/>
          <w:szCs w:val="24"/>
        </w:rPr>
        <w:t>v</w:t>
      </w:r>
      <w:r w:rsidR="00CF029A" w:rsidRPr="005C4960">
        <w:rPr>
          <w:rFonts w:ascii="Times New Roman" w:hAnsi="Times New Roman" w:cs="Times New Roman"/>
          <w:i/>
          <w:sz w:val="24"/>
          <w:szCs w:val="24"/>
        </w:rPr>
        <w:t xml:space="preserve"> ZIMRA supra.</w:t>
      </w:r>
      <w:r w:rsidR="00CF029A" w:rsidRPr="005C4960">
        <w:rPr>
          <w:rFonts w:ascii="Times New Roman" w:hAnsi="Times New Roman" w:cs="Times New Roman"/>
          <w:sz w:val="24"/>
          <w:szCs w:val="24"/>
        </w:rPr>
        <w:t xml:space="preserve"> </w:t>
      </w:r>
      <w:r w:rsidR="0013482A" w:rsidRPr="005C4960">
        <w:rPr>
          <w:rFonts w:ascii="Times New Roman" w:hAnsi="Times New Roman" w:cs="Times New Roman"/>
          <w:sz w:val="24"/>
          <w:szCs w:val="24"/>
        </w:rPr>
        <w:t xml:space="preserve"> </w:t>
      </w:r>
    </w:p>
    <w:p w14:paraId="782485F1" w14:textId="4DE37BAD" w:rsidR="0019736C" w:rsidRDefault="0019736C" w:rsidP="000962D7">
      <w:pPr>
        <w:spacing w:after="0" w:line="480" w:lineRule="auto"/>
        <w:ind w:left="-5" w:hanging="10"/>
        <w:jc w:val="both"/>
        <w:rPr>
          <w:rFonts w:ascii="Times New Roman" w:hAnsi="Times New Roman" w:cs="Times New Roman"/>
          <w:iCs/>
          <w:sz w:val="24"/>
          <w:szCs w:val="24"/>
          <w:lang w:val="en-ZW"/>
        </w:rPr>
      </w:pPr>
      <w:r>
        <w:rPr>
          <w:rFonts w:ascii="Times New Roman" w:hAnsi="Times New Roman" w:cs="Times New Roman"/>
          <w:sz w:val="24"/>
          <w:szCs w:val="24"/>
        </w:rPr>
        <w:lastRenderedPageBreak/>
        <w:tab/>
      </w:r>
      <w:r w:rsidR="000962D7">
        <w:rPr>
          <w:rFonts w:ascii="Times New Roman" w:hAnsi="Times New Roman" w:cs="Times New Roman"/>
          <w:sz w:val="24"/>
          <w:szCs w:val="24"/>
        </w:rPr>
        <w:tab/>
      </w:r>
      <w:r w:rsidR="000962D7">
        <w:rPr>
          <w:rFonts w:ascii="Times New Roman" w:hAnsi="Times New Roman" w:cs="Times New Roman"/>
          <w:sz w:val="24"/>
          <w:szCs w:val="24"/>
        </w:rPr>
        <w:tab/>
      </w:r>
      <w:r w:rsidR="000962D7">
        <w:rPr>
          <w:rFonts w:ascii="Times New Roman" w:hAnsi="Times New Roman" w:cs="Times New Roman"/>
          <w:sz w:val="24"/>
          <w:szCs w:val="24"/>
        </w:rPr>
        <w:tab/>
      </w:r>
      <w:r w:rsidR="00E80504" w:rsidRPr="005C4960">
        <w:rPr>
          <w:rFonts w:ascii="Times New Roman" w:hAnsi="Times New Roman" w:cs="Times New Roman"/>
          <w:sz w:val="24"/>
          <w:szCs w:val="24"/>
        </w:rPr>
        <w:t xml:space="preserve">In the case of </w:t>
      </w:r>
      <w:r w:rsidR="00E80504" w:rsidRPr="005C4960">
        <w:rPr>
          <w:rFonts w:ascii="Times New Roman" w:hAnsi="Times New Roman" w:cs="Times New Roman"/>
          <w:i/>
          <w:iCs/>
          <w:sz w:val="24"/>
          <w:szCs w:val="24"/>
        </w:rPr>
        <w:t>Delta</w:t>
      </w:r>
      <w:r w:rsidR="00E80504" w:rsidRPr="005C4960">
        <w:rPr>
          <w:rFonts w:ascii="Times New Roman" w:hAnsi="Times New Roman" w:cs="Times New Roman"/>
          <w:i/>
          <w:sz w:val="24"/>
          <w:szCs w:val="24"/>
          <w:lang w:val="en-ZW"/>
        </w:rPr>
        <w:t xml:space="preserve"> Beverages</w:t>
      </w:r>
      <w:r w:rsidR="00E80504" w:rsidRPr="005C4960">
        <w:rPr>
          <w:rFonts w:ascii="Times New Roman" w:hAnsi="Times New Roman" w:cs="Times New Roman"/>
          <w:i/>
          <w:sz w:val="24"/>
          <w:szCs w:val="24"/>
        </w:rPr>
        <w:t xml:space="preserve"> (Pvt) Ltd </w:t>
      </w:r>
      <w:r w:rsidR="00E80504" w:rsidRPr="0019736C">
        <w:rPr>
          <w:rFonts w:ascii="Times New Roman" w:hAnsi="Times New Roman" w:cs="Times New Roman"/>
          <w:sz w:val="24"/>
          <w:szCs w:val="24"/>
        </w:rPr>
        <w:t>v</w:t>
      </w:r>
      <w:r w:rsidR="00E80504" w:rsidRPr="005C4960">
        <w:rPr>
          <w:rFonts w:ascii="Times New Roman" w:hAnsi="Times New Roman" w:cs="Times New Roman"/>
          <w:i/>
          <w:sz w:val="24"/>
          <w:szCs w:val="24"/>
          <w:lang w:val="en-ZW"/>
        </w:rPr>
        <w:t xml:space="preserve"> Zimbabwe Revenue Authority supra</w:t>
      </w:r>
      <w:r w:rsidR="00E80504" w:rsidRPr="005C4960">
        <w:rPr>
          <w:rFonts w:ascii="Times New Roman" w:hAnsi="Times New Roman" w:cs="Times New Roman"/>
          <w:iCs/>
          <w:sz w:val="24"/>
          <w:szCs w:val="24"/>
          <w:lang w:val="en-ZW"/>
        </w:rPr>
        <w:t xml:space="preserve"> the respondent issued six amended tax assessments in respect of income tax which included penalty and interest.</w:t>
      </w:r>
      <w:r w:rsidR="004B1F05" w:rsidRPr="005C4960">
        <w:rPr>
          <w:rFonts w:ascii="Times New Roman" w:hAnsi="Times New Roman" w:cs="Times New Roman"/>
          <w:iCs/>
          <w:sz w:val="24"/>
          <w:szCs w:val="24"/>
          <w:lang w:val="en-ZW"/>
        </w:rPr>
        <w:t xml:space="preserve"> </w:t>
      </w:r>
      <w:r w:rsidR="000962D7">
        <w:rPr>
          <w:rFonts w:ascii="Times New Roman" w:hAnsi="Times New Roman" w:cs="Times New Roman"/>
          <w:iCs/>
          <w:sz w:val="24"/>
          <w:szCs w:val="24"/>
          <w:lang w:val="en-ZW"/>
        </w:rPr>
        <w:t xml:space="preserve"> </w:t>
      </w:r>
      <w:r w:rsidR="004B1F05" w:rsidRPr="005C4960">
        <w:rPr>
          <w:rFonts w:ascii="Times New Roman" w:hAnsi="Times New Roman" w:cs="Times New Roman"/>
          <w:iCs/>
          <w:sz w:val="24"/>
          <w:szCs w:val="24"/>
          <w:lang w:val="en-ZW"/>
        </w:rPr>
        <w:t xml:space="preserve">The appellant objected to the assessments. The respondent then issued revised assessments and furnished them to the appellant without explanation. The appellant further objected but the objection was disallowed. </w:t>
      </w:r>
      <w:r w:rsidR="000962D7">
        <w:rPr>
          <w:rFonts w:ascii="Times New Roman" w:hAnsi="Times New Roman" w:cs="Times New Roman"/>
          <w:iCs/>
          <w:sz w:val="24"/>
          <w:szCs w:val="24"/>
          <w:lang w:val="en-ZW"/>
        </w:rPr>
        <w:t xml:space="preserve"> </w:t>
      </w:r>
      <w:r w:rsidR="004B1F05" w:rsidRPr="005C4960">
        <w:rPr>
          <w:rFonts w:ascii="Times New Roman" w:hAnsi="Times New Roman" w:cs="Times New Roman"/>
          <w:iCs/>
          <w:sz w:val="24"/>
          <w:szCs w:val="24"/>
          <w:lang w:val="en-ZW"/>
        </w:rPr>
        <w:t xml:space="preserve">On appeal to </w:t>
      </w:r>
      <w:r w:rsidR="006964AA" w:rsidRPr="005C4960">
        <w:rPr>
          <w:rFonts w:ascii="Times New Roman" w:hAnsi="Times New Roman" w:cs="Times New Roman"/>
          <w:iCs/>
          <w:sz w:val="24"/>
          <w:szCs w:val="24"/>
          <w:lang w:val="en-ZW"/>
        </w:rPr>
        <w:t xml:space="preserve">the </w:t>
      </w:r>
      <w:r w:rsidR="00750734" w:rsidRPr="005C4960">
        <w:rPr>
          <w:rFonts w:ascii="Times New Roman" w:hAnsi="Times New Roman" w:cs="Times New Roman"/>
          <w:iCs/>
          <w:sz w:val="24"/>
          <w:szCs w:val="24"/>
          <w:lang w:val="en-ZW"/>
        </w:rPr>
        <w:t>Special Court for Income Tax Appeals, that court set aside some of the assessments and directed the Commissioner of the respondent to issue further</w:t>
      </w:r>
      <w:r w:rsidR="000962D7">
        <w:rPr>
          <w:rFonts w:ascii="Times New Roman" w:hAnsi="Times New Roman" w:cs="Times New Roman"/>
          <w:iCs/>
          <w:sz w:val="24"/>
          <w:szCs w:val="24"/>
          <w:lang w:val="en-ZW"/>
        </w:rPr>
        <w:t xml:space="preserve"> revised assessments.  </w:t>
      </w:r>
      <w:r w:rsidR="002348C2" w:rsidRPr="005C4960">
        <w:rPr>
          <w:rFonts w:ascii="Times New Roman" w:hAnsi="Times New Roman" w:cs="Times New Roman"/>
          <w:iCs/>
          <w:sz w:val="24"/>
          <w:szCs w:val="24"/>
          <w:lang w:val="en-ZW"/>
        </w:rPr>
        <w:t>Both the appellant and t</w:t>
      </w:r>
      <w:r>
        <w:rPr>
          <w:rFonts w:ascii="Times New Roman" w:hAnsi="Times New Roman" w:cs="Times New Roman"/>
          <w:iCs/>
          <w:sz w:val="24"/>
          <w:szCs w:val="24"/>
          <w:lang w:val="en-ZW"/>
        </w:rPr>
        <w:t>he respondent appealed to this C</w:t>
      </w:r>
      <w:r w:rsidR="002348C2" w:rsidRPr="005C4960">
        <w:rPr>
          <w:rFonts w:ascii="Times New Roman" w:hAnsi="Times New Roman" w:cs="Times New Roman"/>
          <w:iCs/>
          <w:sz w:val="24"/>
          <w:szCs w:val="24"/>
          <w:lang w:val="en-ZW"/>
        </w:rPr>
        <w:t>ourt.</w:t>
      </w:r>
    </w:p>
    <w:p w14:paraId="6486EBDE" w14:textId="77777777" w:rsidR="0019736C" w:rsidRDefault="0019736C" w:rsidP="000962D7">
      <w:pPr>
        <w:spacing w:after="0" w:line="240" w:lineRule="auto"/>
        <w:ind w:left="-5" w:firstLine="1139"/>
        <w:jc w:val="both"/>
        <w:rPr>
          <w:rFonts w:ascii="Times New Roman" w:hAnsi="Times New Roman" w:cs="Times New Roman"/>
          <w:iCs/>
          <w:sz w:val="24"/>
          <w:szCs w:val="24"/>
          <w:lang w:val="en-ZW"/>
        </w:rPr>
      </w:pPr>
    </w:p>
    <w:p w14:paraId="746C589A" w14:textId="17EDD6D8" w:rsidR="002348C2" w:rsidRPr="005C4960" w:rsidRDefault="002348C2" w:rsidP="000962D7">
      <w:pPr>
        <w:spacing w:after="0" w:line="480" w:lineRule="auto"/>
        <w:ind w:left="-5" w:firstLine="1445"/>
        <w:jc w:val="both"/>
        <w:rPr>
          <w:rFonts w:ascii="Times New Roman" w:hAnsi="Times New Roman" w:cs="Times New Roman"/>
          <w:iCs/>
          <w:sz w:val="24"/>
          <w:szCs w:val="24"/>
          <w:lang w:val="en-ZW"/>
        </w:rPr>
      </w:pPr>
      <w:r w:rsidRPr="005C4960">
        <w:rPr>
          <w:rFonts w:ascii="Times New Roman" w:hAnsi="Times New Roman" w:cs="Times New Roman"/>
          <w:iCs/>
          <w:sz w:val="24"/>
          <w:szCs w:val="24"/>
          <w:lang w:val="en-ZW"/>
        </w:rPr>
        <w:t>The appellant’s contention was that it bought consumables which were not exhausted during the year of purchase and spilled over into the succeeding year.</w:t>
      </w:r>
      <w:r w:rsidR="00586418" w:rsidRPr="005C4960">
        <w:rPr>
          <w:rFonts w:ascii="Times New Roman" w:hAnsi="Times New Roman" w:cs="Times New Roman"/>
          <w:iCs/>
          <w:sz w:val="24"/>
          <w:szCs w:val="24"/>
          <w:lang w:val="en-ZW"/>
        </w:rPr>
        <w:t xml:space="preserve"> The appellant contended that deductions could only be made in the first year and that the matching principle did not apply as doing so would entail app</w:t>
      </w:r>
      <w:r w:rsidR="000962D7">
        <w:rPr>
          <w:rFonts w:ascii="Times New Roman" w:hAnsi="Times New Roman" w:cs="Times New Roman"/>
          <w:iCs/>
          <w:sz w:val="24"/>
          <w:szCs w:val="24"/>
          <w:lang w:val="en-ZW"/>
        </w:rPr>
        <w:t xml:space="preserve">ortioning costs over two years.  </w:t>
      </w:r>
      <w:r w:rsidR="00586418" w:rsidRPr="005C4960">
        <w:rPr>
          <w:rFonts w:ascii="Times New Roman" w:hAnsi="Times New Roman" w:cs="Times New Roman"/>
          <w:iCs/>
          <w:sz w:val="24"/>
          <w:szCs w:val="24"/>
          <w:lang w:val="en-ZW"/>
        </w:rPr>
        <w:t>On the other hand, the respondent contended that the essence of the matching principle was that the purchase of consumables was for the purpose of generating inco</w:t>
      </w:r>
      <w:r w:rsidR="00C4413A">
        <w:rPr>
          <w:rFonts w:ascii="Times New Roman" w:hAnsi="Times New Roman" w:cs="Times New Roman"/>
          <w:iCs/>
          <w:sz w:val="24"/>
          <w:szCs w:val="24"/>
          <w:lang w:val="en-ZW"/>
        </w:rPr>
        <w:t xml:space="preserve">me during the year of purchase.  </w:t>
      </w:r>
      <w:r w:rsidR="00586418" w:rsidRPr="005C4960">
        <w:rPr>
          <w:rFonts w:ascii="Times New Roman" w:hAnsi="Times New Roman" w:cs="Times New Roman"/>
          <w:iCs/>
          <w:sz w:val="24"/>
          <w:szCs w:val="24"/>
          <w:lang w:val="en-ZW"/>
        </w:rPr>
        <w:t>It further contended that since the purchases were in excess, they could not be deducted in the same year as the excess purchases were not consumed in the year of purchase and therefore, did not generate income.</w:t>
      </w:r>
    </w:p>
    <w:p w14:paraId="71C89B2B" w14:textId="77777777" w:rsidR="0019736C" w:rsidRDefault="0019736C" w:rsidP="0019736C">
      <w:pPr>
        <w:spacing w:after="0" w:line="480" w:lineRule="auto"/>
        <w:ind w:left="-5" w:hanging="10"/>
        <w:jc w:val="both"/>
        <w:rPr>
          <w:rFonts w:ascii="Times New Roman" w:hAnsi="Times New Roman" w:cs="Times New Roman"/>
          <w:iCs/>
          <w:sz w:val="24"/>
          <w:szCs w:val="24"/>
          <w:lang w:val="en-ZW"/>
        </w:rPr>
      </w:pPr>
      <w:r>
        <w:rPr>
          <w:rFonts w:ascii="Times New Roman" w:hAnsi="Times New Roman" w:cs="Times New Roman"/>
          <w:iCs/>
          <w:sz w:val="24"/>
          <w:szCs w:val="24"/>
          <w:lang w:val="en-ZW"/>
        </w:rPr>
        <w:tab/>
      </w:r>
      <w:r>
        <w:rPr>
          <w:rFonts w:ascii="Times New Roman" w:hAnsi="Times New Roman" w:cs="Times New Roman"/>
          <w:iCs/>
          <w:sz w:val="24"/>
          <w:szCs w:val="24"/>
          <w:lang w:val="en-ZW"/>
        </w:rPr>
        <w:tab/>
      </w:r>
    </w:p>
    <w:p w14:paraId="436AE682" w14:textId="2CAD4D46" w:rsidR="00620EEC" w:rsidRPr="005C4960" w:rsidRDefault="00602A6E" w:rsidP="000962D7">
      <w:pPr>
        <w:spacing w:after="0" w:line="480" w:lineRule="auto"/>
        <w:ind w:left="-5" w:firstLine="1445"/>
        <w:jc w:val="both"/>
        <w:rPr>
          <w:rFonts w:ascii="Times New Roman" w:hAnsi="Times New Roman" w:cs="Times New Roman"/>
          <w:sz w:val="24"/>
          <w:szCs w:val="24"/>
        </w:rPr>
      </w:pPr>
      <w:r w:rsidRPr="005C4960">
        <w:rPr>
          <w:rFonts w:ascii="Times New Roman" w:hAnsi="Times New Roman" w:cs="Times New Roman"/>
          <w:iCs/>
          <w:sz w:val="24"/>
          <w:szCs w:val="24"/>
          <w:lang w:val="en-ZW"/>
        </w:rPr>
        <w:t>In considering the import of</w:t>
      </w:r>
      <w:r w:rsidR="0019736C">
        <w:rPr>
          <w:rFonts w:ascii="Times New Roman" w:hAnsi="Times New Roman" w:cs="Times New Roman"/>
          <w:iCs/>
          <w:sz w:val="24"/>
          <w:szCs w:val="24"/>
          <w:lang w:val="en-ZW"/>
        </w:rPr>
        <w:t xml:space="preserve"> s 15 (2) (a) of the ITA, this C</w:t>
      </w:r>
      <w:r w:rsidRPr="005C4960">
        <w:rPr>
          <w:rFonts w:ascii="Times New Roman" w:hAnsi="Times New Roman" w:cs="Times New Roman"/>
          <w:iCs/>
          <w:sz w:val="24"/>
          <w:szCs w:val="24"/>
          <w:lang w:val="en-ZW"/>
        </w:rPr>
        <w:t>ourt held that</w:t>
      </w:r>
      <w:r w:rsidR="00350933" w:rsidRPr="005C4960">
        <w:rPr>
          <w:rFonts w:ascii="Times New Roman" w:hAnsi="Times New Roman" w:cs="Times New Roman"/>
          <w:iCs/>
          <w:sz w:val="24"/>
          <w:szCs w:val="24"/>
          <w:lang w:val="en-ZW"/>
        </w:rPr>
        <w:t xml:space="preserve"> the provision </w:t>
      </w:r>
      <w:r w:rsidR="005144E2" w:rsidRPr="005C4960">
        <w:rPr>
          <w:rFonts w:ascii="Times New Roman" w:hAnsi="Times New Roman" w:cs="Times New Roman"/>
          <w:iCs/>
          <w:sz w:val="24"/>
          <w:szCs w:val="24"/>
          <w:lang w:val="en-ZW"/>
        </w:rPr>
        <w:t>relates to deduction of expenditure incurred for purposes of trade in the production of income during the tax year in issue.</w:t>
      </w:r>
      <w:r w:rsidR="00170837" w:rsidRPr="005C4960">
        <w:rPr>
          <w:rFonts w:ascii="Times New Roman" w:hAnsi="Times New Roman" w:cs="Times New Roman"/>
          <w:iCs/>
          <w:sz w:val="24"/>
          <w:szCs w:val="24"/>
          <w:lang w:val="en-ZW"/>
        </w:rPr>
        <w:t xml:space="preserve"> </w:t>
      </w:r>
      <w:r w:rsidR="00C4413A">
        <w:rPr>
          <w:rFonts w:ascii="Times New Roman" w:hAnsi="Times New Roman" w:cs="Times New Roman"/>
          <w:iCs/>
          <w:sz w:val="24"/>
          <w:szCs w:val="24"/>
          <w:lang w:val="en-ZW"/>
        </w:rPr>
        <w:t xml:space="preserve"> </w:t>
      </w:r>
      <w:r w:rsidR="00170837" w:rsidRPr="005C4960">
        <w:rPr>
          <w:rFonts w:ascii="Times New Roman" w:hAnsi="Times New Roman" w:cs="Times New Roman"/>
          <w:iCs/>
          <w:sz w:val="24"/>
          <w:szCs w:val="24"/>
          <w:lang w:val="en-ZW"/>
        </w:rPr>
        <w:t xml:space="preserve">In respect of gross income (s 8 (1)), the court held that such income is accrued from a source which is used in generating it. </w:t>
      </w:r>
      <w:r w:rsidR="00C4413A">
        <w:rPr>
          <w:rFonts w:ascii="Times New Roman" w:hAnsi="Times New Roman" w:cs="Times New Roman"/>
          <w:iCs/>
          <w:sz w:val="24"/>
          <w:szCs w:val="24"/>
          <w:lang w:val="en-ZW"/>
        </w:rPr>
        <w:t xml:space="preserve"> </w:t>
      </w:r>
      <w:r w:rsidR="00170837" w:rsidRPr="005C4960">
        <w:rPr>
          <w:rFonts w:ascii="Times New Roman" w:hAnsi="Times New Roman" w:cs="Times New Roman"/>
          <w:iCs/>
          <w:sz w:val="24"/>
          <w:szCs w:val="24"/>
          <w:lang w:val="en-ZW"/>
        </w:rPr>
        <w:t xml:space="preserve">Thus, income for any tax year is calculated </w:t>
      </w:r>
      <w:r w:rsidR="00170837" w:rsidRPr="005C4960">
        <w:rPr>
          <w:rFonts w:ascii="Times New Roman" w:hAnsi="Times New Roman" w:cs="Times New Roman"/>
          <w:iCs/>
          <w:sz w:val="24"/>
          <w:szCs w:val="24"/>
          <w:lang w:val="en-ZW"/>
        </w:rPr>
        <w:lastRenderedPageBreak/>
        <w:t xml:space="preserve">by deducting allowable deductions from gross income. </w:t>
      </w:r>
      <w:r w:rsidR="000962D7">
        <w:rPr>
          <w:rFonts w:ascii="Times New Roman" w:hAnsi="Times New Roman" w:cs="Times New Roman"/>
          <w:iCs/>
          <w:sz w:val="24"/>
          <w:szCs w:val="24"/>
          <w:lang w:val="en-ZW"/>
        </w:rPr>
        <w:t xml:space="preserve"> </w:t>
      </w:r>
      <w:r w:rsidR="00B271F7" w:rsidRPr="005C4960">
        <w:rPr>
          <w:rFonts w:ascii="Times New Roman" w:hAnsi="Times New Roman" w:cs="Times New Roman"/>
          <w:iCs/>
          <w:sz w:val="24"/>
          <w:szCs w:val="24"/>
          <w:lang w:val="en-ZW"/>
        </w:rPr>
        <w:t xml:space="preserve">The court upheld the High Court’s finding regarding the matching principle which is an accounting as opposed to a legal </w:t>
      </w:r>
      <w:r w:rsidR="00DC5780" w:rsidRPr="005C4960">
        <w:rPr>
          <w:rFonts w:ascii="Times New Roman" w:hAnsi="Times New Roman" w:cs="Times New Roman"/>
          <w:iCs/>
          <w:sz w:val="24"/>
          <w:szCs w:val="24"/>
          <w:lang w:val="en-ZW"/>
        </w:rPr>
        <w:t>concept</w:t>
      </w:r>
      <w:r w:rsidR="00B271F7" w:rsidRPr="005C4960">
        <w:rPr>
          <w:rFonts w:ascii="Times New Roman" w:hAnsi="Times New Roman" w:cs="Times New Roman"/>
          <w:iCs/>
          <w:sz w:val="24"/>
          <w:szCs w:val="24"/>
          <w:lang w:val="en-ZW"/>
        </w:rPr>
        <w:t>.</w:t>
      </w:r>
    </w:p>
    <w:p w14:paraId="52ED56A0" w14:textId="77777777" w:rsidR="0019736C" w:rsidRDefault="0019736C" w:rsidP="000962D7">
      <w:pPr>
        <w:spacing w:after="0" w:line="240" w:lineRule="auto"/>
        <w:ind w:left="-15"/>
        <w:jc w:val="both"/>
        <w:rPr>
          <w:rFonts w:ascii="Times New Roman" w:hAnsi="Times New Roman" w:cs="Times New Roman"/>
          <w:sz w:val="24"/>
          <w:szCs w:val="24"/>
        </w:rPr>
      </w:pPr>
    </w:p>
    <w:p w14:paraId="7FC38EEC" w14:textId="63B1C6E3" w:rsidR="000221DF" w:rsidRPr="005C4960" w:rsidRDefault="003E159B" w:rsidP="000962D7">
      <w:pPr>
        <w:spacing w:after="0" w:line="480" w:lineRule="auto"/>
        <w:ind w:left="-15" w:firstLine="1455"/>
        <w:jc w:val="both"/>
        <w:rPr>
          <w:rFonts w:ascii="Times New Roman" w:hAnsi="Times New Roman" w:cs="Times New Roman"/>
          <w:sz w:val="24"/>
          <w:szCs w:val="24"/>
          <w:lang w:val="en-ZW"/>
        </w:rPr>
      </w:pPr>
      <w:r w:rsidRPr="005C4960">
        <w:rPr>
          <w:rFonts w:ascii="Times New Roman" w:hAnsi="Times New Roman" w:cs="Times New Roman"/>
          <w:sz w:val="24"/>
          <w:szCs w:val="24"/>
        </w:rPr>
        <w:t>Concerning</w:t>
      </w:r>
      <w:r w:rsidR="00EC62F3" w:rsidRPr="005C4960">
        <w:rPr>
          <w:rFonts w:ascii="Times New Roman" w:hAnsi="Times New Roman" w:cs="Times New Roman"/>
          <w:sz w:val="24"/>
          <w:szCs w:val="24"/>
        </w:rPr>
        <w:t xml:space="preserve"> the </w:t>
      </w:r>
      <w:r w:rsidRPr="005C4960">
        <w:rPr>
          <w:rFonts w:ascii="Times New Roman" w:hAnsi="Times New Roman" w:cs="Times New Roman"/>
          <w:sz w:val="24"/>
          <w:szCs w:val="24"/>
        </w:rPr>
        <w:t xml:space="preserve">decisions of the </w:t>
      </w:r>
      <w:r w:rsidR="00EC62F3" w:rsidRPr="005C4960">
        <w:rPr>
          <w:rFonts w:ascii="Times New Roman" w:hAnsi="Times New Roman" w:cs="Times New Roman"/>
          <w:sz w:val="24"/>
          <w:szCs w:val="24"/>
        </w:rPr>
        <w:t>Supreme Court</w:t>
      </w:r>
      <w:r w:rsidR="00D50748" w:rsidRPr="005C4960">
        <w:rPr>
          <w:rFonts w:ascii="Times New Roman" w:hAnsi="Times New Roman" w:cs="Times New Roman"/>
          <w:sz w:val="24"/>
          <w:szCs w:val="24"/>
        </w:rPr>
        <w:t xml:space="preserve"> in non-constitutional matters,</w:t>
      </w:r>
      <w:r w:rsidR="00EC62F3" w:rsidRPr="005C4960">
        <w:rPr>
          <w:rFonts w:ascii="Times New Roman" w:hAnsi="Times New Roman" w:cs="Times New Roman"/>
          <w:sz w:val="24"/>
          <w:szCs w:val="24"/>
        </w:rPr>
        <w:t xml:space="preserve"> </w:t>
      </w:r>
      <w:r w:rsidR="003D0D0E" w:rsidRPr="003D0D0E">
        <w:rPr>
          <w:rFonts w:ascii="Times New Roman" w:hAnsi="Times New Roman" w:cs="Times New Roman"/>
          <w:sz w:val="24"/>
          <w:szCs w:val="24"/>
        </w:rPr>
        <w:t>M</w:t>
      </w:r>
      <w:r w:rsidR="00C4413A" w:rsidRPr="00C4413A">
        <w:rPr>
          <w:rFonts w:ascii="Times New Roman" w:hAnsi="Times New Roman" w:cs="Times New Roman"/>
          <w:smallCaps/>
          <w:sz w:val="24"/>
          <w:szCs w:val="24"/>
        </w:rPr>
        <w:t>alaba</w:t>
      </w:r>
      <w:r w:rsidRPr="005C4960">
        <w:rPr>
          <w:rFonts w:ascii="Times New Roman" w:hAnsi="Times New Roman" w:cs="Times New Roman"/>
          <w:sz w:val="24"/>
          <w:szCs w:val="24"/>
        </w:rPr>
        <w:t xml:space="preserve"> CJ </w:t>
      </w:r>
      <w:r w:rsidR="00EC62F3" w:rsidRPr="005C4960">
        <w:rPr>
          <w:rFonts w:ascii="Times New Roman" w:hAnsi="Times New Roman" w:cs="Times New Roman"/>
          <w:sz w:val="24"/>
          <w:szCs w:val="24"/>
        </w:rPr>
        <w:t xml:space="preserve">in </w:t>
      </w:r>
      <w:r w:rsidR="00EC62F3" w:rsidRPr="005C4960">
        <w:rPr>
          <w:rFonts w:ascii="Times New Roman" w:hAnsi="Times New Roman" w:cs="Times New Roman"/>
          <w:i/>
          <w:sz w:val="24"/>
          <w:szCs w:val="24"/>
        </w:rPr>
        <w:t xml:space="preserve">Lyttton Investments (Private) Limited </w:t>
      </w:r>
      <w:r w:rsidR="00EC62F3" w:rsidRPr="003D0D0E">
        <w:rPr>
          <w:rFonts w:ascii="Times New Roman" w:hAnsi="Times New Roman" w:cs="Times New Roman"/>
          <w:sz w:val="24"/>
          <w:szCs w:val="24"/>
        </w:rPr>
        <w:t>v</w:t>
      </w:r>
      <w:r w:rsidR="00EC62F3" w:rsidRPr="005C4960">
        <w:rPr>
          <w:rFonts w:ascii="Times New Roman" w:hAnsi="Times New Roman" w:cs="Times New Roman"/>
          <w:i/>
          <w:sz w:val="24"/>
          <w:szCs w:val="24"/>
        </w:rPr>
        <w:t xml:space="preserve"> Standard Chartered Bank Zimbabwe Limited </w:t>
      </w:r>
      <w:r w:rsidR="0013482A" w:rsidRPr="005C4960">
        <w:rPr>
          <w:rFonts w:ascii="Times New Roman" w:hAnsi="Times New Roman" w:cs="Times New Roman"/>
          <w:sz w:val="24"/>
          <w:szCs w:val="24"/>
        </w:rPr>
        <w:t xml:space="preserve">&amp; </w:t>
      </w:r>
      <w:r w:rsidR="0013482A" w:rsidRPr="005C4960">
        <w:rPr>
          <w:rFonts w:ascii="Times New Roman" w:hAnsi="Times New Roman" w:cs="Times New Roman"/>
          <w:i/>
          <w:iCs/>
          <w:sz w:val="24"/>
          <w:szCs w:val="24"/>
        </w:rPr>
        <w:t>Ano</w:t>
      </w:r>
      <w:r w:rsidR="003D0D0E">
        <w:rPr>
          <w:rFonts w:ascii="Times New Roman" w:hAnsi="Times New Roman" w:cs="Times New Roman"/>
          <w:i/>
          <w:iCs/>
          <w:sz w:val="24"/>
          <w:szCs w:val="24"/>
        </w:rPr>
        <w:t>the</w:t>
      </w:r>
      <w:r w:rsidR="0013482A" w:rsidRPr="005C4960">
        <w:rPr>
          <w:rFonts w:ascii="Times New Roman" w:hAnsi="Times New Roman" w:cs="Times New Roman"/>
          <w:i/>
          <w:iCs/>
          <w:sz w:val="24"/>
          <w:szCs w:val="24"/>
        </w:rPr>
        <w:t>r</w:t>
      </w:r>
      <w:r w:rsidR="0013482A" w:rsidRPr="005C4960">
        <w:rPr>
          <w:rFonts w:ascii="Times New Roman" w:hAnsi="Times New Roman" w:cs="Times New Roman"/>
          <w:sz w:val="24"/>
          <w:szCs w:val="24"/>
        </w:rPr>
        <w:t xml:space="preserve"> </w:t>
      </w:r>
      <w:r w:rsidR="00EF1A17">
        <w:rPr>
          <w:rFonts w:ascii="Times New Roman" w:hAnsi="Times New Roman" w:cs="Times New Roman"/>
          <w:sz w:val="24"/>
          <w:szCs w:val="24"/>
        </w:rPr>
        <w:t>20</w:t>
      </w:r>
      <w:r w:rsidR="0013482A" w:rsidRPr="005C4960">
        <w:rPr>
          <w:rFonts w:ascii="Times New Roman" w:hAnsi="Times New Roman" w:cs="Times New Roman"/>
          <w:sz w:val="24"/>
          <w:szCs w:val="24"/>
        </w:rPr>
        <w:t>18</w:t>
      </w:r>
      <w:r w:rsidR="00EF1A17">
        <w:rPr>
          <w:rFonts w:ascii="Times New Roman" w:hAnsi="Times New Roman" w:cs="Times New Roman"/>
          <w:sz w:val="24"/>
          <w:szCs w:val="24"/>
        </w:rPr>
        <w:t xml:space="preserve"> (2) ZLR 743 (CCZ)</w:t>
      </w:r>
      <w:r w:rsidRPr="005C4960">
        <w:rPr>
          <w:rFonts w:ascii="Times New Roman" w:hAnsi="Times New Roman" w:cs="Times New Roman"/>
          <w:sz w:val="24"/>
          <w:szCs w:val="24"/>
        </w:rPr>
        <w:t xml:space="preserve"> stated that such decisions are correct because they are final</w:t>
      </w:r>
      <w:r w:rsidR="00EC62F3" w:rsidRPr="005C4960">
        <w:rPr>
          <w:rFonts w:ascii="Times New Roman" w:hAnsi="Times New Roman" w:cs="Times New Roman"/>
          <w:sz w:val="24"/>
          <w:szCs w:val="24"/>
        </w:rPr>
        <w:t>.</w:t>
      </w:r>
      <w:r w:rsidR="009E6CD8">
        <w:rPr>
          <w:rFonts w:ascii="Times New Roman" w:hAnsi="Times New Roman" w:cs="Times New Roman"/>
          <w:sz w:val="24"/>
          <w:szCs w:val="24"/>
        </w:rPr>
        <w:t xml:space="preserve"> </w:t>
      </w:r>
      <w:r w:rsidR="000962D7">
        <w:rPr>
          <w:rFonts w:ascii="Times New Roman" w:hAnsi="Times New Roman" w:cs="Times New Roman"/>
          <w:sz w:val="24"/>
          <w:szCs w:val="24"/>
        </w:rPr>
        <w:t xml:space="preserve"> </w:t>
      </w:r>
      <w:r w:rsidR="00D50748" w:rsidRPr="005C4960">
        <w:rPr>
          <w:rFonts w:ascii="Times New Roman" w:hAnsi="Times New Roman" w:cs="Times New Roman"/>
          <w:sz w:val="24"/>
          <w:szCs w:val="24"/>
        </w:rPr>
        <w:t>The Chief Justice</w:t>
      </w:r>
      <w:r w:rsidR="0009289B" w:rsidRPr="005C4960">
        <w:rPr>
          <w:rFonts w:ascii="Times New Roman" w:hAnsi="Times New Roman" w:cs="Times New Roman"/>
          <w:sz w:val="24"/>
          <w:szCs w:val="24"/>
        </w:rPr>
        <w:t xml:space="preserve"> </w:t>
      </w:r>
      <w:r w:rsidR="00D50748" w:rsidRPr="005C4960">
        <w:rPr>
          <w:rFonts w:ascii="Times New Roman" w:hAnsi="Times New Roman" w:cs="Times New Roman"/>
          <w:sz w:val="24"/>
          <w:szCs w:val="24"/>
        </w:rPr>
        <w:t>further stated</w:t>
      </w:r>
      <w:r w:rsidR="0009289B" w:rsidRPr="005C4960">
        <w:rPr>
          <w:rFonts w:ascii="Times New Roman" w:hAnsi="Times New Roman" w:cs="Times New Roman"/>
          <w:sz w:val="24"/>
          <w:szCs w:val="24"/>
        </w:rPr>
        <w:t xml:space="preserve"> that only the S</w:t>
      </w:r>
      <w:r w:rsidR="0013482A" w:rsidRPr="005C4960">
        <w:rPr>
          <w:rFonts w:ascii="Times New Roman" w:hAnsi="Times New Roman" w:cs="Times New Roman"/>
          <w:sz w:val="24"/>
          <w:szCs w:val="24"/>
        </w:rPr>
        <w:t>upreme Court can depart from or overrule its previous decision</w:t>
      </w:r>
      <w:r w:rsidR="007A5673" w:rsidRPr="005C4960">
        <w:rPr>
          <w:rFonts w:ascii="Times New Roman" w:hAnsi="Times New Roman" w:cs="Times New Roman"/>
          <w:sz w:val="24"/>
          <w:szCs w:val="24"/>
        </w:rPr>
        <w:t>s</w:t>
      </w:r>
      <w:r w:rsidR="0013482A" w:rsidRPr="005C4960">
        <w:rPr>
          <w:rFonts w:ascii="Times New Roman" w:hAnsi="Times New Roman" w:cs="Times New Roman"/>
          <w:sz w:val="24"/>
          <w:szCs w:val="24"/>
        </w:rPr>
        <w:t>, ruling</w:t>
      </w:r>
      <w:r w:rsidR="003812BF" w:rsidRPr="005C4960">
        <w:rPr>
          <w:rFonts w:ascii="Times New Roman" w:hAnsi="Times New Roman" w:cs="Times New Roman"/>
          <w:sz w:val="24"/>
          <w:szCs w:val="24"/>
        </w:rPr>
        <w:t>s</w:t>
      </w:r>
      <w:r w:rsidR="0013482A" w:rsidRPr="005C4960">
        <w:rPr>
          <w:rFonts w:ascii="Times New Roman" w:hAnsi="Times New Roman" w:cs="Times New Roman"/>
          <w:sz w:val="24"/>
          <w:szCs w:val="24"/>
        </w:rPr>
        <w:t xml:space="preserve"> or opinion</w:t>
      </w:r>
      <w:r w:rsidR="003812BF" w:rsidRPr="005C4960">
        <w:rPr>
          <w:rFonts w:ascii="Times New Roman" w:hAnsi="Times New Roman" w:cs="Times New Roman"/>
          <w:sz w:val="24"/>
          <w:szCs w:val="24"/>
        </w:rPr>
        <w:t>s</w:t>
      </w:r>
      <w:r w:rsidR="0013482A" w:rsidRPr="005C4960">
        <w:rPr>
          <w:rFonts w:ascii="Times New Roman" w:hAnsi="Times New Roman" w:cs="Times New Roman"/>
          <w:sz w:val="24"/>
          <w:szCs w:val="24"/>
        </w:rPr>
        <w:t xml:space="preserve"> on a non-constitutional matter.</w:t>
      </w:r>
      <w:r w:rsidR="00BA398D">
        <w:rPr>
          <w:rFonts w:ascii="Times New Roman" w:hAnsi="Times New Roman" w:cs="Times New Roman"/>
          <w:sz w:val="24"/>
          <w:szCs w:val="24"/>
        </w:rPr>
        <w:t xml:space="preserve">  </w:t>
      </w:r>
      <w:r w:rsidR="002F2127" w:rsidRPr="005C4960">
        <w:rPr>
          <w:rFonts w:ascii="Times New Roman" w:hAnsi="Times New Roman" w:cs="Times New Roman"/>
          <w:sz w:val="24"/>
          <w:szCs w:val="24"/>
          <w:lang w:val="en-ZW"/>
        </w:rPr>
        <w:t>It follows that l</w:t>
      </w:r>
      <w:r w:rsidR="002E0EE4" w:rsidRPr="005C4960">
        <w:rPr>
          <w:rFonts w:ascii="Times New Roman" w:hAnsi="Times New Roman" w:cs="Times New Roman"/>
          <w:sz w:val="24"/>
          <w:szCs w:val="24"/>
          <w:lang w:val="en-ZW"/>
        </w:rPr>
        <w:t>ower courts are</w:t>
      </w:r>
      <w:r w:rsidR="00EC62F3" w:rsidRPr="005C4960">
        <w:rPr>
          <w:rFonts w:ascii="Times New Roman" w:hAnsi="Times New Roman" w:cs="Times New Roman"/>
          <w:sz w:val="24"/>
          <w:szCs w:val="24"/>
          <w:lang w:val="en-ZW"/>
        </w:rPr>
        <w:t xml:space="preserve"> bound by Supreme Court decisions</w:t>
      </w:r>
      <w:r w:rsidR="002E0EE4" w:rsidRPr="005C4960">
        <w:rPr>
          <w:rFonts w:ascii="Times New Roman" w:hAnsi="Times New Roman" w:cs="Times New Roman"/>
          <w:sz w:val="24"/>
          <w:szCs w:val="24"/>
          <w:lang w:val="en-ZW"/>
        </w:rPr>
        <w:t xml:space="preserve"> and not vice versa</w:t>
      </w:r>
      <w:r w:rsidR="00EC62F3" w:rsidRPr="005C4960">
        <w:rPr>
          <w:rFonts w:ascii="Times New Roman" w:hAnsi="Times New Roman" w:cs="Times New Roman"/>
          <w:sz w:val="24"/>
          <w:szCs w:val="24"/>
          <w:lang w:val="en-ZW"/>
        </w:rPr>
        <w:t>.</w:t>
      </w:r>
      <w:r w:rsidR="000221DF" w:rsidRPr="005C4960">
        <w:rPr>
          <w:rFonts w:ascii="Times New Roman" w:hAnsi="Times New Roman" w:cs="Times New Roman"/>
          <w:sz w:val="24"/>
          <w:szCs w:val="24"/>
          <w:lang w:val="en-ZW"/>
        </w:rPr>
        <w:t xml:space="preserve"> </w:t>
      </w:r>
      <w:r w:rsidR="000962D7">
        <w:rPr>
          <w:rFonts w:ascii="Times New Roman" w:hAnsi="Times New Roman" w:cs="Times New Roman"/>
          <w:sz w:val="24"/>
          <w:szCs w:val="24"/>
          <w:lang w:val="en-ZW"/>
        </w:rPr>
        <w:t xml:space="preserve"> </w:t>
      </w:r>
      <w:r w:rsidR="000221DF" w:rsidRPr="005C4960">
        <w:rPr>
          <w:rFonts w:ascii="Times New Roman" w:hAnsi="Times New Roman" w:cs="Times New Roman"/>
          <w:sz w:val="24"/>
          <w:szCs w:val="24"/>
          <w:lang w:val="en-ZW"/>
        </w:rPr>
        <w:t>Although the Supreme Court is not bound by its own decisions or by those of its predecessors, in practice it normally tr</w:t>
      </w:r>
      <w:r w:rsidR="000962D7">
        <w:rPr>
          <w:rFonts w:ascii="Times New Roman" w:hAnsi="Times New Roman" w:cs="Times New Roman"/>
          <w:sz w:val="24"/>
          <w:szCs w:val="24"/>
          <w:lang w:val="en-ZW"/>
        </w:rPr>
        <w:t xml:space="preserve">eats such decisions as binding.  </w:t>
      </w:r>
      <w:r w:rsidR="000221DF" w:rsidRPr="005C4960">
        <w:rPr>
          <w:rFonts w:ascii="Times New Roman" w:hAnsi="Times New Roman" w:cs="Times New Roman"/>
          <w:sz w:val="24"/>
          <w:szCs w:val="24"/>
          <w:lang w:val="en-ZW"/>
        </w:rPr>
        <w:t xml:space="preserve">See </w:t>
      </w:r>
      <w:r w:rsidR="000221DF" w:rsidRPr="005C4960">
        <w:rPr>
          <w:rFonts w:ascii="Times New Roman" w:hAnsi="Times New Roman" w:cs="Times New Roman"/>
          <w:i/>
          <w:iCs/>
          <w:sz w:val="24"/>
          <w:szCs w:val="24"/>
          <w:lang w:val="en-ZW"/>
        </w:rPr>
        <w:t xml:space="preserve">Book </w:t>
      </w:r>
      <w:r w:rsidR="000221DF" w:rsidRPr="003D0D0E">
        <w:rPr>
          <w:rFonts w:ascii="Times New Roman" w:hAnsi="Times New Roman" w:cs="Times New Roman"/>
          <w:iCs/>
          <w:sz w:val="24"/>
          <w:szCs w:val="24"/>
          <w:lang w:val="en-ZW"/>
        </w:rPr>
        <w:t xml:space="preserve">v </w:t>
      </w:r>
      <w:r w:rsidR="000221DF" w:rsidRPr="005C4960">
        <w:rPr>
          <w:rFonts w:ascii="Times New Roman" w:hAnsi="Times New Roman" w:cs="Times New Roman"/>
          <w:i/>
          <w:iCs/>
          <w:sz w:val="24"/>
          <w:szCs w:val="24"/>
          <w:lang w:val="en-ZW"/>
        </w:rPr>
        <w:t>Davidson</w:t>
      </w:r>
      <w:r w:rsidR="000221DF" w:rsidRPr="005C4960">
        <w:rPr>
          <w:rFonts w:ascii="Times New Roman" w:hAnsi="Times New Roman" w:cs="Times New Roman"/>
          <w:sz w:val="24"/>
          <w:szCs w:val="24"/>
          <w:lang w:val="en-ZW"/>
        </w:rPr>
        <w:t xml:space="preserve"> 1988 (1) ZLR 365 (SC).</w:t>
      </w:r>
    </w:p>
    <w:p w14:paraId="76512317" w14:textId="77777777" w:rsidR="003D0D0E" w:rsidRDefault="003D0D0E" w:rsidP="003D0D0E">
      <w:pPr>
        <w:spacing w:after="0" w:line="480" w:lineRule="auto"/>
        <w:ind w:left="-5" w:hanging="10"/>
        <w:jc w:val="both"/>
        <w:rPr>
          <w:rFonts w:ascii="Times New Roman" w:hAnsi="Times New Roman" w:cs="Times New Roman"/>
          <w:sz w:val="24"/>
          <w:szCs w:val="24"/>
          <w:lang w:val="en-ZW"/>
        </w:rPr>
      </w:pPr>
      <w:r>
        <w:rPr>
          <w:rFonts w:ascii="Times New Roman" w:hAnsi="Times New Roman" w:cs="Times New Roman"/>
          <w:sz w:val="24"/>
          <w:szCs w:val="24"/>
          <w:lang w:val="en-ZW"/>
        </w:rPr>
        <w:tab/>
      </w:r>
      <w:r>
        <w:rPr>
          <w:rFonts w:ascii="Times New Roman" w:hAnsi="Times New Roman" w:cs="Times New Roman"/>
          <w:sz w:val="24"/>
          <w:szCs w:val="24"/>
          <w:lang w:val="en-ZW"/>
        </w:rPr>
        <w:tab/>
      </w:r>
    </w:p>
    <w:p w14:paraId="41A52E9C" w14:textId="21BC31A7" w:rsidR="00026C27" w:rsidRPr="005C4960" w:rsidRDefault="000221DF" w:rsidP="000962D7">
      <w:pPr>
        <w:spacing w:after="0" w:line="480" w:lineRule="auto"/>
        <w:ind w:left="-5" w:firstLine="1445"/>
        <w:jc w:val="both"/>
        <w:rPr>
          <w:rFonts w:ascii="Times New Roman" w:hAnsi="Times New Roman" w:cs="Times New Roman"/>
          <w:sz w:val="24"/>
          <w:szCs w:val="24"/>
          <w:lang w:val="en-ZW"/>
        </w:rPr>
      </w:pPr>
      <w:r w:rsidRPr="005C4960">
        <w:rPr>
          <w:rFonts w:ascii="Times New Roman" w:hAnsi="Times New Roman" w:cs="Times New Roman"/>
          <w:sz w:val="24"/>
          <w:szCs w:val="24"/>
          <w:lang w:val="en-ZW"/>
        </w:rPr>
        <w:t xml:space="preserve">According to Herbstein and Van Winsen in </w:t>
      </w:r>
      <w:r w:rsidRPr="003D0D0E">
        <w:rPr>
          <w:rFonts w:ascii="Times New Roman" w:hAnsi="Times New Roman" w:cs="Times New Roman"/>
          <w:i/>
          <w:sz w:val="24"/>
          <w:szCs w:val="24"/>
          <w:lang w:val="en-ZW"/>
        </w:rPr>
        <w:t>The Civil Practice of The High Courts of South Africa</w:t>
      </w:r>
      <w:r w:rsidRPr="005C4960">
        <w:rPr>
          <w:rFonts w:ascii="Times New Roman" w:hAnsi="Times New Roman" w:cs="Times New Roman"/>
          <w:sz w:val="24"/>
          <w:szCs w:val="24"/>
          <w:lang w:val="en-ZW"/>
        </w:rPr>
        <w:t xml:space="preserve"> 5</w:t>
      </w:r>
      <w:r w:rsidRPr="005C4960">
        <w:rPr>
          <w:rFonts w:ascii="Times New Roman" w:hAnsi="Times New Roman" w:cs="Times New Roman"/>
          <w:sz w:val="24"/>
          <w:szCs w:val="24"/>
          <w:vertAlign w:val="superscript"/>
          <w:lang w:val="en-ZW"/>
        </w:rPr>
        <w:t>th</w:t>
      </w:r>
      <w:r w:rsidRPr="005C4960">
        <w:rPr>
          <w:rFonts w:ascii="Times New Roman" w:hAnsi="Times New Roman" w:cs="Times New Roman"/>
          <w:sz w:val="24"/>
          <w:szCs w:val="24"/>
          <w:lang w:val="en-ZW"/>
        </w:rPr>
        <w:t xml:space="preserve"> ed, a superior court will depart from a previous decision</w:t>
      </w:r>
      <w:r w:rsidR="00604C50" w:rsidRPr="005C4960">
        <w:rPr>
          <w:rFonts w:ascii="Times New Roman" w:hAnsi="Times New Roman" w:cs="Times New Roman"/>
          <w:sz w:val="24"/>
          <w:szCs w:val="24"/>
          <w:lang w:val="en-ZW"/>
        </w:rPr>
        <w:t xml:space="preserve"> under the following circumstances:</w:t>
      </w:r>
    </w:p>
    <w:p w14:paraId="7BF86EF2" w14:textId="75AF683F" w:rsidR="00026C27" w:rsidRPr="005C4960" w:rsidRDefault="003D0D0E" w:rsidP="000962D7">
      <w:pPr>
        <w:spacing w:after="173" w:line="480" w:lineRule="auto"/>
        <w:ind w:left="-5" w:firstLine="725"/>
        <w:jc w:val="both"/>
        <w:rPr>
          <w:rFonts w:ascii="Times New Roman" w:hAnsi="Times New Roman" w:cs="Times New Roman"/>
          <w:sz w:val="24"/>
          <w:szCs w:val="24"/>
          <w:lang w:val="en-ZW"/>
        </w:rPr>
      </w:pPr>
      <w:r>
        <w:rPr>
          <w:rFonts w:ascii="Times New Roman" w:hAnsi="Times New Roman" w:cs="Times New Roman"/>
          <w:sz w:val="24"/>
          <w:szCs w:val="24"/>
          <w:lang w:val="en-ZW"/>
        </w:rPr>
        <w:t xml:space="preserve">1. </w:t>
      </w:r>
      <w:r w:rsidR="00026C27" w:rsidRPr="005C4960">
        <w:rPr>
          <w:rFonts w:ascii="Times New Roman" w:hAnsi="Times New Roman" w:cs="Times New Roman"/>
          <w:sz w:val="24"/>
          <w:szCs w:val="24"/>
          <w:lang w:val="en-ZW"/>
        </w:rPr>
        <w:t>When it is clear that the previous decision is wrong.</w:t>
      </w:r>
    </w:p>
    <w:p w14:paraId="3B74A017" w14:textId="77777777" w:rsidR="00026C27" w:rsidRPr="005C4960" w:rsidRDefault="00026C27" w:rsidP="000962D7">
      <w:pPr>
        <w:spacing w:after="173" w:line="480" w:lineRule="auto"/>
        <w:ind w:left="-5" w:firstLine="725"/>
        <w:jc w:val="both"/>
        <w:rPr>
          <w:rFonts w:ascii="Times New Roman" w:hAnsi="Times New Roman" w:cs="Times New Roman"/>
          <w:sz w:val="24"/>
          <w:szCs w:val="24"/>
          <w:lang w:val="en-ZW"/>
        </w:rPr>
      </w:pPr>
      <w:r w:rsidRPr="005C4960">
        <w:rPr>
          <w:rFonts w:ascii="Times New Roman" w:hAnsi="Times New Roman" w:cs="Times New Roman"/>
          <w:sz w:val="24"/>
          <w:szCs w:val="24"/>
          <w:lang w:val="en-ZW"/>
        </w:rPr>
        <w:t>2. Where it is clear that the reasoning in the previous decision was unsound.</w:t>
      </w:r>
    </w:p>
    <w:p w14:paraId="50F0B4F3" w14:textId="77777777" w:rsidR="00026C27" w:rsidRPr="005C4960" w:rsidRDefault="00026C27" w:rsidP="000962D7">
      <w:pPr>
        <w:spacing w:after="173" w:line="480" w:lineRule="auto"/>
        <w:ind w:left="-5" w:firstLine="725"/>
        <w:jc w:val="both"/>
        <w:rPr>
          <w:rFonts w:ascii="Times New Roman" w:hAnsi="Times New Roman" w:cs="Times New Roman"/>
          <w:sz w:val="24"/>
          <w:szCs w:val="24"/>
          <w:lang w:val="en-ZW"/>
        </w:rPr>
      </w:pPr>
      <w:r w:rsidRPr="005C4960">
        <w:rPr>
          <w:rFonts w:ascii="Times New Roman" w:hAnsi="Times New Roman" w:cs="Times New Roman"/>
          <w:sz w:val="24"/>
          <w:szCs w:val="24"/>
          <w:lang w:val="en-ZW"/>
        </w:rPr>
        <w:t>3. Where legal principles were not concurred in by the majority of the judges.</w:t>
      </w:r>
    </w:p>
    <w:p w14:paraId="61463DFA" w14:textId="7D48E455" w:rsidR="003D0D0E" w:rsidRDefault="00026C27" w:rsidP="000962D7">
      <w:pPr>
        <w:spacing w:after="0" w:line="480" w:lineRule="auto"/>
        <w:ind w:left="851" w:hanging="131"/>
        <w:jc w:val="both"/>
        <w:rPr>
          <w:rFonts w:ascii="Times New Roman" w:hAnsi="Times New Roman" w:cs="Times New Roman"/>
          <w:sz w:val="24"/>
          <w:szCs w:val="24"/>
        </w:rPr>
      </w:pPr>
      <w:r w:rsidRPr="005C4960">
        <w:rPr>
          <w:rFonts w:ascii="Times New Roman" w:hAnsi="Times New Roman" w:cs="Times New Roman"/>
          <w:sz w:val="24"/>
          <w:szCs w:val="24"/>
          <w:lang w:val="en-ZW"/>
        </w:rPr>
        <w:t>4. Where there are two conflicting decisions, the court will follow the decision it considers to be correct.</w:t>
      </w:r>
      <w:r w:rsidR="00112220" w:rsidRPr="005C4960">
        <w:rPr>
          <w:rFonts w:ascii="Times New Roman" w:hAnsi="Times New Roman" w:cs="Times New Roman"/>
          <w:sz w:val="24"/>
          <w:szCs w:val="24"/>
          <w:lang w:val="en-ZW"/>
        </w:rPr>
        <w:t xml:space="preserve"> </w:t>
      </w:r>
    </w:p>
    <w:p w14:paraId="706C8C6F" w14:textId="77777777" w:rsidR="003D0D0E" w:rsidRDefault="003D0D0E" w:rsidP="003D0D0E">
      <w:pPr>
        <w:spacing w:after="0" w:line="480" w:lineRule="auto"/>
        <w:ind w:left="851" w:hanging="284"/>
        <w:jc w:val="both"/>
        <w:rPr>
          <w:rFonts w:ascii="Times New Roman" w:hAnsi="Times New Roman" w:cs="Times New Roman"/>
          <w:sz w:val="24"/>
          <w:szCs w:val="24"/>
        </w:rPr>
      </w:pPr>
    </w:p>
    <w:p w14:paraId="23495343" w14:textId="1CBC4D12" w:rsidR="00112220" w:rsidRPr="005C4960" w:rsidRDefault="00610E27" w:rsidP="002A4913">
      <w:pPr>
        <w:spacing w:after="0" w:line="480" w:lineRule="auto"/>
        <w:ind w:firstLine="1440"/>
        <w:jc w:val="both"/>
        <w:rPr>
          <w:rFonts w:ascii="Times New Roman" w:hAnsi="Times New Roman" w:cs="Times New Roman"/>
          <w:sz w:val="24"/>
          <w:szCs w:val="24"/>
        </w:rPr>
      </w:pPr>
      <w:r w:rsidRPr="005C4960">
        <w:rPr>
          <w:rFonts w:ascii="Times New Roman" w:hAnsi="Times New Roman" w:cs="Times New Roman"/>
          <w:sz w:val="24"/>
          <w:szCs w:val="24"/>
        </w:rPr>
        <w:t>From the above principles, the appellan</w:t>
      </w:r>
      <w:r w:rsidR="003D0D0E">
        <w:rPr>
          <w:rFonts w:ascii="Times New Roman" w:hAnsi="Times New Roman" w:cs="Times New Roman"/>
          <w:sz w:val="24"/>
          <w:szCs w:val="24"/>
        </w:rPr>
        <w:t>t did not demonstrate why this C</w:t>
      </w:r>
      <w:r w:rsidRPr="005C4960">
        <w:rPr>
          <w:rFonts w:ascii="Times New Roman" w:hAnsi="Times New Roman" w:cs="Times New Roman"/>
          <w:sz w:val="24"/>
          <w:szCs w:val="24"/>
        </w:rPr>
        <w:t>ourt should depart from the decision in</w:t>
      </w:r>
      <w:r w:rsidR="00D92FBB" w:rsidRPr="005C4960">
        <w:rPr>
          <w:rFonts w:ascii="Times New Roman" w:hAnsi="Times New Roman" w:cs="Times New Roman"/>
          <w:i/>
          <w:sz w:val="24"/>
          <w:szCs w:val="24"/>
          <w:lang w:val="en-ZW"/>
        </w:rPr>
        <w:t xml:space="preserve"> </w:t>
      </w:r>
      <w:r w:rsidR="006B2A8E">
        <w:rPr>
          <w:rFonts w:ascii="Times New Roman" w:hAnsi="Times New Roman" w:cs="Times New Roman"/>
          <w:i/>
          <w:sz w:val="24"/>
          <w:szCs w:val="24"/>
          <w:lang w:val="en-ZW"/>
        </w:rPr>
        <w:t xml:space="preserve">Delta </w:t>
      </w:r>
      <w:r w:rsidR="00D92FBB" w:rsidRPr="005C4960">
        <w:rPr>
          <w:rFonts w:ascii="Times New Roman" w:hAnsi="Times New Roman" w:cs="Times New Roman"/>
          <w:i/>
          <w:sz w:val="24"/>
          <w:szCs w:val="24"/>
          <w:lang w:val="en-ZW"/>
        </w:rPr>
        <w:t>Beverages</w:t>
      </w:r>
      <w:r w:rsidR="00D92FBB" w:rsidRPr="005C4960">
        <w:rPr>
          <w:rFonts w:ascii="Times New Roman" w:hAnsi="Times New Roman" w:cs="Times New Roman"/>
          <w:i/>
          <w:sz w:val="24"/>
          <w:szCs w:val="24"/>
        </w:rPr>
        <w:t xml:space="preserve"> (Pvt) Ltd </w:t>
      </w:r>
      <w:r w:rsidR="00D92FBB" w:rsidRPr="003D0D0E">
        <w:rPr>
          <w:rFonts w:ascii="Times New Roman" w:hAnsi="Times New Roman" w:cs="Times New Roman"/>
          <w:sz w:val="24"/>
          <w:szCs w:val="24"/>
        </w:rPr>
        <w:t>v</w:t>
      </w:r>
      <w:r w:rsidR="00D92FBB" w:rsidRPr="003D0D0E">
        <w:rPr>
          <w:rFonts w:ascii="Times New Roman" w:hAnsi="Times New Roman" w:cs="Times New Roman"/>
          <w:sz w:val="24"/>
          <w:szCs w:val="24"/>
          <w:lang w:val="en-ZW"/>
        </w:rPr>
        <w:t xml:space="preserve"> </w:t>
      </w:r>
      <w:r w:rsidR="00D92FBB" w:rsidRPr="005C4960">
        <w:rPr>
          <w:rFonts w:ascii="Times New Roman" w:hAnsi="Times New Roman" w:cs="Times New Roman"/>
          <w:i/>
          <w:sz w:val="24"/>
          <w:szCs w:val="24"/>
          <w:lang w:val="en-ZW"/>
        </w:rPr>
        <w:t>Zimbabwe Revenue Authority supra</w:t>
      </w:r>
      <w:r w:rsidR="00F7079E" w:rsidRPr="005C4960">
        <w:rPr>
          <w:rFonts w:ascii="Times New Roman" w:hAnsi="Times New Roman" w:cs="Times New Roman"/>
          <w:iCs/>
          <w:sz w:val="24"/>
          <w:szCs w:val="24"/>
          <w:lang w:val="en-ZW"/>
        </w:rPr>
        <w:t xml:space="preserve"> from </w:t>
      </w:r>
      <w:r w:rsidR="00F7079E" w:rsidRPr="005C4960">
        <w:rPr>
          <w:rFonts w:ascii="Times New Roman" w:hAnsi="Times New Roman" w:cs="Times New Roman"/>
          <w:iCs/>
          <w:sz w:val="24"/>
          <w:szCs w:val="24"/>
          <w:lang w:val="en-ZW"/>
        </w:rPr>
        <w:lastRenderedPageBreak/>
        <w:t>placing reliance on the decision of a subordinate court</w:t>
      </w:r>
      <w:r w:rsidR="00D92FBB" w:rsidRPr="005C4960">
        <w:rPr>
          <w:rFonts w:ascii="Times New Roman" w:hAnsi="Times New Roman" w:cs="Times New Roman"/>
          <w:i/>
          <w:sz w:val="24"/>
          <w:szCs w:val="24"/>
          <w:lang w:val="en-ZW"/>
        </w:rPr>
        <w:t>.</w:t>
      </w:r>
      <w:r w:rsidRPr="005C4960">
        <w:rPr>
          <w:rFonts w:ascii="Times New Roman" w:hAnsi="Times New Roman" w:cs="Times New Roman"/>
          <w:sz w:val="24"/>
          <w:szCs w:val="24"/>
        </w:rPr>
        <w:t xml:space="preserve"> </w:t>
      </w:r>
      <w:r w:rsidR="002A4913">
        <w:rPr>
          <w:rFonts w:ascii="Times New Roman" w:hAnsi="Times New Roman" w:cs="Times New Roman"/>
          <w:sz w:val="24"/>
          <w:szCs w:val="24"/>
        </w:rPr>
        <w:t xml:space="preserve"> </w:t>
      </w:r>
      <w:r w:rsidR="00D92FBB" w:rsidRPr="005C4960">
        <w:rPr>
          <w:rFonts w:ascii="Times New Roman" w:hAnsi="Times New Roman" w:cs="Times New Roman"/>
          <w:sz w:val="24"/>
          <w:szCs w:val="24"/>
        </w:rPr>
        <w:t xml:space="preserve">The appellant did not </w:t>
      </w:r>
      <w:r w:rsidR="00341046" w:rsidRPr="005C4960">
        <w:rPr>
          <w:rFonts w:ascii="Times New Roman" w:hAnsi="Times New Roman" w:cs="Times New Roman"/>
          <w:sz w:val="24"/>
          <w:szCs w:val="24"/>
        </w:rPr>
        <w:t xml:space="preserve">convincingly </w:t>
      </w:r>
      <w:r w:rsidR="00D92FBB" w:rsidRPr="005C4960">
        <w:rPr>
          <w:rFonts w:ascii="Times New Roman" w:hAnsi="Times New Roman" w:cs="Times New Roman"/>
          <w:sz w:val="24"/>
          <w:szCs w:val="24"/>
        </w:rPr>
        <w:t>demonstrate in what way th</w:t>
      </w:r>
      <w:r w:rsidR="00F7079E" w:rsidRPr="005C4960">
        <w:rPr>
          <w:rFonts w:ascii="Times New Roman" w:hAnsi="Times New Roman" w:cs="Times New Roman"/>
          <w:sz w:val="24"/>
          <w:szCs w:val="24"/>
        </w:rPr>
        <w:t>e</w:t>
      </w:r>
      <w:r w:rsidR="00D92FBB" w:rsidRPr="005C4960">
        <w:rPr>
          <w:rFonts w:ascii="Times New Roman" w:hAnsi="Times New Roman" w:cs="Times New Roman"/>
          <w:sz w:val="24"/>
          <w:szCs w:val="24"/>
        </w:rPr>
        <w:t xml:space="preserve"> decision</w:t>
      </w:r>
      <w:r w:rsidR="00341046" w:rsidRPr="005C4960">
        <w:rPr>
          <w:rFonts w:ascii="Times New Roman" w:hAnsi="Times New Roman" w:cs="Times New Roman"/>
          <w:sz w:val="24"/>
          <w:szCs w:val="24"/>
        </w:rPr>
        <w:t xml:space="preserve"> in</w:t>
      </w:r>
      <w:r w:rsidR="007C3455">
        <w:rPr>
          <w:rFonts w:ascii="Times New Roman" w:hAnsi="Times New Roman" w:cs="Times New Roman"/>
          <w:sz w:val="24"/>
          <w:szCs w:val="24"/>
        </w:rPr>
        <w:t xml:space="preserve"> </w:t>
      </w:r>
      <w:r w:rsidR="007C3455">
        <w:rPr>
          <w:rFonts w:ascii="Times New Roman" w:hAnsi="Times New Roman" w:cs="Times New Roman"/>
          <w:i/>
          <w:sz w:val="24"/>
          <w:szCs w:val="24"/>
          <w:lang w:val="en-ZW"/>
        </w:rPr>
        <w:t xml:space="preserve">Delta </w:t>
      </w:r>
      <w:r w:rsidR="00341046" w:rsidRPr="005C4960">
        <w:rPr>
          <w:rFonts w:ascii="Times New Roman" w:hAnsi="Times New Roman" w:cs="Times New Roman"/>
          <w:i/>
          <w:sz w:val="24"/>
          <w:szCs w:val="24"/>
          <w:lang w:val="en-ZW"/>
        </w:rPr>
        <w:t>Beverages</w:t>
      </w:r>
      <w:r w:rsidR="00341046" w:rsidRPr="005C4960">
        <w:rPr>
          <w:rFonts w:ascii="Times New Roman" w:hAnsi="Times New Roman" w:cs="Times New Roman"/>
          <w:i/>
          <w:sz w:val="24"/>
          <w:szCs w:val="24"/>
        </w:rPr>
        <w:t xml:space="preserve"> (Pvt) Ltd </w:t>
      </w:r>
      <w:r w:rsidR="00341046" w:rsidRPr="003D0D0E">
        <w:rPr>
          <w:rFonts w:ascii="Times New Roman" w:hAnsi="Times New Roman" w:cs="Times New Roman"/>
          <w:sz w:val="24"/>
          <w:szCs w:val="24"/>
        </w:rPr>
        <w:t>v</w:t>
      </w:r>
      <w:r w:rsidR="00341046" w:rsidRPr="005C4960">
        <w:rPr>
          <w:rFonts w:ascii="Times New Roman" w:hAnsi="Times New Roman" w:cs="Times New Roman"/>
          <w:i/>
          <w:sz w:val="24"/>
          <w:szCs w:val="24"/>
          <w:lang w:val="en-ZW"/>
        </w:rPr>
        <w:t xml:space="preserve"> Zimbabwe Revenue Authority </w:t>
      </w:r>
      <w:r w:rsidR="00D92FBB" w:rsidRPr="005C4960">
        <w:rPr>
          <w:rFonts w:ascii="Times New Roman" w:hAnsi="Times New Roman" w:cs="Times New Roman"/>
          <w:sz w:val="24"/>
          <w:szCs w:val="24"/>
        </w:rPr>
        <w:t>is wrong, especially when account is taken of the provisions of the statutes in issue.</w:t>
      </w:r>
      <w:r w:rsidR="006B190F" w:rsidRPr="005C4960">
        <w:rPr>
          <w:rFonts w:ascii="Times New Roman" w:hAnsi="Times New Roman" w:cs="Times New Roman"/>
          <w:sz w:val="24"/>
          <w:szCs w:val="24"/>
        </w:rPr>
        <w:t xml:space="preserve"> </w:t>
      </w:r>
      <w:r w:rsidR="002A4913">
        <w:rPr>
          <w:rFonts w:ascii="Times New Roman" w:hAnsi="Times New Roman" w:cs="Times New Roman"/>
          <w:sz w:val="24"/>
          <w:szCs w:val="24"/>
        </w:rPr>
        <w:t xml:space="preserve"> </w:t>
      </w:r>
      <w:r w:rsidR="000221DF" w:rsidRPr="005C4960">
        <w:rPr>
          <w:rFonts w:ascii="Times New Roman" w:hAnsi="Times New Roman" w:cs="Times New Roman"/>
          <w:sz w:val="24"/>
          <w:szCs w:val="24"/>
        </w:rPr>
        <w:t>We are</w:t>
      </w:r>
      <w:r w:rsidR="00B26DA8" w:rsidRPr="005C4960">
        <w:rPr>
          <w:rFonts w:ascii="Times New Roman" w:hAnsi="Times New Roman" w:cs="Times New Roman"/>
          <w:sz w:val="24"/>
          <w:szCs w:val="24"/>
        </w:rPr>
        <w:t xml:space="preserve"> therefore</w:t>
      </w:r>
      <w:r w:rsidR="000221DF" w:rsidRPr="005C4960">
        <w:rPr>
          <w:rFonts w:ascii="Times New Roman" w:hAnsi="Times New Roman" w:cs="Times New Roman"/>
          <w:sz w:val="24"/>
          <w:szCs w:val="24"/>
        </w:rPr>
        <w:t xml:space="preserve"> not persuaded by the appellant’s submission that </w:t>
      </w:r>
      <w:r w:rsidR="003D0D0E">
        <w:rPr>
          <w:rFonts w:ascii="Times New Roman" w:hAnsi="Times New Roman" w:cs="Times New Roman"/>
          <w:sz w:val="24"/>
          <w:szCs w:val="24"/>
        </w:rPr>
        <w:t>this C</w:t>
      </w:r>
      <w:r w:rsidR="00112220" w:rsidRPr="005C4960">
        <w:rPr>
          <w:rFonts w:ascii="Times New Roman" w:hAnsi="Times New Roman" w:cs="Times New Roman"/>
          <w:sz w:val="24"/>
          <w:szCs w:val="24"/>
        </w:rPr>
        <w:t>ourt should</w:t>
      </w:r>
      <w:r w:rsidR="00396647" w:rsidRPr="005C4960">
        <w:rPr>
          <w:rFonts w:ascii="Times New Roman" w:hAnsi="Times New Roman" w:cs="Times New Roman"/>
          <w:sz w:val="24"/>
          <w:szCs w:val="24"/>
        </w:rPr>
        <w:t xml:space="preserve"> depart from the judgment</w:t>
      </w:r>
      <w:r w:rsidR="00581C6B" w:rsidRPr="005C4960">
        <w:rPr>
          <w:rFonts w:ascii="Times New Roman" w:hAnsi="Times New Roman" w:cs="Times New Roman"/>
          <w:sz w:val="24"/>
          <w:szCs w:val="24"/>
        </w:rPr>
        <w:t xml:space="preserve"> in</w:t>
      </w:r>
      <w:r w:rsidR="00581C6B" w:rsidRPr="005C4960">
        <w:rPr>
          <w:rFonts w:ascii="Times New Roman" w:hAnsi="Times New Roman" w:cs="Times New Roman"/>
          <w:i/>
          <w:sz w:val="24"/>
          <w:szCs w:val="24"/>
          <w:lang w:val="en-ZW"/>
        </w:rPr>
        <w:t xml:space="preserve"> Delta Beverages (Pvt) Ltd </w:t>
      </w:r>
      <w:r w:rsidR="00581C6B" w:rsidRPr="003D0D0E">
        <w:rPr>
          <w:rFonts w:ascii="Times New Roman" w:hAnsi="Times New Roman" w:cs="Times New Roman"/>
          <w:sz w:val="24"/>
          <w:szCs w:val="24"/>
          <w:lang w:val="en-ZW"/>
        </w:rPr>
        <w:t>v</w:t>
      </w:r>
      <w:r w:rsidR="00581C6B" w:rsidRPr="005C4960">
        <w:rPr>
          <w:rFonts w:ascii="Times New Roman" w:hAnsi="Times New Roman" w:cs="Times New Roman"/>
          <w:i/>
          <w:sz w:val="24"/>
          <w:szCs w:val="24"/>
          <w:lang w:val="en-ZW"/>
        </w:rPr>
        <w:t xml:space="preserve"> Zimbabwe Revenue Authority</w:t>
      </w:r>
      <w:r w:rsidR="000221DF" w:rsidRPr="005C4960">
        <w:rPr>
          <w:rFonts w:ascii="Times New Roman" w:hAnsi="Times New Roman" w:cs="Times New Roman"/>
          <w:i/>
          <w:sz w:val="24"/>
          <w:szCs w:val="24"/>
          <w:lang w:val="en-ZW"/>
        </w:rPr>
        <w:t>.</w:t>
      </w:r>
      <w:r w:rsidR="00B95782">
        <w:rPr>
          <w:rFonts w:ascii="Times New Roman" w:hAnsi="Times New Roman" w:cs="Times New Roman"/>
          <w:sz w:val="24"/>
          <w:szCs w:val="24"/>
        </w:rPr>
        <w:t xml:space="preserve">  </w:t>
      </w:r>
      <w:r w:rsidR="0013482A" w:rsidRPr="005C4960">
        <w:rPr>
          <w:rFonts w:ascii="Times New Roman" w:hAnsi="Times New Roman" w:cs="Times New Roman"/>
          <w:sz w:val="24"/>
          <w:szCs w:val="24"/>
        </w:rPr>
        <w:t>Th</w:t>
      </w:r>
      <w:r w:rsidR="00026C27" w:rsidRPr="005C4960">
        <w:rPr>
          <w:rFonts w:ascii="Times New Roman" w:hAnsi="Times New Roman" w:cs="Times New Roman"/>
          <w:sz w:val="24"/>
          <w:szCs w:val="24"/>
        </w:rPr>
        <w:t>is</w:t>
      </w:r>
      <w:r w:rsidR="003D0D0E">
        <w:rPr>
          <w:rFonts w:ascii="Times New Roman" w:hAnsi="Times New Roman" w:cs="Times New Roman"/>
          <w:sz w:val="24"/>
          <w:szCs w:val="24"/>
        </w:rPr>
        <w:t xml:space="preserve"> C</w:t>
      </w:r>
      <w:r w:rsidR="0013482A" w:rsidRPr="005C4960">
        <w:rPr>
          <w:rFonts w:ascii="Times New Roman" w:hAnsi="Times New Roman" w:cs="Times New Roman"/>
          <w:sz w:val="24"/>
          <w:szCs w:val="24"/>
        </w:rPr>
        <w:t>ourt cannot be asked to revisit its</w:t>
      </w:r>
      <w:r w:rsidR="00026C27" w:rsidRPr="005C4960">
        <w:rPr>
          <w:rFonts w:ascii="Times New Roman" w:hAnsi="Times New Roman" w:cs="Times New Roman"/>
          <w:sz w:val="24"/>
          <w:szCs w:val="24"/>
        </w:rPr>
        <w:t xml:space="preserve"> previous</w:t>
      </w:r>
      <w:r w:rsidR="0013482A" w:rsidRPr="005C4960">
        <w:rPr>
          <w:rFonts w:ascii="Times New Roman" w:hAnsi="Times New Roman" w:cs="Times New Roman"/>
          <w:sz w:val="24"/>
          <w:szCs w:val="24"/>
        </w:rPr>
        <w:t xml:space="preserve"> decision on the</w:t>
      </w:r>
      <w:r w:rsidR="00026C27" w:rsidRPr="005C4960">
        <w:rPr>
          <w:rFonts w:ascii="Times New Roman" w:hAnsi="Times New Roman" w:cs="Times New Roman"/>
          <w:sz w:val="24"/>
          <w:szCs w:val="24"/>
        </w:rPr>
        <w:t xml:space="preserve"> basis of the decision of a lower court.</w:t>
      </w:r>
      <w:r w:rsidR="0013482A" w:rsidRPr="005C4960">
        <w:rPr>
          <w:rFonts w:ascii="Times New Roman" w:hAnsi="Times New Roman" w:cs="Times New Roman"/>
          <w:sz w:val="24"/>
          <w:szCs w:val="24"/>
        </w:rPr>
        <w:t xml:space="preserve"> </w:t>
      </w:r>
    </w:p>
    <w:p w14:paraId="4DA9C0AE" w14:textId="7C715905" w:rsidR="0009289B" w:rsidRPr="005C4960" w:rsidRDefault="0009289B" w:rsidP="002A4913">
      <w:pPr>
        <w:spacing w:after="0" w:line="240" w:lineRule="auto"/>
        <w:ind w:left="-5" w:hanging="10"/>
        <w:jc w:val="both"/>
        <w:rPr>
          <w:rFonts w:ascii="Times New Roman" w:hAnsi="Times New Roman" w:cs="Times New Roman"/>
          <w:sz w:val="24"/>
          <w:szCs w:val="24"/>
          <w:lang w:val="en-ZW"/>
        </w:rPr>
      </w:pPr>
    </w:p>
    <w:p w14:paraId="0451B05A" w14:textId="77777777" w:rsidR="0009289B" w:rsidRPr="005C4960" w:rsidRDefault="0009289B" w:rsidP="003D0D0E">
      <w:pPr>
        <w:spacing w:after="0" w:line="480" w:lineRule="auto"/>
        <w:ind w:left="-5" w:hanging="10"/>
        <w:jc w:val="both"/>
        <w:rPr>
          <w:rFonts w:ascii="Times New Roman" w:hAnsi="Times New Roman" w:cs="Times New Roman"/>
          <w:b/>
          <w:sz w:val="24"/>
          <w:szCs w:val="24"/>
          <w:u w:val="single"/>
          <w:lang w:val="en-ZW"/>
        </w:rPr>
      </w:pPr>
      <w:r w:rsidRPr="005C4960">
        <w:rPr>
          <w:rFonts w:ascii="Times New Roman" w:hAnsi="Times New Roman" w:cs="Times New Roman"/>
          <w:b/>
          <w:sz w:val="24"/>
          <w:szCs w:val="24"/>
          <w:u w:val="single"/>
          <w:lang w:val="en-ZW"/>
        </w:rPr>
        <w:t>DISPOSITION</w:t>
      </w:r>
    </w:p>
    <w:p w14:paraId="18FD0AF3" w14:textId="2BEC3CBC" w:rsidR="00B26DA8" w:rsidRPr="005C4960" w:rsidRDefault="00B26DA8" w:rsidP="002A4913">
      <w:pPr>
        <w:spacing w:after="0" w:line="480" w:lineRule="auto"/>
        <w:ind w:left="-5" w:firstLine="1445"/>
        <w:jc w:val="both"/>
        <w:rPr>
          <w:rFonts w:ascii="Times New Roman" w:hAnsi="Times New Roman" w:cs="Times New Roman"/>
          <w:sz w:val="24"/>
          <w:szCs w:val="24"/>
          <w:lang w:val="en-ZW"/>
        </w:rPr>
      </w:pPr>
      <w:r w:rsidRPr="005C4960">
        <w:rPr>
          <w:rFonts w:ascii="Times New Roman" w:hAnsi="Times New Roman" w:cs="Times New Roman"/>
          <w:sz w:val="24"/>
          <w:szCs w:val="24"/>
          <w:lang w:val="en-ZW"/>
        </w:rPr>
        <w:t>There being no basis for departing fr</w:t>
      </w:r>
      <w:r w:rsidR="003D0D0E">
        <w:rPr>
          <w:rFonts w:ascii="Times New Roman" w:hAnsi="Times New Roman" w:cs="Times New Roman"/>
          <w:sz w:val="24"/>
          <w:szCs w:val="24"/>
          <w:lang w:val="en-ZW"/>
        </w:rPr>
        <w:t>om a previous decision of this C</w:t>
      </w:r>
      <w:r w:rsidRPr="005C4960">
        <w:rPr>
          <w:rFonts w:ascii="Times New Roman" w:hAnsi="Times New Roman" w:cs="Times New Roman"/>
          <w:sz w:val="24"/>
          <w:szCs w:val="24"/>
          <w:lang w:val="en-ZW"/>
        </w:rPr>
        <w:t xml:space="preserve">ourt, the appeal should fail. </w:t>
      </w:r>
      <w:r w:rsidR="00FE7062">
        <w:rPr>
          <w:rFonts w:ascii="Times New Roman" w:hAnsi="Times New Roman" w:cs="Times New Roman"/>
          <w:sz w:val="24"/>
          <w:szCs w:val="24"/>
          <w:lang w:val="en-ZW"/>
        </w:rPr>
        <w:t xml:space="preserve"> </w:t>
      </w:r>
      <w:r w:rsidRPr="005C4960">
        <w:rPr>
          <w:rFonts w:ascii="Times New Roman" w:hAnsi="Times New Roman" w:cs="Times New Roman"/>
          <w:sz w:val="24"/>
          <w:szCs w:val="24"/>
          <w:lang w:val="en-ZW"/>
        </w:rPr>
        <w:t>As is the norm, costs will follow the cause.</w:t>
      </w:r>
    </w:p>
    <w:p w14:paraId="4FD175CB" w14:textId="77777777" w:rsidR="003D0D0E" w:rsidRDefault="003D0D0E" w:rsidP="003D0D0E">
      <w:pPr>
        <w:spacing w:after="0" w:line="480" w:lineRule="auto"/>
        <w:ind w:left="-5" w:hanging="10"/>
        <w:jc w:val="both"/>
        <w:rPr>
          <w:rFonts w:ascii="Times New Roman" w:hAnsi="Times New Roman" w:cs="Times New Roman"/>
          <w:sz w:val="24"/>
          <w:szCs w:val="24"/>
          <w:lang w:val="en-ZW"/>
        </w:rPr>
      </w:pPr>
    </w:p>
    <w:p w14:paraId="4CE717B4" w14:textId="4A87D0B8" w:rsidR="0009289B" w:rsidRPr="005C4960" w:rsidRDefault="0009289B" w:rsidP="00FE7062">
      <w:pPr>
        <w:spacing w:after="0" w:line="480" w:lineRule="auto"/>
        <w:ind w:left="-5" w:firstLine="1445"/>
        <w:jc w:val="both"/>
        <w:rPr>
          <w:rFonts w:ascii="Times New Roman" w:hAnsi="Times New Roman" w:cs="Times New Roman"/>
          <w:sz w:val="24"/>
          <w:szCs w:val="24"/>
          <w:lang w:val="en-ZW"/>
        </w:rPr>
      </w:pPr>
      <w:r w:rsidRPr="005C4960">
        <w:rPr>
          <w:rFonts w:ascii="Times New Roman" w:hAnsi="Times New Roman" w:cs="Times New Roman"/>
          <w:sz w:val="24"/>
          <w:szCs w:val="24"/>
          <w:lang w:val="en-ZW"/>
        </w:rPr>
        <w:t>Accordingly, it is ordered that</w:t>
      </w:r>
      <w:r w:rsidR="00B26DA8" w:rsidRPr="005C4960">
        <w:rPr>
          <w:rFonts w:ascii="Times New Roman" w:hAnsi="Times New Roman" w:cs="Times New Roman"/>
          <w:sz w:val="24"/>
          <w:szCs w:val="24"/>
          <w:lang w:val="en-ZW"/>
        </w:rPr>
        <w:t>:</w:t>
      </w:r>
    </w:p>
    <w:p w14:paraId="58853845" w14:textId="47A891AC" w:rsidR="0009289B" w:rsidRPr="005C4960" w:rsidRDefault="00FE7062" w:rsidP="00FE7062">
      <w:pPr>
        <w:spacing w:after="173" w:line="48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w:t>
      </w:r>
      <w:r w:rsidR="0009289B" w:rsidRPr="005C4960">
        <w:rPr>
          <w:rFonts w:ascii="Times New Roman" w:hAnsi="Times New Roman" w:cs="Times New Roman"/>
          <w:sz w:val="24"/>
          <w:szCs w:val="24"/>
          <w:lang w:val="en-ZW"/>
        </w:rPr>
        <w:t>The appeal</w:t>
      </w:r>
      <w:r w:rsidR="00B26DA8" w:rsidRPr="005C4960">
        <w:rPr>
          <w:rFonts w:ascii="Times New Roman" w:hAnsi="Times New Roman" w:cs="Times New Roman"/>
          <w:sz w:val="24"/>
          <w:szCs w:val="24"/>
          <w:lang w:val="en-ZW"/>
        </w:rPr>
        <w:t xml:space="preserve"> be and</w:t>
      </w:r>
      <w:r w:rsidR="0009289B" w:rsidRPr="005C4960">
        <w:rPr>
          <w:rFonts w:ascii="Times New Roman" w:hAnsi="Times New Roman" w:cs="Times New Roman"/>
          <w:sz w:val="24"/>
          <w:szCs w:val="24"/>
          <w:lang w:val="en-ZW"/>
        </w:rPr>
        <w:t xml:space="preserve"> is hereby dismissed</w:t>
      </w:r>
      <w:r w:rsidR="00B26DA8" w:rsidRPr="005C4960">
        <w:rPr>
          <w:rFonts w:ascii="Times New Roman" w:hAnsi="Times New Roman" w:cs="Times New Roman"/>
          <w:sz w:val="24"/>
          <w:szCs w:val="24"/>
          <w:lang w:val="en-ZW"/>
        </w:rPr>
        <w:t xml:space="preserve"> with costs.</w:t>
      </w:r>
      <w:r>
        <w:rPr>
          <w:rFonts w:ascii="Times New Roman" w:hAnsi="Times New Roman" w:cs="Times New Roman"/>
          <w:sz w:val="24"/>
          <w:szCs w:val="24"/>
          <w:lang w:val="en-ZW"/>
        </w:rPr>
        <w:t>”</w:t>
      </w:r>
    </w:p>
    <w:p w14:paraId="02CED3D7" w14:textId="77777777" w:rsidR="006E2C09" w:rsidRDefault="006E2C09" w:rsidP="005C4960">
      <w:pPr>
        <w:spacing w:after="173" w:line="480" w:lineRule="auto"/>
        <w:jc w:val="both"/>
        <w:rPr>
          <w:rFonts w:ascii="Times New Roman" w:hAnsi="Times New Roman" w:cs="Times New Roman"/>
          <w:sz w:val="24"/>
          <w:szCs w:val="24"/>
          <w:lang w:val="en-ZW"/>
        </w:rPr>
      </w:pPr>
    </w:p>
    <w:p w14:paraId="4BD84B72" w14:textId="77777777" w:rsidR="00995F5A" w:rsidRPr="005C4960" w:rsidRDefault="00995F5A" w:rsidP="005C4960">
      <w:pPr>
        <w:spacing w:after="173" w:line="480" w:lineRule="auto"/>
        <w:jc w:val="both"/>
        <w:rPr>
          <w:rFonts w:ascii="Times New Roman" w:hAnsi="Times New Roman" w:cs="Times New Roman"/>
          <w:sz w:val="24"/>
          <w:szCs w:val="24"/>
          <w:lang w:val="en-ZW"/>
        </w:rPr>
      </w:pPr>
    </w:p>
    <w:p w14:paraId="00776179" w14:textId="657B979C" w:rsidR="006E2C09" w:rsidRPr="005C4960" w:rsidRDefault="006E2C09" w:rsidP="00FE7062">
      <w:pPr>
        <w:spacing w:after="173" w:line="480" w:lineRule="auto"/>
        <w:ind w:firstLine="1440"/>
        <w:jc w:val="both"/>
        <w:rPr>
          <w:rFonts w:ascii="Times New Roman" w:hAnsi="Times New Roman" w:cs="Times New Roman"/>
          <w:sz w:val="24"/>
          <w:szCs w:val="24"/>
          <w:lang w:val="en-ZW"/>
        </w:rPr>
      </w:pPr>
      <w:r w:rsidRPr="005C4960">
        <w:rPr>
          <w:rFonts w:ascii="Times New Roman" w:hAnsi="Times New Roman" w:cs="Times New Roman"/>
          <w:b/>
          <w:bCs/>
          <w:sz w:val="24"/>
          <w:szCs w:val="24"/>
          <w:lang w:val="en-ZW"/>
        </w:rPr>
        <w:t>GWAUNZA DCJ</w:t>
      </w:r>
      <w:r w:rsidR="003D0D0E">
        <w:rPr>
          <w:rFonts w:ascii="Times New Roman" w:hAnsi="Times New Roman" w:cs="Times New Roman"/>
          <w:sz w:val="24"/>
          <w:szCs w:val="24"/>
          <w:lang w:val="en-ZW"/>
        </w:rPr>
        <w:tab/>
      </w:r>
      <w:r w:rsidRPr="005C4960">
        <w:rPr>
          <w:rFonts w:ascii="Times New Roman" w:hAnsi="Times New Roman" w:cs="Times New Roman"/>
          <w:sz w:val="24"/>
          <w:szCs w:val="24"/>
          <w:lang w:val="en-ZW"/>
        </w:rPr>
        <w:t xml:space="preserve">: </w:t>
      </w:r>
      <w:r w:rsidR="003D0D0E">
        <w:rPr>
          <w:rFonts w:ascii="Times New Roman" w:hAnsi="Times New Roman" w:cs="Times New Roman"/>
          <w:sz w:val="24"/>
          <w:szCs w:val="24"/>
          <w:lang w:val="en-ZW"/>
        </w:rPr>
        <w:tab/>
      </w:r>
      <w:r w:rsidRPr="005C4960">
        <w:rPr>
          <w:rFonts w:ascii="Times New Roman" w:hAnsi="Times New Roman" w:cs="Times New Roman"/>
          <w:sz w:val="24"/>
          <w:szCs w:val="24"/>
          <w:lang w:val="en-ZW"/>
        </w:rPr>
        <w:t>I agree</w:t>
      </w:r>
    </w:p>
    <w:p w14:paraId="312C5AAC" w14:textId="77777777" w:rsidR="00B95782" w:rsidRPr="005C4960" w:rsidRDefault="00B95782" w:rsidP="005C4960">
      <w:pPr>
        <w:spacing w:after="173" w:line="480" w:lineRule="auto"/>
        <w:jc w:val="both"/>
        <w:rPr>
          <w:rFonts w:ascii="Times New Roman" w:hAnsi="Times New Roman" w:cs="Times New Roman"/>
          <w:sz w:val="24"/>
          <w:szCs w:val="24"/>
          <w:lang w:val="en-ZW"/>
        </w:rPr>
      </w:pPr>
    </w:p>
    <w:p w14:paraId="65C0E311" w14:textId="1FC1BC65" w:rsidR="006E2C09" w:rsidRDefault="006E2C09" w:rsidP="00FE7062">
      <w:pPr>
        <w:spacing w:after="173" w:line="480" w:lineRule="auto"/>
        <w:ind w:firstLine="1440"/>
        <w:jc w:val="both"/>
        <w:rPr>
          <w:rFonts w:ascii="Times New Roman" w:hAnsi="Times New Roman" w:cs="Times New Roman"/>
          <w:sz w:val="24"/>
          <w:szCs w:val="24"/>
          <w:lang w:val="en-ZW"/>
        </w:rPr>
      </w:pPr>
      <w:r w:rsidRPr="005C4960">
        <w:rPr>
          <w:rFonts w:ascii="Times New Roman" w:hAnsi="Times New Roman" w:cs="Times New Roman"/>
          <w:b/>
          <w:bCs/>
          <w:sz w:val="24"/>
          <w:szCs w:val="24"/>
          <w:lang w:val="en-ZW"/>
        </w:rPr>
        <w:t>CHIWESHE JA</w:t>
      </w:r>
      <w:r w:rsidR="00FE7062">
        <w:rPr>
          <w:rFonts w:ascii="Times New Roman" w:hAnsi="Times New Roman" w:cs="Times New Roman"/>
          <w:sz w:val="24"/>
          <w:szCs w:val="24"/>
          <w:lang w:val="en-ZW"/>
        </w:rPr>
        <w:tab/>
      </w:r>
      <w:r w:rsidRPr="005C4960">
        <w:rPr>
          <w:rFonts w:ascii="Times New Roman" w:hAnsi="Times New Roman" w:cs="Times New Roman"/>
          <w:sz w:val="24"/>
          <w:szCs w:val="24"/>
          <w:lang w:val="en-ZW"/>
        </w:rPr>
        <w:t xml:space="preserve">: </w:t>
      </w:r>
      <w:r w:rsidR="003D0D0E">
        <w:rPr>
          <w:rFonts w:ascii="Times New Roman" w:hAnsi="Times New Roman" w:cs="Times New Roman"/>
          <w:sz w:val="24"/>
          <w:szCs w:val="24"/>
          <w:lang w:val="en-ZW"/>
        </w:rPr>
        <w:tab/>
      </w:r>
      <w:r w:rsidRPr="005C4960">
        <w:rPr>
          <w:rFonts w:ascii="Times New Roman" w:hAnsi="Times New Roman" w:cs="Times New Roman"/>
          <w:sz w:val="24"/>
          <w:szCs w:val="24"/>
          <w:lang w:val="en-ZW"/>
        </w:rPr>
        <w:t>I agree</w:t>
      </w:r>
    </w:p>
    <w:p w14:paraId="5A06A442" w14:textId="77777777" w:rsidR="00995F5A" w:rsidRPr="005C4960" w:rsidRDefault="00995F5A" w:rsidP="00FE7062">
      <w:pPr>
        <w:spacing w:after="173" w:line="480" w:lineRule="auto"/>
        <w:ind w:firstLine="1440"/>
        <w:jc w:val="both"/>
        <w:rPr>
          <w:rFonts w:ascii="Times New Roman" w:hAnsi="Times New Roman" w:cs="Times New Roman"/>
          <w:sz w:val="24"/>
          <w:szCs w:val="24"/>
          <w:lang w:val="en-ZW"/>
        </w:rPr>
      </w:pPr>
    </w:p>
    <w:p w14:paraId="357835ED" w14:textId="75A403E5" w:rsidR="001E575F" w:rsidRDefault="00BF42B4" w:rsidP="00FE7062">
      <w:pPr>
        <w:spacing w:after="0" w:line="480" w:lineRule="auto"/>
        <w:ind w:left="-5" w:hanging="10"/>
        <w:jc w:val="both"/>
        <w:rPr>
          <w:rFonts w:ascii="Times New Roman" w:hAnsi="Times New Roman" w:cs="Times New Roman"/>
          <w:sz w:val="24"/>
          <w:szCs w:val="24"/>
        </w:rPr>
      </w:pPr>
      <w:r w:rsidRPr="00BF42B4">
        <w:rPr>
          <w:rFonts w:ascii="Times New Roman" w:hAnsi="Times New Roman" w:cs="Times New Roman"/>
          <w:i/>
          <w:sz w:val="24"/>
          <w:szCs w:val="24"/>
        </w:rPr>
        <w:t>Maguchu &amp; Muchada</w:t>
      </w:r>
      <w:r>
        <w:rPr>
          <w:rFonts w:ascii="Times New Roman" w:hAnsi="Times New Roman" w:cs="Times New Roman"/>
          <w:sz w:val="24"/>
          <w:szCs w:val="24"/>
        </w:rPr>
        <w:t>, appellant’s legal practitioner</w:t>
      </w:r>
      <w:r w:rsidR="00FE7062">
        <w:rPr>
          <w:rFonts w:ascii="Times New Roman" w:hAnsi="Times New Roman" w:cs="Times New Roman"/>
          <w:sz w:val="24"/>
          <w:szCs w:val="24"/>
        </w:rPr>
        <w:t>s</w:t>
      </w:r>
    </w:p>
    <w:p w14:paraId="36333FC0" w14:textId="30366121" w:rsidR="00BF42B4" w:rsidRPr="005C4960" w:rsidRDefault="00BF42B4" w:rsidP="00FE7062">
      <w:pPr>
        <w:spacing w:after="0" w:line="480" w:lineRule="auto"/>
        <w:ind w:left="-5" w:hanging="10"/>
        <w:jc w:val="both"/>
        <w:rPr>
          <w:rFonts w:ascii="Times New Roman" w:hAnsi="Times New Roman" w:cs="Times New Roman"/>
          <w:sz w:val="24"/>
          <w:szCs w:val="24"/>
        </w:rPr>
      </w:pPr>
      <w:r w:rsidRPr="00BF42B4">
        <w:rPr>
          <w:rFonts w:ascii="Times New Roman" w:hAnsi="Times New Roman" w:cs="Times New Roman"/>
          <w:i/>
          <w:sz w:val="24"/>
          <w:szCs w:val="24"/>
        </w:rPr>
        <w:t>Sinyoro &amp; Partners</w:t>
      </w:r>
      <w:r>
        <w:rPr>
          <w:rFonts w:ascii="Times New Roman" w:hAnsi="Times New Roman" w:cs="Times New Roman"/>
          <w:sz w:val="24"/>
          <w:szCs w:val="24"/>
        </w:rPr>
        <w:t>, respondent’s legal practitioner</w:t>
      </w:r>
      <w:r w:rsidR="00FE7062">
        <w:rPr>
          <w:rFonts w:ascii="Times New Roman" w:hAnsi="Times New Roman" w:cs="Times New Roman"/>
          <w:sz w:val="24"/>
          <w:szCs w:val="24"/>
        </w:rPr>
        <w:t>s</w:t>
      </w:r>
      <w:r>
        <w:rPr>
          <w:rFonts w:ascii="Times New Roman" w:hAnsi="Times New Roman" w:cs="Times New Roman"/>
          <w:sz w:val="24"/>
          <w:szCs w:val="24"/>
        </w:rPr>
        <w:t xml:space="preserve"> </w:t>
      </w:r>
    </w:p>
    <w:p w14:paraId="68F5B755" w14:textId="77777777" w:rsidR="007C61AE" w:rsidRPr="00797E50" w:rsidRDefault="007C61AE" w:rsidP="00833846">
      <w:pPr>
        <w:spacing w:line="360" w:lineRule="auto"/>
        <w:jc w:val="both"/>
        <w:rPr>
          <w:rFonts w:ascii="Times New Roman" w:hAnsi="Times New Roman" w:cs="Times New Roman"/>
          <w:i/>
          <w:sz w:val="24"/>
          <w:szCs w:val="24"/>
        </w:rPr>
      </w:pPr>
    </w:p>
    <w:sectPr w:rsidR="007C61AE" w:rsidRPr="00797E50">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106A57" w14:textId="77777777" w:rsidR="008C54FD" w:rsidRDefault="008C54FD" w:rsidP="00DA6096">
      <w:pPr>
        <w:spacing w:after="0" w:line="240" w:lineRule="auto"/>
      </w:pPr>
      <w:r>
        <w:separator/>
      </w:r>
    </w:p>
  </w:endnote>
  <w:endnote w:type="continuationSeparator" w:id="0">
    <w:p w14:paraId="2428AEE8" w14:textId="77777777" w:rsidR="008C54FD" w:rsidRDefault="008C54FD" w:rsidP="00DA60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60593A" w14:textId="77777777" w:rsidR="008C54FD" w:rsidRDefault="008C54FD" w:rsidP="00DA6096">
      <w:pPr>
        <w:spacing w:after="0" w:line="240" w:lineRule="auto"/>
      </w:pPr>
      <w:r>
        <w:separator/>
      </w:r>
    </w:p>
  </w:footnote>
  <w:footnote w:type="continuationSeparator" w:id="0">
    <w:p w14:paraId="00EEB7F7" w14:textId="77777777" w:rsidR="008C54FD" w:rsidRDefault="008C54FD" w:rsidP="00DA609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FE3297" w14:textId="6BDF6683" w:rsidR="00894020" w:rsidRDefault="0089542F">
    <w:pPr>
      <w:pStyle w:val="Header"/>
    </w:pPr>
    <w:r>
      <w:rPr>
        <w:noProof/>
        <w:lang w:val="en-ZW" w:eastAsia="en-ZW"/>
      </w:rPr>
      <mc:AlternateContent>
        <mc:Choice Requires="wps">
          <w:drawing>
            <wp:anchor distT="0" distB="0" distL="114300" distR="114300" simplePos="0" relativeHeight="251657728" behindDoc="0" locked="0" layoutInCell="0" allowOverlap="1" wp14:anchorId="613579D6" wp14:editId="5B8FF230">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663B48" w14:textId="23413364" w:rsidR="0089542F" w:rsidRPr="0089542F" w:rsidRDefault="005A4750">
                          <w:pPr>
                            <w:spacing w:after="0" w:line="240" w:lineRule="auto"/>
                            <w:jc w:val="right"/>
                            <w:rPr>
                              <w:rFonts w:ascii="Times New Roman" w:hAnsi="Times New Roman" w:cs="Times New Roman"/>
                              <w:b/>
                              <w:noProof/>
                              <w:sz w:val="24"/>
                              <w:szCs w:val="24"/>
                              <w:lang w:val="en-ZW"/>
                            </w:rPr>
                          </w:pPr>
                          <w:r>
                            <w:rPr>
                              <w:rFonts w:ascii="Times New Roman" w:hAnsi="Times New Roman" w:cs="Times New Roman"/>
                              <w:b/>
                              <w:noProof/>
                              <w:sz w:val="24"/>
                              <w:szCs w:val="24"/>
                              <w:lang w:val="en-ZW"/>
                            </w:rPr>
                            <w:t>Judgment No SC 69</w:t>
                          </w:r>
                          <w:r w:rsidR="0089542F" w:rsidRPr="0089542F">
                            <w:rPr>
                              <w:rFonts w:ascii="Times New Roman" w:hAnsi="Times New Roman" w:cs="Times New Roman"/>
                              <w:b/>
                              <w:noProof/>
                              <w:sz w:val="24"/>
                              <w:szCs w:val="24"/>
                              <w:lang w:val="en-ZW"/>
                            </w:rPr>
                            <w:t>/24</w:t>
                          </w:r>
                        </w:p>
                        <w:p w14:paraId="36017A64" w14:textId="526F3CB4" w:rsidR="0089542F" w:rsidRPr="0089542F" w:rsidRDefault="0089542F">
                          <w:pPr>
                            <w:spacing w:after="0" w:line="240" w:lineRule="auto"/>
                            <w:jc w:val="right"/>
                            <w:rPr>
                              <w:rFonts w:ascii="Times New Roman" w:hAnsi="Times New Roman" w:cs="Times New Roman"/>
                              <w:b/>
                              <w:noProof/>
                              <w:sz w:val="24"/>
                              <w:szCs w:val="24"/>
                              <w:lang w:val="en-ZW"/>
                            </w:rPr>
                          </w:pPr>
                          <w:r w:rsidRPr="0089542F">
                            <w:rPr>
                              <w:rFonts w:ascii="Times New Roman" w:hAnsi="Times New Roman" w:cs="Times New Roman"/>
                              <w:b/>
                              <w:noProof/>
                              <w:sz w:val="24"/>
                              <w:szCs w:val="24"/>
                              <w:lang w:val="en-ZW"/>
                            </w:rPr>
                            <w:t>Civil Appeal No SC 678/22</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613579D6" id="_x0000_t202" coordsize="21600,21600" o:spt="202" path="m,l,21600r21600,l21600,xe">
              <v:stroke joinstyle="miter"/>
              <v:path gradientshapeok="t" o:connecttype="rect"/>
            </v:shapetype>
            <v:shape id="Text Box 220" o:spid="_x0000_s1026" type="#_x0000_t202" style="position:absolute;margin-left:0;margin-top:0;width:468pt;height:13.7pt;z-index:25165772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14:paraId="34663B48" w14:textId="23413364" w:rsidR="0089542F" w:rsidRPr="0089542F" w:rsidRDefault="005A4750">
                    <w:pPr>
                      <w:spacing w:after="0" w:line="240" w:lineRule="auto"/>
                      <w:jc w:val="right"/>
                      <w:rPr>
                        <w:rFonts w:ascii="Times New Roman" w:hAnsi="Times New Roman" w:cs="Times New Roman"/>
                        <w:b/>
                        <w:noProof/>
                        <w:sz w:val="24"/>
                        <w:szCs w:val="24"/>
                        <w:lang w:val="en-ZW"/>
                      </w:rPr>
                    </w:pPr>
                    <w:r>
                      <w:rPr>
                        <w:rFonts w:ascii="Times New Roman" w:hAnsi="Times New Roman" w:cs="Times New Roman"/>
                        <w:b/>
                        <w:noProof/>
                        <w:sz w:val="24"/>
                        <w:szCs w:val="24"/>
                        <w:lang w:val="en-ZW"/>
                      </w:rPr>
                      <w:t>Judgment No SC 69</w:t>
                    </w:r>
                    <w:r w:rsidR="0089542F" w:rsidRPr="0089542F">
                      <w:rPr>
                        <w:rFonts w:ascii="Times New Roman" w:hAnsi="Times New Roman" w:cs="Times New Roman"/>
                        <w:b/>
                        <w:noProof/>
                        <w:sz w:val="24"/>
                        <w:szCs w:val="24"/>
                        <w:lang w:val="en-ZW"/>
                      </w:rPr>
                      <w:t>/24</w:t>
                    </w:r>
                  </w:p>
                  <w:p w14:paraId="36017A64" w14:textId="526F3CB4" w:rsidR="0089542F" w:rsidRPr="0089542F" w:rsidRDefault="0089542F">
                    <w:pPr>
                      <w:spacing w:after="0" w:line="240" w:lineRule="auto"/>
                      <w:jc w:val="right"/>
                      <w:rPr>
                        <w:rFonts w:ascii="Times New Roman" w:hAnsi="Times New Roman" w:cs="Times New Roman"/>
                        <w:b/>
                        <w:noProof/>
                        <w:sz w:val="24"/>
                        <w:szCs w:val="24"/>
                        <w:lang w:val="en-ZW"/>
                      </w:rPr>
                    </w:pPr>
                    <w:r w:rsidRPr="0089542F">
                      <w:rPr>
                        <w:rFonts w:ascii="Times New Roman" w:hAnsi="Times New Roman" w:cs="Times New Roman"/>
                        <w:b/>
                        <w:noProof/>
                        <w:sz w:val="24"/>
                        <w:szCs w:val="24"/>
                        <w:lang w:val="en-ZW"/>
                      </w:rPr>
                      <w:t>Civil Appeal No SC 678/22</w:t>
                    </w:r>
                  </w:p>
                </w:txbxContent>
              </v:textbox>
              <w10:wrap anchorx="margin" anchory="margin"/>
            </v:shape>
          </w:pict>
        </mc:Fallback>
      </mc:AlternateContent>
    </w:r>
    <w:r>
      <w:rPr>
        <w:noProof/>
        <w:lang w:val="en-ZW" w:eastAsia="en-ZW"/>
      </w:rPr>
      <mc:AlternateContent>
        <mc:Choice Requires="wps">
          <w:drawing>
            <wp:anchor distT="0" distB="0" distL="114300" distR="114300" simplePos="0" relativeHeight="251656704" behindDoc="0" locked="0" layoutInCell="0" allowOverlap="1" wp14:anchorId="3C4B0769" wp14:editId="2568172B">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14:paraId="16F41C24" w14:textId="77777777" w:rsidR="0089542F" w:rsidRDefault="0089542F">
                          <w:pPr>
                            <w:spacing w:after="0" w:line="240" w:lineRule="auto"/>
                            <w:rPr>
                              <w:color w:val="FFFFFF" w:themeColor="background1"/>
                            </w:rPr>
                          </w:pPr>
                          <w:r>
                            <w:fldChar w:fldCharType="begin"/>
                          </w:r>
                          <w:r>
                            <w:instrText xml:space="preserve"> PAGE   \* MERGEFORMAT </w:instrText>
                          </w:r>
                          <w:r>
                            <w:fldChar w:fldCharType="separate"/>
                          </w:r>
                          <w:r w:rsidR="00CD56CD" w:rsidRPr="00CD56CD">
                            <w:rPr>
                              <w:noProof/>
                              <w:color w:val="FFFFFF" w:themeColor="background1"/>
                            </w:rPr>
                            <w:t>1</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w14:anchorId="3C4B0769" id="_x0000_t202" coordsize="21600,21600" o:spt="202" path="m,l,21600r21600,l21600,xe">
              <v:stroke joinstyle="miter"/>
              <v:path gradientshapeok="t" o:connecttype="rect"/>
            </v:shapetype>
            <v:shape id="Text Box 221" o:spid="_x0000_s1027" type="#_x0000_t202" style="position:absolute;margin-left:20.6pt;margin-top:0;width:71.8pt;height:13.45pt;z-index:25165670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a8d08d [1945]" stroked="f">
              <v:textbox style="mso-fit-shape-to-text:t" inset=",0,,0">
                <w:txbxContent>
                  <w:p w14:paraId="16F41C24" w14:textId="77777777" w:rsidR="0089542F" w:rsidRDefault="0089542F">
                    <w:pPr>
                      <w:spacing w:after="0" w:line="240" w:lineRule="auto"/>
                      <w:rPr>
                        <w:color w:val="FFFFFF" w:themeColor="background1"/>
                      </w:rPr>
                    </w:pPr>
                    <w:r>
                      <w:fldChar w:fldCharType="begin"/>
                    </w:r>
                    <w:r>
                      <w:instrText xml:space="preserve"> PAGE   \* MERGEFORMAT </w:instrText>
                    </w:r>
                    <w:r>
                      <w:fldChar w:fldCharType="separate"/>
                    </w:r>
                    <w:r w:rsidR="00CD56CD" w:rsidRPr="00CD56CD">
                      <w:rPr>
                        <w:noProof/>
                        <w:color w:val="FFFFFF" w:themeColor="background1"/>
                      </w:rPr>
                      <w:t>1</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BB472DC1"/>
    <w:multiLevelType w:val="hybridMultilevel"/>
    <w:tmpl w:val="A98484AE"/>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4E4C0B2"/>
    <w:multiLevelType w:val="hybridMultilevel"/>
    <w:tmpl w:val="63275B30"/>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D9C1C67C"/>
    <w:multiLevelType w:val="hybridMultilevel"/>
    <w:tmpl w:val="2EC6BEE1"/>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3D67399"/>
    <w:multiLevelType w:val="hybridMultilevel"/>
    <w:tmpl w:val="D1696414"/>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752051C"/>
    <w:multiLevelType w:val="hybridMultilevel"/>
    <w:tmpl w:val="3CBC576C"/>
    <w:lvl w:ilvl="0" w:tplc="B38ECB06">
      <w:start w:val="2"/>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5" w15:restartNumberingAfterBreak="0">
    <w:nsid w:val="0D39733B"/>
    <w:multiLevelType w:val="hybridMultilevel"/>
    <w:tmpl w:val="D7DCD152"/>
    <w:lvl w:ilvl="0" w:tplc="E34C6F78">
      <w:start w:val="1"/>
      <w:numFmt w:val="lowerRoman"/>
      <w:lvlText w:val="%1."/>
      <w:lvlJc w:val="left"/>
      <w:pPr>
        <w:ind w:left="7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1C639E4">
      <w:start w:val="1"/>
      <w:numFmt w:val="decimal"/>
      <w:lvlText w:val="%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904C1E8">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D58F2EA">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E4E9174">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7A2A9CA">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DE097E2">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FE21AE2">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5EA72B0">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0E225459"/>
    <w:multiLevelType w:val="hybridMultilevel"/>
    <w:tmpl w:val="247641EE"/>
    <w:lvl w:ilvl="0" w:tplc="A39E7F1C">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6D44B58">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63A270A">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BD4C67C">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08ACFC4">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8E0DE76">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DBC4E0E">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2F8AAD0">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16ABC66">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CBC1D8D"/>
    <w:multiLevelType w:val="hybridMultilevel"/>
    <w:tmpl w:val="D9203BBE"/>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8" w15:restartNumberingAfterBreak="0">
    <w:nsid w:val="2ED600A6"/>
    <w:multiLevelType w:val="hybridMultilevel"/>
    <w:tmpl w:val="87B250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EF64E51"/>
    <w:multiLevelType w:val="hybridMultilevel"/>
    <w:tmpl w:val="7FD466BA"/>
    <w:lvl w:ilvl="0" w:tplc="C650669A">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0" w15:restartNumberingAfterBreak="0">
    <w:nsid w:val="2FBC70C8"/>
    <w:multiLevelType w:val="hybridMultilevel"/>
    <w:tmpl w:val="7D7A4300"/>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1" w15:restartNumberingAfterBreak="0">
    <w:nsid w:val="32F47DEA"/>
    <w:multiLevelType w:val="hybridMultilevel"/>
    <w:tmpl w:val="B1F238D2"/>
    <w:lvl w:ilvl="0" w:tplc="54EC7972">
      <w:start w:val="2"/>
      <w:numFmt w:val="decimal"/>
      <w:lvlText w:val="(%1)"/>
      <w:lvlJc w:val="left"/>
      <w:pPr>
        <w:ind w:left="1776"/>
      </w:pPr>
      <w:rPr>
        <w:rFonts w:ascii="Times New Roman" w:eastAsia="Times New Roman" w:hAnsi="Times New Roman" w:cs="Times New Roman"/>
        <w:b w:val="0"/>
        <w:i/>
        <w:strike w:val="0"/>
        <w:dstrike w:val="0"/>
        <w:color w:val="000000"/>
        <w:sz w:val="24"/>
        <w:u w:val="none" w:color="000000"/>
        <w:bdr w:val="none" w:sz="0" w:space="0" w:color="auto"/>
        <w:shd w:val="clear" w:color="auto" w:fill="auto"/>
        <w:vertAlign w:val="baseline"/>
      </w:rPr>
    </w:lvl>
    <w:lvl w:ilvl="1" w:tplc="A7169DDC">
      <w:start w:val="1"/>
      <w:numFmt w:val="lowerLetter"/>
      <w:lvlText w:val="%2"/>
      <w:lvlJc w:val="left"/>
      <w:pPr>
        <w:ind w:left="2520"/>
      </w:pPr>
      <w:rPr>
        <w:rFonts w:ascii="Times New Roman" w:eastAsia="Times New Roman" w:hAnsi="Times New Roman" w:cs="Times New Roman"/>
        <w:b w:val="0"/>
        <w:i/>
        <w:strike w:val="0"/>
        <w:dstrike w:val="0"/>
        <w:color w:val="000000"/>
        <w:sz w:val="24"/>
        <w:u w:val="none" w:color="000000"/>
        <w:bdr w:val="none" w:sz="0" w:space="0" w:color="auto"/>
        <w:shd w:val="clear" w:color="auto" w:fill="auto"/>
        <w:vertAlign w:val="baseline"/>
      </w:rPr>
    </w:lvl>
    <w:lvl w:ilvl="2" w:tplc="78E42816">
      <w:start w:val="1"/>
      <w:numFmt w:val="lowerRoman"/>
      <w:lvlText w:val="%3"/>
      <w:lvlJc w:val="left"/>
      <w:pPr>
        <w:ind w:left="3240"/>
      </w:pPr>
      <w:rPr>
        <w:rFonts w:ascii="Times New Roman" w:eastAsia="Times New Roman" w:hAnsi="Times New Roman" w:cs="Times New Roman"/>
        <w:b w:val="0"/>
        <w:i/>
        <w:strike w:val="0"/>
        <w:dstrike w:val="0"/>
        <w:color w:val="000000"/>
        <w:sz w:val="24"/>
        <w:u w:val="none" w:color="000000"/>
        <w:bdr w:val="none" w:sz="0" w:space="0" w:color="auto"/>
        <w:shd w:val="clear" w:color="auto" w:fill="auto"/>
        <w:vertAlign w:val="baseline"/>
      </w:rPr>
    </w:lvl>
    <w:lvl w:ilvl="3" w:tplc="4846F6DC">
      <w:start w:val="1"/>
      <w:numFmt w:val="decimal"/>
      <w:lvlText w:val="%4"/>
      <w:lvlJc w:val="left"/>
      <w:pPr>
        <w:ind w:left="3960"/>
      </w:pPr>
      <w:rPr>
        <w:rFonts w:ascii="Times New Roman" w:eastAsia="Times New Roman" w:hAnsi="Times New Roman" w:cs="Times New Roman"/>
        <w:b w:val="0"/>
        <w:i/>
        <w:strike w:val="0"/>
        <w:dstrike w:val="0"/>
        <w:color w:val="000000"/>
        <w:sz w:val="24"/>
        <w:u w:val="none" w:color="000000"/>
        <w:bdr w:val="none" w:sz="0" w:space="0" w:color="auto"/>
        <w:shd w:val="clear" w:color="auto" w:fill="auto"/>
        <w:vertAlign w:val="baseline"/>
      </w:rPr>
    </w:lvl>
    <w:lvl w:ilvl="4" w:tplc="0CA09AAA">
      <w:start w:val="1"/>
      <w:numFmt w:val="lowerLetter"/>
      <w:lvlText w:val="%5"/>
      <w:lvlJc w:val="left"/>
      <w:pPr>
        <w:ind w:left="4680"/>
      </w:pPr>
      <w:rPr>
        <w:rFonts w:ascii="Times New Roman" w:eastAsia="Times New Roman" w:hAnsi="Times New Roman" w:cs="Times New Roman"/>
        <w:b w:val="0"/>
        <w:i/>
        <w:strike w:val="0"/>
        <w:dstrike w:val="0"/>
        <w:color w:val="000000"/>
        <w:sz w:val="24"/>
        <w:u w:val="none" w:color="000000"/>
        <w:bdr w:val="none" w:sz="0" w:space="0" w:color="auto"/>
        <w:shd w:val="clear" w:color="auto" w:fill="auto"/>
        <w:vertAlign w:val="baseline"/>
      </w:rPr>
    </w:lvl>
    <w:lvl w:ilvl="5" w:tplc="05F4A8C2">
      <w:start w:val="1"/>
      <w:numFmt w:val="lowerRoman"/>
      <w:lvlText w:val="%6"/>
      <w:lvlJc w:val="left"/>
      <w:pPr>
        <w:ind w:left="5400"/>
      </w:pPr>
      <w:rPr>
        <w:rFonts w:ascii="Times New Roman" w:eastAsia="Times New Roman" w:hAnsi="Times New Roman" w:cs="Times New Roman"/>
        <w:b w:val="0"/>
        <w:i/>
        <w:strike w:val="0"/>
        <w:dstrike w:val="0"/>
        <w:color w:val="000000"/>
        <w:sz w:val="24"/>
        <w:u w:val="none" w:color="000000"/>
        <w:bdr w:val="none" w:sz="0" w:space="0" w:color="auto"/>
        <w:shd w:val="clear" w:color="auto" w:fill="auto"/>
        <w:vertAlign w:val="baseline"/>
      </w:rPr>
    </w:lvl>
    <w:lvl w:ilvl="6" w:tplc="95DA55A8">
      <w:start w:val="1"/>
      <w:numFmt w:val="decimal"/>
      <w:lvlText w:val="%7"/>
      <w:lvlJc w:val="left"/>
      <w:pPr>
        <w:ind w:left="6120"/>
      </w:pPr>
      <w:rPr>
        <w:rFonts w:ascii="Times New Roman" w:eastAsia="Times New Roman" w:hAnsi="Times New Roman" w:cs="Times New Roman"/>
        <w:b w:val="0"/>
        <w:i/>
        <w:strike w:val="0"/>
        <w:dstrike w:val="0"/>
        <w:color w:val="000000"/>
        <w:sz w:val="24"/>
        <w:u w:val="none" w:color="000000"/>
        <w:bdr w:val="none" w:sz="0" w:space="0" w:color="auto"/>
        <w:shd w:val="clear" w:color="auto" w:fill="auto"/>
        <w:vertAlign w:val="baseline"/>
      </w:rPr>
    </w:lvl>
    <w:lvl w:ilvl="7" w:tplc="A8020730">
      <w:start w:val="1"/>
      <w:numFmt w:val="lowerLetter"/>
      <w:lvlText w:val="%8"/>
      <w:lvlJc w:val="left"/>
      <w:pPr>
        <w:ind w:left="6840"/>
      </w:pPr>
      <w:rPr>
        <w:rFonts w:ascii="Times New Roman" w:eastAsia="Times New Roman" w:hAnsi="Times New Roman" w:cs="Times New Roman"/>
        <w:b w:val="0"/>
        <w:i/>
        <w:strike w:val="0"/>
        <w:dstrike w:val="0"/>
        <w:color w:val="000000"/>
        <w:sz w:val="24"/>
        <w:u w:val="none" w:color="000000"/>
        <w:bdr w:val="none" w:sz="0" w:space="0" w:color="auto"/>
        <w:shd w:val="clear" w:color="auto" w:fill="auto"/>
        <w:vertAlign w:val="baseline"/>
      </w:rPr>
    </w:lvl>
    <w:lvl w:ilvl="8" w:tplc="1462699C">
      <w:start w:val="1"/>
      <w:numFmt w:val="lowerRoman"/>
      <w:lvlText w:val="%9"/>
      <w:lvlJc w:val="left"/>
      <w:pPr>
        <w:ind w:left="7560"/>
      </w:pPr>
      <w:rPr>
        <w:rFonts w:ascii="Times New Roman" w:eastAsia="Times New Roman" w:hAnsi="Times New Roman" w:cs="Times New Roman"/>
        <w:b w:val="0"/>
        <w:i/>
        <w:strike w:val="0"/>
        <w:dstrike w:val="0"/>
        <w:color w:val="000000"/>
        <w:sz w:val="24"/>
        <w:u w:val="none" w:color="000000"/>
        <w:bdr w:val="none" w:sz="0" w:space="0" w:color="auto"/>
        <w:shd w:val="clear" w:color="auto" w:fill="auto"/>
        <w:vertAlign w:val="baseline"/>
      </w:rPr>
    </w:lvl>
  </w:abstractNum>
  <w:abstractNum w:abstractNumId="12" w15:restartNumberingAfterBreak="0">
    <w:nsid w:val="3F1E14E3"/>
    <w:multiLevelType w:val="hybridMultilevel"/>
    <w:tmpl w:val="665422A8"/>
    <w:lvl w:ilvl="0" w:tplc="7384F994">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3" w15:restartNumberingAfterBreak="0">
    <w:nsid w:val="4F0D63A6"/>
    <w:multiLevelType w:val="hybridMultilevel"/>
    <w:tmpl w:val="8FA09076"/>
    <w:lvl w:ilvl="0" w:tplc="5EEA9EBE">
      <w:start w:val="2"/>
      <w:numFmt w:val="decimal"/>
      <w:lvlText w:val="(%1)"/>
      <w:lvlJc w:val="left"/>
      <w:pPr>
        <w:ind w:left="2196" w:hanging="360"/>
      </w:pPr>
      <w:rPr>
        <w:rFonts w:ascii="Times New Roman" w:eastAsia="Times New Roman" w:hAnsi="Times New Roman" w:cs="Times New Roman" w:hint="default"/>
        <w:i/>
      </w:rPr>
    </w:lvl>
    <w:lvl w:ilvl="1" w:tplc="30090019" w:tentative="1">
      <w:start w:val="1"/>
      <w:numFmt w:val="lowerLetter"/>
      <w:lvlText w:val="%2."/>
      <w:lvlJc w:val="left"/>
      <w:pPr>
        <w:ind w:left="2916" w:hanging="360"/>
      </w:pPr>
    </w:lvl>
    <w:lvl w:ilvl="2" w:tplc="3009001B" w:tentative="1">
      <w:start w:val="1"/>
      <w:numFmt w:val="lowerRoman"/>
      <w:lvlText w:val="%3."/>
      <w:lvlJc w:val="right"/>
      <w:pPr>
        <w:ind w:left="3636" w:hanging="180"/>
      </w:pPr>
    </w:lvl>
    <w:lvl w:ilvl="3" w:tplc="3009000F" w:tentative="1">
      <w:start w:val="1"/>
      <w:numFmt w:val="decimal"/>
      <w:lvlText w:val="%4."/>
      <w:lvlJc w:val="left"/>
      <w:pPr>
        <w:ind w:left="4356" w:hanging="360"/>
      </w:pPr>
    </w:lvl>
    <w:lvl w:ilvl="4" w:tplc="30090019" w:tentative="1">
      <w:start w:val="1"/>
      <w:numFmt w:val="lowerLetter"/>
      <w:lvlText w:val="%5."/>
      <w:lvlJc w:val="left"/>
      <w:pPr>
        <w:ind w:left="5076" w:hanging="360"/>
      </w:pPr>
    </w:lvl>
    <w:lvl w:ilvl="5" w:tplc="3009001B" w:tentative="1">
      <w:start w:val="1"/>
      <w:numFmt w:val="lowerRoman"/>
      <w:lvlText w:val="%6."/>
      <w:lvlJc w:val="right"/>
      <w:pPr>
        <w:ind w:left="5796" w:hanging="180"/>
      </w:pPr>
    </w:lvl>
    <w:lvl w:ilvl="6" w:tplc="3009000F" w:tentative="1">
      <w:start w:val="1"/>
      <w:numFmt w:val="decimal"/>
      <w:lvlText w:val="%7."/>
      <w:lvlJc w:val="left"/>
      <w:pPr>
        <w:ind w:left="6516" w:hanging="360"/>
      </w:pPr>
    </w:lvl>
    <w:lvl w:ilvl="7" w:tplc="30090019" w:tentative="1">
      <w:start w:val="1"/>
      <w:numFmt w:val="lowerLetter"/>
      <w:lvlText w:val="%8."/>
      <w:lvlJc w:val="left"/>
      <w:pPr>
        <w:ind w:left="7236" w:hanging="360"/>
      </w:pPr>
    </w:lvl>
    <w:lvl w:ilvl="8" w:tplc="3009001B" w:tentative="1">
      <w:start w:val="1"/>
      <w:numFmt w:val="lowerRoman"/>
      <w:lvlText w:val="%9."/>
      <w:lvlJc w:val="right"/>
      <w:pPr>
        <w:ind w:left="7956" w:hanging="180"/>
      </w:pPr>
    </w:lvl>
  </w:abstractNum>
  <w:abstractNum w:abstractNumId="14" w15:restartNumberingAfterBreak="0">
    <w:nsid w:val="550316E7"/>
    <w:multiLevelType w:val="hybridMultilevel"/>
    <w:tmpl w:val="229E8A9C"/>
    <w:lvl w:ilvl="0" w:tplc="DBD2A81E">
      <w:start w:val="1"/>
      <w:numFmt w:val="decimal"/>
      <w:lvlText w:val="%1."/>
      <w:lvlJc w:val="left"/>
      <w:pPr>
        <w:ind w:left="885" w:hanging="360"/>
      </w:pPr>
      <w:rPr>
        <w:rFonts w:hint="default"/>
      </w:rPr>
    </w:lvl>
    <w:lvl w:ilvl="1" w:tplc="04090019" w:tentative="1">
      <w:start w:val="1"/>
      <w:numFmt w:val="lowerLetter"/>
      <w:lvlText w:val="%2."/>
      <w:lvlJc w:val="left"/>
      <w:pPr>
        <w:ind w:left="1605" w:hanging="360"/>
      </w:pPr>
    </w:lvl>
    <w:lvl w:ilvl="2" w:tplc="0409001B" w:tentative="1">
      <w:start w:val="1"/>
      <w:numFmt w:val="lowerRoman"/>
      <w:lvlText w:val="%3."/>
      <w:lvlJc w:val="right"/>
      <w:pPr>
        <w:ind w:left="2325" w:hanging="180"/>
      </w:pPr>
    </w:lvl>
    <w:lvl w:ilvl="3" w:tplc="0409000F" w:tentative="1">
      <w:start w:val="1"/>
      <w:numFmt w:val="decimal"/>
      <w:lvlText w:val="%4."/>
      <w:lvlJc w:val="left"/>
      <w:pPr>
        <w:ind w:left="3045" w:hanging="360"/>
      </w:pPr>
    </w:lvl>
    <w:lvl w:ilvl="4" w:tplc="04090019" w:tentative="1">
      <w:start w:val="1"/>
      <w:numFmt w:val="lowerLetter"/>
      <w:lvlText w:val="%5."/>
      <w:lvlJc w:val="left"/>
      <w:pPr>
        <w:ind w:left="3765" w:hanging="360"/>
      </w:pPr>
    </w:lvl>
    <w:lvl w:ilvl="5" w:tplc="0409001B" w:tentative="1">
      <w:start w:val="1"/>
      <w:numFmt w:val="lowerRoman"/>
      <w:lvlText w:val="%6."/>
      <w:lvlJc w:val="right"/>
      <w:pPr>
        <w:ind w:left="4485" w:hanging="180"/>
      </w:pPr>
    </w:lvl>
    <w:lvl w:ilvl="6" w:tplc="0409000F" w:tentative="1">
      <w:start w:val="1"/>
      <w:numFmt w:val="decimal"/>
      <w:lvlText w:val="%7."/>
      <w:lvlJc w:val="left"/>
      <w:pPr>
        <w:ind w:left="5205" w:hanging="360"/>
      </w:pPr>
    </w:lvl>
    <w:lvl w:ilvl="7" w:tplc="04090019" w:tentative="1">
      <w:start w:val="1"/>
      <w:numFmt w:val="lowerLetter"/>
      <w:lvlText w:val="%8."/>
      <w:lvlJc w:val="left"/>
      <w:pPr>
        <w:ind w:left="5925" w:hanging="360"/>
      </w:pPr>
    </w:lvl>
    <w:lvl w:ilvl="8" w:tplc="0409001B" w:tentative="1">
      <w:start w:val="1"/>
      <w:numFmt w:val="lowerRoman"/>
      <w:lvlText w:val="%9."/>
      <w:lvlJc w:val="right"/>
      <w:pPr>
        <w:ind w:left="6645" w:hanging="180"/>
      </w:pPr>
    </w:lvl>
  </w:abstractNum>
  <w:abstractNum w:abstractNumId="15" w15:restartNumberingAfterBreak="0">
    <w:nsid w:val="5A1F199C"/>
    <w:multiLevelType w:val="hybridMultilevel"/>
    <w:tmpl w:val="3D32F46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6" w15:restartNumberingAfterBreak="0">
    <w:nsid w:val="61467EFA"/>
    <w:multiLevelType w:val="hybridMultilevel"/>
    <w:tmpl w:val="F6363EA0"/>
    <w:lvl w:ilvl="0" w:tplc="0180E9B4">
      <w:start w:val="1"/>
      <w:numFmt w:val="lowerLetter"/>
      <w:lvlText w:val="%1)"/>
      <w:lvlJc w:val="left"/>
      <w:pPr>
        <w:ind w:left="345" w:hanging="360"/>
      </w:pPr>
      <w:rPr>
        <w:rFonts w:hint="default"/>
      </w:rPr>
    </w:lvl>
    <w:lvl w:ilvl="1" w:tplc="30090019" w:tentative="1">
      <w:start w:val="1"/>
      <w:numFmt w:val="lowerLetter"/>
      <w:lvlText w:val="%2."/>
      <w:lvlJc w:val="left"/>
      <w:pPr>
        <w:ind w:left="1065" w:hanging="360"/>
      </w:pPr>
    </w:lvl>
    <w:lvl w:ilvl="2" w:tplc="3009001B" w:tentative="1">
      <w:start w:val="1"/>
      <w:numFmt w:val="lowerRoman"/>
      <w:lvlText w:val="%3."/>
      <w:lvlJc w:val="right"/>
      <w:pPr>
        <w:ind w:left="1785" w:hanging="180"/>
      </w:pPr>
    </w:lvl>
    <w:lvl w:ilvl="3" w:tplc="3009000F" w:tentative="1">
      <w:start w:val="1"/>
      <w:numFmt w:val="decimal"/>
      <w:lvlText w:val="%4."/>
      <w:lvlJc w:val="left"/>
      <w:pPr>
        <w:ind w:left="2505" w:hanging="360"/>
      </w:pPr>
    </w:lvl>
    <w:lvl w:ilvl="4" w:tplc="30090019" w:tentative="1">
      <w:start w:val="1"/>
      <w:numFmt w:val="lowerLetter"/>
      <w:lvlText w:val="%5."/>
      <w:lvlJc w:val="left"/>
      <w:pPr>
        <w:ind w:left="3225" w:hanging="360"/>
      </w:pPr>
    </w:lvl>
    <w:lvl w:ilvl="5" w:tplc="3009001B" w:tentative="1">
      <w:start w:val="1"/>
      <w:numFmt w:val="lowerRoman"/>
      <w:lvlText w:val="%6."/>
      <w:lvlJc w:val="right"/>
      <w:pPr>
        <w:ind w:left="3945" w:hanging="180"/>
      </w:pPr>
    </w:lvl>
    <w:lvl w:ilvl="6" w:tplc="3009000F" w:tentative="1">
      <w:start w:val="1"/>
      <w:numFmt w:val="decimal"/>
      <w:lvlText w:val="%7."/>
      <w:lvlJc w:val="left"/>
      <w:pPr>
        <w:ind w:left="4665" w:hanging="360"/>
      </w:pPr>
    </w:lvl>
    <w:lvl w:ilvl="7" w:tplc="30090019" w:tentative="1">
      <w:start w:val="1"/>
      <w:numFmt w:val="lowerLetter"/>
      <w:lvlText w:val="%8."/>
      <w:lvlJc w:val="left"/>
      <w:pPr>
        <w:ind w:left="5385" w:hanging="360"/>
      </w:pPr>
    </w:lvl>
    <w:lvl w:ilvl="8" w:tplc="3009001B" w:tentative="1">
      <w:start w:val="1"/>
      <w:numFmt w:val="lowerRoman"/>
      <w:lvlText w:val="%9."/>
      <w:lvlJc w:val="right"/>
      <w:pPr>
        <w:ind w:left="6105" w:hanging="180"/>
      </w:pPr>
    </w:lvl>
  </w:abstractNum>
  <w:abstractNum w:abstractNumId="17" w15:restartNumberingAfterBreak="0">
    <w:nsid w:val="6F6C40EA"/>
    <w:multiLevelType w:val="hybridMultilevel"/>
    <w:tmpl w:val="10607A5C"/>
    <w:lvl w:ilvl="0" w:tplc="BEF2DAA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736A672A"/>
    <w:multiLevelType w:val="hybridMultilevel"/>
    <w:tmpl w:val="1A1C1088"/>
    <w:lvl w:ilvl="0" w:tplc="30090017">
      <w:start w:val="1"/>
      <w:numFmt w:val="lowerLetter"/>
      <w:lvlText w:val="%1)"/>
      <w:lvlJc w:val="left"/>
      <w:pPr>
        <w:ind w:left="705" w:hanging="360"/>
      </w:pPr>
    </w:lvl>
    <w:lvl w:ilvl="1" w:tplc="30090019" w:tentative="1">
      <w:start w:val="1"/>
      <w:numFmt w:val="lowerLetter"/>
      <w:lvlText w:val="%2."/>
      <w:lvlJc w:val="left"/>
      <w:pPr>
        <w:ind w:left="1425" w:hanging="360"/>
      </w:pPr>
    </w:lvl>
    <w:lvl w:ilvl="2" w:tplc="3009001B" w:tentative="1">
      <w:start w:val="1"/>
      <w:numFmt w:val="lowerRoman"/>
      <w:lvlText w:val="%3."/>
      <w:lvlJc w:val="right"/>
      <w:pPr>
        <w:ind w:left="2145" w:hanging="180"/>
      </w:pPr>
    </w:lvl>
    <w:lvl w:ilvl="3" w:tplc="3009000F" w:tentative="1">
      <w:start w:val="1"/>
      <w:numFmt w:val="decimal"/>
      <w:lvlText w:val="%4."/>
      <w:lvlJc w:val="left"/>
      <w:pPr>
        <w:ind w:left="2865" w:hanging="360"/>
      </w:pPr>
    </w:lvl>
    <w:lvl w:ilvl="4" w:tplc="30090019" w:tentative="1">
      <w:start w:val="1"/>
      <w:numFmt w:val="lowerLetter"/>
      <w:lvlText w:val="%5."/>
      <w:lvlJc w:val="left"/>
      <w:pPr>
        <w:ind w:left="3585" w:hanging="360"/>
      </w:pPr>
    </w:lvl>
    <w:lvl w:ilvl="5" w:tplc="3009001B" w:tentative="1">
      <w:start w:val="1"/>
      <w:numFmt w:val="lowerRoman"/>
      <w:lvlText w:val="%6."/>
      <w:lvlJc w:val="right"/>
      <w:pPr>
        <w:ind w:left="4305" w:hanging="180"/>
      </w:pPr>
    </w:lvl>
    <w:lvl w:ilvl="6" w:tplc="3009000F" w:tentative="1">
      <w:start w:val="1"/>
      <w:numFmt w:val="decimal"/>
      <w:lvlText w:val="%7."/>
      <w:lvlJc w:val="left"/>
      <w:pPr>
        <w:ind w:left="5025" w:hanging="360"/>
      </w:pPr>
    </w:lvl>
    <w:lvl w:ilvl="7" w:tplc="30090019" w:tentative="1">
      <w:start w:val="1"/>
      <w:numFmt w:val="lowerLetter"/>
      <w:lvlText w:val="%8."/>
      <w:lvlJc w:val="left"/>
      <w:pPr>
        <w:ind w:left="5745" w:hanging="360"/>
      </w:pPr>
    </w:lvl>
    <w:lvl w:ilvl="8" w:tplc="3009001B" w:tentative="1">
      <w:start w:val="1"/>
      <w:numFmt w:val="lowerRoman"/>
      <w:lvlText w:val="%9."/>
      <w:lvlJc w:val="right"/>
      <w:pPr>
        <w:ind w:left="6465" w:hanging="180"/>
      </w:pPr>
    </w:lvl>
  </w:abstractNum>
  <w:abstractNum w:abstractNumId="19" w15:restartNumberingAfterBreak="0">
    <w:nsid w:val="7E51338B"/>
    <w:multiLevelType w:val="hybridMultilevel"/>
    <w:tmpl w:val="E02A2DA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14"/>
  </w:num>
  <w:num w:numId="2">
    <w:abstractNumId w:val="6"/>
  </w:num>
  <w:num w:numId="3">
    <w:abstractNumId w:val="5"/>
  </w:num>
  <w:num w:numId="4">
    <w:abstractNumId w:val="8"/>
  </w:num>
  <w:num w:numId="5">
    <w:abstractNumId w:val="11"/>
  </w:num>
  <w:num w:numId="6">
    <w:abstractNumId w:val="13"/>
  </w:num>
  <w:num w:numId="7">
    <w:abstractNumId w:val="10"/>
  </w:num>
  <w:num w:numId="8">
    <w:abstractNumId w:val="2"/>
  </w:num>
  <w:num w:numId="9">
    <w:abstractNumId w:val="0"/>
  </w:num>
  <w:num w:numId="10">
    <w:abstractNumId w:val="3"/>
  </w:num>
  <w:num w:numId="11">
    <w:abstractNumId w:val="1"/>
  </w:num>
  <w:num w:numId="12">
    <w:abstractNumId w:val="17"/>
  </w:num>
  <w:num w:numId="13">
    <w:abstractNumId w:val="16"/>
  </w:num>
  <w:num w:numId="14">
    <w:abstractNumId w:val="18"/>
  </w:num>
  <w:num w:numId="15">
    <w:abstractNumId w:val="19"/>
  </w:num>
  <w:num w:numId="16">
    <w:abstractNumId w:val="15"/>
  </w:num>
  <w:num w:numId="17">
    <w:abstractNumId w:val="12"/>
  </w:num>
  <w:num w:numId="18">
    <w:abstractNumId w:val="9"/>
  </w:num>
  <w:num w:numId="19">
    <w:abstractNumId w:val="7"/>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430F"/>
    <w:rsid w:val="0001182F"/>
    <w:rsid w:val="00013577"/>
    <w:rsid w:val="000221DF"/>
    <w:rsid w:val="00026C27"/>
    <w:rsid w:val="00027C97"/>
    <w:rsid w:val="00030545"/>
    <w:rsid w:val="00051101"/>
    <w:rsid w:val="000523B6"/>
    <w:rsid w:val="0005713E"/>
    <w:rsid w:val="00064E92"/>
    <w:rsid w:val="00066C65"/>
    <w:rsid w:val="00070DE4"/>
    <w:rsid w:val="000713C0"/>
    <w:rsid w:val="0008577C"/>
    <w:rsid w:val="000858DB"/>
    <w:rsid w:val="0009289B"/>
    <w:rsid w:val="000962D7"/>
    <w:rsid w:val="000A69C0"/>
    <w:rsid w:val="000C590D"/>
    <w:rsid w:val="000D3114"/>
    <w:rsid w:val="000D3A6D"/>
    <w:rsid w:val="000D6901"/>
    <w:rsid w:val="000E0DAD"/>
    <w:rsid w:val="000E1779"/>
    <w:rsid w:val="00103EDE"/>
    <w:rsid w:val="00112220"/>
    <w:rsid w:val="0013482A"/>
    <w:rsid w:val="00136706"/>
    <w:rsid w:val="0015296A"/>
    <w:rsid w:val="0015368C"/>
    <w:rsid w:val="001537C3"/>
    <w:rsid w:val="00153F7D"/>
    <w:rsid w:val="001563CA"/>
    <w:rsid w:val="00160A93"/>
    <w:rsid w:val="0016620E"/>
    <w:rsid w:val="0017054F"/>
    <w:rsid w:val="00170837"/>
    <w:rsid w:val="00172B86"/>
    <w:rsid w:val="00174F23"/>
    <w:rsid w:val="00193678"/>
    <w:rsid w:val="0019561A"/>
    <w:rsid w:val="0019736C"/>
    <w:rsid w:val="001A0013"/>
    <w:rsid w:val="001B42D1"/>
    <w:rsid w:val="001C0C2D"/>
    <w:rsid w:val="001C1F34"/>
    <w:rsid w:val="001C457D"/>
    <w:rsid w:val="001D5193"/>
    <w:rsid w:val="001D68C7"/>
    <w:rsid w:val="001E575F"/>
    <w:rsid w:val="001F273A"/>
    <w:rsid w:val="0020109C"/>
    <w:rsid w:val="002017C3"/>
    <w:rsid w:val="002112CE"/>
    <w:rsid w:val="002348C2"/>
    <w:rsid w:val="00236062"/>
    <w:rsid w:val="00237C96"/>
    <w:rsid w:val="00240B4C"/>
    <w:rsid w:val="002422F8"/>
    <w:rsid w:val="00252418"/>
    <w:rsid w:val="0025570F"/>
    <w:rsid w:val="00267C44"/>
    <w:rsid w:val="00270BB5"/>
    <w:rsid w:val="00276313"/>
    <w:rsid w:val="00281530"/>
    <w:rsid w:val="00293B66"/>
    <w:rsid w:val="002A2257"/>
    <w:rsid w:val="002A4913"/>
    <w:rsid w:val="002A6176"/>
    <w:rsid w:val="002C7EA5"/>
    <w:rsid w:val="002E0EE4"/>
    <w:rsid w:val="002E42E8"/>
    <w:rsid w:val="002E4662"/>
    <w:rsid w:val="002E560F"/>
    <w:rsid w:val="002E7369"/>
    <w:rsid w:val="002F2127"/>
    <w:rsid w:val="00300ED2"/>
    <w:rsid w:val="00304376"/>
    <w:rsid w:val="00316F6A"/>
    <w:rsid w:val="00317511"/>
    <w:rsid w:val="00325A8C"/>
    <w:rsid w:val="00331004"/>
    <w:rsid w:val="00341046"/>
    <w:rsid w:val="0034304A"/>
    <w:rsid w:val="0034421B"/>
    <w:rsid w:val="00350933"/>
    <w:rsid w:val="003523B0"/>
    <w:rsid w:val="003548B3"/>
    <w:rsid w:val="00360277"/>
    <w:rsid w:val="003764CF"/>
    <w:rsid w:val="003812BF"/>
    <w:rsid w:val="00386C62"/>
    <w:rsid w:val="00396647"/>
    <w:rsid w:val="0039723C"/>
    <w:rsid w:val="003C1527"/>
    <w:rsid w:val="003C44C7"/>
    <w:rsid w:val="003D0D0E"/>
    <w:rsid w:val="003E0B5B"/>
    <w:rsid w:val="003E159B"/>
    <w:rsid w:val="003E391A"/>
    <w:rsid w:val="003E3ABF"/>
    <w:rsid w:val="003E5B7E"/>
    <w:rsid w:val="003F1214"/>
    <w:rsid w:val="003F3ABB"/>
    <w:rsid w:val="003F5F1F"/>
    <w:rsid w:val="0040450D"/>
    <w:rsid w:val="004076F8"/>
    <w:rsid w:val="0041471B"/>
    <w:rsid w:val="004153B5"/>
    <w:rsid w:val="00426900"/>
    <w:rsid w:val="0043269E"/>
    <w:rsid w:val="00452EB3"/>
    <w:rsid w:val="0045305E"/>
    <w:rsid w:val="00456E52"/>
    <w:rsid w:val="004820E1"/>
    <w:rsid w:val="00482160"/>
    <w:rsid w:val="00486FC6"/>
    <w:rsid w:val="004A26E5"/>
    <w:rsid w:val="004A3E4F"/>
    <w:rsid w:val="004A6B82"/>
    <w:rsid w:val="004B1F05"/>
    <w:rsid w:val="004B2CC5"/>
    <w:rsid w:val="004C3568"/>
    <w:rsid w:val="004C5D75"/>
    <w:rsid w:val="004D179F"/>
    <w:rsid w:val="004D1BE6"/>
    <w:rsid w:val="004D3A89"/>
    <w:rsid w:val="004D6AC3"/>
    <w:rsid w:val="004E564B"/>
    <w:rsid w:val="004F13B6"/>
    <w:rsid w:val="005014A7"/>
    <w:rsid w:val="00503175"/>
    <w:rsid w:val="00506C33"/>
    <w:rsid w:val="00514045"/>
    <w:rsid w:val="005144E2"/>
    <w:rsid w:val="005154B8"/>
    <w:rsid w:val="005254C8"/>
    <w:rsid w:val="005355DD"/>
    <w:rsid w:val="00536FBF"/>
    <w:rsid w:val="00541F72"/>
    <w:rsid w:val="0058034C"/>
    <w:rsid w:val="00581B30"/>
    <w:rsid w:val="00581C6B"/>
    <w:rsid w:val="00586418"/>
    <w:rsid w:val="00597877"/>
    <w:rsid w:val="005A4750"/>
    <w:rsid w:val="005A6238"/>
    <w:rsid w:val="005C40A4"/>
    <w:rsid w:val="005C4960"/>
    <w:rsid w:val="005C711B"/>
    <w:rsid w:val="005D2837"/>
    <w:rsid w:val="005D2DAE"/>
    <w:rsid w:val="005E0A78"/>
    <w:rsid w:val="005E6E09"/>
    <w:rsid w:val="005E75B3"/>
    <w:rsid w:val="005F1990"/>
    <w:rsid w:val="00602519"/>
    <w:rsid w:val="00602A6E"/>
    <w:rsid w:val="0060350D"/>
    <w:rsid w:val="00604C50"/>
    <w:rsid w:val="00610E27"/>
    <w:rsid w:val="00617153"/>
    <w:rsid w:val="00617EDD"/>
    <w:rsid w:val="00620EEC"/>
    <w:rsid w:val="006261A5"/>
    <w:rsid w:val="00670940"/>
    <w:rsid w:val="0067430F"/>
    <w:rsid w:val="00677762"/>
    <w:rsid w:val="00691377"/>
    <w:rsid w:val="006964AA"/>
    <w:rsid w:val="006A7048"/>
    <w:rsid w:val="006B04CB"/>
    <w:rsid w:val="006B06C4"/>
    <w:rsid w:val="006B190F"/>
    <w:rsid w:val="006B2A8E"/>
    <w:rsid w:val="006B6AEE"/>
    <w:rsid w:val="006C6587"/>
    <w:rsid w:val="006C79DB"/>
    <w:rsid w:val="006E12C7"/>
    <w:rsid w:val="006E2C09"/>
    <w:rsid w:val="006F2038"/>
    <w:rsid w:val="006F24FD"/>
    <w:rsid w:val="006F2C74"/>
    <w:rsid w:val="006F4F1A"/>
    <w:rsid w:val="006F543F"/>
    <w:rsid w:val="00714440"/>
    <w:rsid w:val="007156A5"/>
    <w:rsid w:val="00725183"/>
    <w:rsid w:val="00726852"/>
    <w:rsid w:val="00750734"/>
    <w:rsid w:val="007513C0"/>
    <w:rsid w:val="007566F2"/>
    <w:rsid w:val="00767B54"/>
    <w:rsid w:val="0078539B"/>
    <w:rsid w:val="0078562E"/>
    <w:rsid w:val="0078755A"/>
    <w:rsid w:val="00797E50"/>
    <w:rsid w:val="007A5673"/>
    <w:rsid w:val="007B2BE9"/>
    <w:rsid w:val="007C3455"/>
    <w:rsid w:val="007C61AE"/>
    <w:rsid w:val="007D1AD6"/>
    <w:rsid w:val="007D4B4A"/>
    <w:rsid w:val="007D5C56"/>
    <w:rsid w:val="007E5022"/>
    <w:rsid w:val="007E6254"/>
    <w:rsid w:val="007E6F06"/>
    <w:rsid w:val="007F1DC2"/>
    <w:rsid w:val="007F3805"/>
    <w:rsid w:val="007F6E4B"/>
    <w:rsid w:val="007F797B"/>
    <w:rsid w:val="00801654"/>
    <w:rsid w:val="008061B9"/>
    <w:rsid w:val="00812109"/>
    <w:rsid w:val="00813AE3"/>
    <w:rsid w:val="00825BFB"/>
    <w:rsid w:val="00825F94"/>
    <w:rsid w:val="0083381A"/>
    <w:rsid w:val="00833846"/>
    <w:rsid w:val="0083675F"/>
    <w:rsid w:val="00837177"/>
    <w:rsid w:val="00840E11"/>
    <w:rsid w:val="0084125F"/>
    <w:rsid w:val="008418CD"/>
    <w:rsid w:val="00852437"/>
    <w:rsid w:val="00861D1E"/>
    <w:rsid w:val="00864019"/>
    <w:rsid w:val="00864A39"/>
    <w:rsid w:val="00871FFE"/>
    <w:rsid w:val="00876F63"/>
    <w:rsid w:val="00880464"/>
    <w:rsid w:val="00883756"/>
    <w:rsid w:val="0088493D"/>
    <w:rsid w:val="00890E5B"/>
    <w:rsid w:val="00894020"/>
    <w:rsid w:val="0089542F"/>
    <w:rsid w:val="008967C0"/>
    <w:rsid w:val="008A5903"/>
    <w:rsid w:val="008B31F1"/>
    <w:rsid w:val="008B7D92"/>
    <w:rsid w:val="008C0FED"/>
    <w:rsid w:val="008C167A"/>
    <w:rsid w:val="008C54FD"/>
    <w:rsid w:val="008F765D"/>
    <w:rsid w:val="0090007D"/>
    <w:rsid w:val="009064A0"/>
    <w:rsid w:val="0091219B"/>
    <w:rsid w:val="009215B4"/>
    <w:rsid w:val="00930C5D"/>
    <w:rsid w:val="0095023B"/>
    <w:rsid w:val="00973654"/>
    <w:rsid w:val="0098524A"/>
    <w:rsid w:val="00992FF4"/>
    <w:rsid w:val="00995F5A"/>
    <w:rsid w:val="009A1F30"/>
    <w:rsid w:val="009A299A"/>
    <w:rsid w:val="009A2D58"/>
    <w:rsid w:val="009A533E"/>
    <w:rsid w:val="009E267F"/>
    <w:rsid w:val="009E6CD8"/>
    <w:rsid w:val="009F0488"/>
    <w:rsid w:val="009F1C20"/>
    <w:rsid w:val="009F5783"/>
    <w:rsid w:val="00A01E1B"/>
    <w:rsid w:val="00A020F0"/>
    <w:rsid w:val="00A05AA8"/>
    <w:rsid w:val="00A167F9"/>
    <w:rsid w:val="00A22108"/>
    <w:rsid w:val="00A25415"/>
    <w:rsid w:val="00A329B5"/>
    <w:rsid w:val="00A65029"/>
    <w:rsid w:val="00A976F1"/>
    <w:rsid w:val="00AA1AAA"/>
    <w:rsid w:val="00AA5B09"/>
    <w:rsid w:val="00AD22E3"/>
    <w:rsid w:val="00AD78CE"/>
    <w:rsid w:val="00AF3C20"/>
    <w:rsid w:val="00B04148"/>
    <w:rsid w:val="00B065B1"/>
    <w:rsid w:val="00B16C81"/>
    <w:rsid w:val="00B210E8"/>
    <w:rsid w:val="00B22605"/>
    <w:rsid w:val="00B240C5"/>
    <w:rsid w:val="00B25CB9"/>
    <w:rsid w:val="00B26DA8"/>
    <w:rsid w:val="00B271F7"/>
    <w:rsid w:val="00B3036B"/>
    <w:rsid w:val="00B4000A"/>
    <w:rsid w:val="00B418B3"/>
    <w:rsid w:val="00B4195D"/>
    <w:rsid w:val="00B43943"/>
    <w:rsid w:val="00B51027"/>
    <w:rsid w:val="00B51742"/>
    <w:rsid w:val="00B53081"/>
    <w:rsid w:val="00B54E10"/>
    <w:rsid w:val="00B61D79"/>
    <w:rsid w:val="00B708FC"/>
    <w:rsid w:val="00B73E7F"/>
    <w:rsid w:val="00B86F26"/>
    <w:rsid w:val="00B95782"/>
    <w:rsid w:val="00B95C8F"/>
    <w:rsid w:val="00B96659"/>
    <w:rsid w:val="00BA084E"/>
    <w:rsid w:val="00BA1CE9"/>
    <w:rsid w:val="00BA398D"/>
    <w:rsid w:val="00BA4BA9"/>
    <w:rsid w:val="00BA792E"/>
    <w:rsid w:val="00BB32FF"/>
    <w:rsid w:val="00BB6007"/>
    <w:rsid w:val="00BC2669"/>
    <w:rsid w:val="00BC2E73"/>
    <w:rsid w:val="00BE1984"/>
    <w:rsid w:val="00BE5014"/>
    <w:rsid w:val="00BE5086"/>
    <w:rsid w:val="00BF047C"/>
    <w:rsid w:val="00BF42B4"/>
    <w:rsid w:val="00C033BD"/>
    <w:rsid w:val="00C1046F"/>
    <w:rsid w:val="00C10C61"/>
    <w:rsid w:val="00C12471"/>
    <w:rsid w:val="00C16227"/>
    <w:rsid w:val="00C265E0"/>
    <w:rsid w:val="00C37D87"/>
    <w:rsid w:val="00C4413A"/>
    <w:rsid w:val="00C52A61"/>
    <w:rsid w:val="00C61F0D"/>
    <w:rsid w:val="00C63515"/>
    <w:rsid w:val="00C67FE3"/>
    <w:rsid w:val="00C727D4"/>
    <w:rsid w:val="00C81B2E"/>
    <w:rsid w:val="00C963E5"/>
    <w:rsid w:val="00CB08ED"/>
    <w:rsid w:val="00CB1A40"/>
    <w:rsid w:val="00CC7784"/>
    <w:rsid w:val="00CD0ADB"/>
    <w:rsid w:val="00CD56CD"/>
    <w:rsid w:val="00CD7161"/>
    <w:rsid w:val="00CE0740"/>
    <w:rsid w:val="00CE6811"/>
    <w:rsid w:val="00CE6F80"/>
    <w:rsid w:val="00CF029A"/>
    <w:rsid w:val="00CF1B67"/>
    <w:rsid w:val="00D03151"/>
    <w:rsid w:val="00D03558"/>
    <w:rsid w:val="00D059F4"/>
    <w:rsid w:val="00D05A90"/>
    <w:rsid w:val="00D06D34"/>
    <w:rsid w:val="00D10CB8"/>
    <w:rsid w:val="00D207B2"/>
    <w:rsid w:val="00D2661F"/>
    <w:rsid w:val="00D2778F"/>
    <w:rsid w:val="00D31432"/>
    <w:rsid w:val="00D35253"/>
    <w:rsid w:val="00D50748"/>
    <w:rsid w:val="00D56A2A"/>
    <w:rsid w:val="00D6171A"/>
    <w:rsid w:val="00D733F8"/>
    <w:rsid w:val="00D74DA3"/>
    <w:rsid w:val="00D849C9"/>
    <w:rsid w:val="00D84B8F"/>
    <w:rsid w:val="00D8516E"/>
    <w:rsid w:val="00D92FBB"/>
    <w:rsid w:val="00DA0E6C"/>
    <w:rsid w:val="00DA6096"/>
    <w:rsid w:val="00DB14E8"/>
    <w:rsid w:val="00DB402E"/>
    <w:rsid w:val="00DB5FE6"/>
    <w:rsid w:val="00DB6539"/>
    <w:rsid w:val="00DC5780"/>
    <w:rsid w:val="00DF0F05"/>
    <w:rsid w:val="00DF3E0A"/>
    <w:rsid w:val="00E0521D"/>
    <w:rsid w:val="00E111C9"/>
    <w:rsid w:val="00E2058B"/>
    <w:rsid w:val="00E226E5"/>
    <w:rsid w:val="00E4393F"/>
    <w:rsid w:val="00E469C8"/>
    <w:rsid w:val="00E632D9"/>
    <w:rsid w:val="00E67259"/>
    <w:rsid w:val="00E715EB"/>
    <w:rsid w:val="00E762D2"/>
    <w:rsid w:val="00E80504"/>
    <w:rsid w:val="00E83D29"/>
    <w:rsid w:val="00E95A68"/>
    <w:rsid w:val="00E96028"/>
    <w:rsid w:val="00EA44BC"/>
    <w:rsid w:val="00EA5C08"/>
    <w:rsid w:val="00EB031B"/>
    <w:rsid w:val="00EC01EB"/>
    <w:rsid w:val="00EC62F3"/>
    <w:rsid w:val="00ED01E2"/>
    <w:rsid w:val="00ED3F7F"/>
    <w:rsid w:val="00EE2E6E"/>
    <w:rsid w:val="00EE36F3"/>
    <w:rsid w:val="00EE47E2"/>
    <w:rsid w:val="00EF1A17"/>
    <w:rsid w:val="00EF1BBA"/>
    <w:rsid w:val="00EF2997"/>
    <w:rsid w:val="00EF3882"/>
    <w:rsid w:val="00EF5BA2"/>
    <w:rsid w:val="00F00FD1"/>
    <w:rsid w:val="00F06234"/>
    <w:rsid w:val="00F06AD0"/>
    <w:rsid w:val="00F26CE3"/>
    <w:rsid w:val="00F26FBB"/>
    <w:rsid w:val="00F368CF"/>
    <w:rsid w:val="00F47E8B"/>
    <w:rsid w:val="00F532B9"/>
    <w:rsid w:val="00F533C2"/>
    <w:rsid w:val="00F538FC"/>
    <w:rsid w:val="00F55CA0"/>
    <w:rsid w:val="00F57595"/>
    <w:rsid w:val="00F61DC8"/>
    <w:rsid w:val="00F62667"/>
    <w:rsid w:val="00F6279D"/>
    <w:rsid w:val="00F629F9"/>
    <w:rsid w:val="00F7079E"/>
    <w:rsid w:val="00F72136"/>
    <w:rsid w:val="00F83555"/>
    <w:rsid w:val="00F90C22"/>
    <w:rsid w:val="00F943DD"/>
    <w:rsid w:val="00FA78D6"/>
    <w:rsid w:val="00FB0B86"/>
    <w:rsid w:val="00FB6AC2"/>
    <w:rsid w:val="00FB6B3D"/>
    <w:rsid w:val="00FB7A8C"/>
    <w:rsid w:val="00FC22B1"/>
    <w:rsid w:val="00FD112B"/>
    <w:rsid w:val="00FD2117"/>
    <w:rsid w:val="00FE1C40"/>
    <w:rsid w:val="00FE1EDF"/>
    <w:rsid w:val="00FE7062"/>
    <w:rsid w:val="00FF0A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A42F04"/>
  <w15:docId w15:val="{BCBD86D3-D848-4131-8BAF-89ACC9BB8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notedescription">
    <w:name w:val="footnote description"/>
    <w:next w:val="Normal"/>
    <w:link w:val="footnotedescriptionChar"/>
    <w:hidden/>
    <w:rsid w:val="00DA6096"/>
    <w:pPr>
      <w:spacing w:after="0"/>
    </w:pPr>
    <w:rPr>
      <w:rFonts w:ascii="Calibri" w:eastAsia="Calibri" w:hAnsi="Calibri" w:cs="Calibri"/>
      <w:color w:val="000000"/>
      <w:sz w:val="20"/>
    </w:rPr>
  </w:style>
  <w:style w:type="character" w:customStyle="1" w:styleId="footnotedescriptionChar">
    <w:name w:val="footnote description Char"/>
    <w:link w:val="footnotedescription"/>
    <w:rsid w:val="00DA6096"/>
    <w:rPr>
      <w:rFonts w:ascii="Calibri" w:eastAsia="Calibri" w:hAnsi="Calibri" w:cs="Calibri"/>
      <w:color w:val="000000"/>
      <w:sz w:val="20"/>
    </w:rPr>
  </w:style>
  <w:style w:type="character" w:customStyle="1" w:styleId="footnotemark">
    <w:name w:val="footnote mark"/>
    <w:hidden/>
    <w:rsid w:val="00DA6096"/>
    <w:rPr>
      <w:rFonts w:ascii="Calibri" w:eastAsia="Calibri" w:hAnsi="Calibri" w:cs="Calibri"/>
      <w:color w:val="000000"/>
      <w:sz w:val="20"/>
      <w:vertAlign w:val="superscript"/>
    </w:rPr>
  </w:style>
  <w:style w:type="paragraph" w:styleId="ListParagraph">
    <w:name w:val="List Paragraph"/>
    <w:basedOn w:val="Normal"/>
    <w:uiPriority w:val="34"/>
    <w:qFormat/>
    <w:rsid w:val="00304376"/>
    <w:pPr>
      <w:ind w:left="720"/>
      <w:contextualSpacing/>
    </w:pPr>
  </w:style>
  <w:style w:type="paragraph" w:styleId="Header">
    <w:name w:val="header"/>
    <w:basedOn w:val="Normal"/>
    <w:link w:val="HeaderChar"/>
    <w:uiPriority w:val="99"/>
    <w:unhideWhenUsed/>
    <w:rsid w:val="00360277"/>
    <w:pPr>
      <w:tabs>
        <w:tab w:val="center" w:pos="4513"/>
        <w:tab w:val="right" w:pos="9026"/>
      </w:tabs>
      <w:spacing w:after="0" w:line="240" w:lineRule="auto"/>
    </w:pPr>
  </w:style>
  <w:style w:type="character" w:customStyle="1" w:styleId="HeaderChar">
    <w:name w:val="Header Char"/>
    <w:basedOn w:val="DefaultParagraphFont"/>
    <w:link w:val="Header"/>
    <w:uiPriority w:val="99"/>
    <w:rsid w:val="00360277"/>
  </w:style>
  <w:style w:type="paragraph" w:styleId="Footer">
    <w:name w:val="footer"/>
    <w:basedOn w:val="Normal"/>
    <w:link w:val="FooterChar"/>
    <w:uiPriority w:val="99"/>
    <w:unhideWhenUsed/>
    <w:rsid w:val="00360277"/>
    <w:pPr>
      <w:tabs>
        <w:tab w:val="center" w:pos="4513"/>
        <w:tab w:val="right" w:pos="9026"/>
      </w:tabs>
      <w:spacing w:after="0" w:line="240" w:lineRule="auto"/>
    </w:pPr>
  </w:style>
  <w:style w:type="character" w:customStyle="1" w:styleId="FooterChar">
    <w:name w:val="Footer Char"/>
    <w:basedOn w:val="DefaultParagraphFont"/>
    <w:link w:val="Footer"/>
    <w:uiPriority w:val="99"/>
    <w:rsid w:val="00360277"/>
  </w:style>
  <w:style w:type="paragraph" w:styleId="BalloonText">
    <w:name w:val="Balloon Text"/>
    <w:basedOn w:val="Normal"/>
    <w:link w:val="BalloonTextChar"/>
    <w:uiPriority w:val="99"/>
    <w:semiHidden/>
    <w:unhideWhenUsed/>
    <w:rsid w:val="000523B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23B6"/>
    <w:rPr>
      <w:rFonts w:ascii="Segoe UI" w:hAnsi="Segoe UI" w:cs="Segoe UI"/>
      <w:sz w:val="18"/>
      <w:szCs w:val="18"/>
    </w:rPr>
  </w:style>
  <w:style w:type="paragraph" w:customStyle="1" w:styleId="Default">
    <w:name w:val="Default"/>
    <w:rsid w:val="009E267F"/>
    <w:pPr>
      <w:autoSpaceDE w:val="0"/>
      <w:autoSpaceDN w:val="0"/>
      <w:adjustRightInd w:val="0"/>
      <w:spacing w:after="0" w:line="240" w:lineRule="auto"/>
    </w:pPr>
    <w:rPr>
      <w:rFonts w:ascii="Calibri" w:hAnsi="Calibri" w:cs="Calibri"/>
      <w:color w:val="000000"/>
      <w:sz w:val="24"/>
      <w:szCs w:val="24"/>
      <w:lang w:val="en-GB"/>
    </w:rPr>
  </w:style>
  <w:style w:type="paragraph" w:styleId="FootnoteText">
    <w:name w:val="footnote text"/>
    <w:basedOn w:val="Normal"/>
    <w:link w:val="FootnoteTextChar"/>
    <w:uiPriority w:val="99"/>
    <w:semiHidden/>
    <w:unhideWhenUsed/>
    <w:rsid w:val="006C6587"/>
    <w:pPr>
      <w:spacing w:after="0" w:line="240" w:lineRule="auto"/>
    </w:pPr>
    <w:rPr>
      <w:sz w:val="20"/>
      <w:szCs w:val="20"/>
      <w:lang w:val="en-ZW"/>
    </w:rPr>
  </w:style>
  <w:style w:type="character" w:customStyle="1" w:styleId="FootnoteTextChar">
    <w:name w:val="Footnote Text Char"/>
    <w:basedOn w:val="DefaultParagraphFont"/>
    <w:link w:val="FootnoteText"/>
    <w:uiPriority w:val="99"/>
    <w:semiHidden/>
    <w:rsid w:val="006C6587"/>
    <w:rPr>
      <w:sz w:val="20"/>
      <w:szCs w:val="20"/>
      <w:lang w:val="en-ZW"/>
    </w:rPr>
  </w:style>
  <w:style w:type="character" w:styleId="FootnoteReference">
    <w:name w:val="footnote reference"/>
    <w:basedOn w:val="DefaultParagraphFont"/>
    <w:uiPriority w:val="99"/>
    <w:semiHidden/>
    <w:unhideWhenUsed/>
    <w:rsid w:val="006C658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6270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3359</Words>
  <Characters>19150</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22465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usr</cp:lastModifiedBy>
  <cp:revision>2</cp:revision>
  <cp:lastPrinted>2021-10-21T06:00:00Z</cp:lastPrinted>
  <dcterms:created xsi:type="dcterms:W3CDTF">2024-07-16T08:26:00Z</dcterms:created>
  <dcterms:modified xsi:type="dcterms:W3CDTF">2024-07-16T08:26:00Z</dcterms:modified>
</cp:coreProperties>
</file>