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52" w:rsidRPr="00047C13" w:rsidRDefault="00D51B52" w:rsidP="00D51B52">
      <w:pPr>
        <w:spacing w:line="360" w:lineRule="auto"/>
        <w:jc w:val="both"/>
        <w:rPr>
          <w:b/>
        </w:rPr>
      </w:pPr>
      <w:proofErr w:type="gramStart"/>
      <w:r w:rsidRPr="00047C13">
        <w:rPr>
          <w:b/>
        </w:rPr>
        <w:t>IN T</w:t>
      </w:r>
      <w:r>
        <w:rPr>
          <w:b/>
        </w:rPr>
        <w:t>HE</w:t>
      </w:r>
      <w:r w:rsidR="00B02CC6">
        <w:rPr>
          <w:b/>
        </w:rPr>
        <w:t xml:space="preserve"> LABOUR COURT OF ZIMBABWE      </w:t>
      </w:r>
      <w:r>
        <w:rPr>
          <w:b/>
        </w:rPr>
        <w:t>JUDGMENT NO.</w:t>
      </w:r>
      <w:proofErr w:type="gramEnd"/>
      <w:r>
        <w:rPr>
          <w:b/>
        </w:rPr>
        <w:t xml:space="preserve"> LC/H/</w:t>
      </w:r>
      <w:r w:rsidR="00B02CC6">
        <w:rPr>
          <w:b/>
        </w:rPr>
        <w:t>273</w:t>
      </w:r>
      <w:r>
        <w:rPr>
          <w:b/>
        </w:rPr>
        <w:t>/2016</w:t>
      </w:r>
    </w:p>
    <w:p w:rsidR="00D51B52" w:rsidRDefault="00D51B52" w:rsidP="00D51B52">
      <w:pPr>
        <w:spacing w:line="360" w:lineRule="auto"/>
        <w:jc w:val="both"/>
        <w:rPr>
          <w:b/>
        </w:rPr>
      </w:pPr>
      <w:r w:rsidRPr="00047C13">
        <w:rPr>
          <w:b/>
        </w:rPr>
        <w:t xml:space="preserve">HARARE, </w:t>
      </w:r>
      <w:r>
        <w:rPr>
          <w:b/>
        </w:rPr>
        <w:t xml:space="preserve">15 MARCH 2016 </w:t>
      </w:r>
      <w:r>
        <w:rPr>
          <w:b/>
        </w:rPr>
        <w:tab/>
      </w:r>
      <w:r>
        <w:rPr>
          <w:b/>
        </w:rPr>
        <w:tab/>
      </w:r>
      <w:r>
        <w:rPr>
          <w:b/>
        </w:rPr>
        <w:tab/>
        <w:t xml:space="preserve">     </w:t>
      </w:r>
      <w:r w:rsidR="00B02CC6">
        <w:rPr>
          <w:b/>
        </w:rPr>
        <w:t xml:space="preserve">  </w:t>
      </w:r>
      <w:r w:rsidRPr="00047C13">
        <w:rPr>
          <w:b/>
        </w:rPr>
        <w:t>CASE NO. LC/H/</w:t>
      </w:r>
      <w:r>
        <w:rPr>
          <w:b/>
        </w:rPr>
        <w:t>APP/998/15</w:t>
      </w:r>
    </w:p>
    <w:p w:rsidR="00D51B52" w:rsidRDefault="00D51B52" w:rsidP="00D51B52">
      <w:pPr>
        <w:spacing w:line="360" w:lineRule="auto"/>
        <w:jc w:val="both"/>
        <w:rPr>
          <w:b/>
        </w:rPr>
      </w:pPr>
      <w:r>
        <w:rPr>
          <w:b/>
        </w:rPr>
        <w:t xml:space="preserve">AND </w:t>
      </w:r>
      <w:r w:rsidR="00EF684B">
        <w:rPr>
          <w:b/>
        </w:rPr>
        <w:t>6</w:t>
      </w:r>
      <w:bookmarkStart w:id="0" w:name="_GoBack"/>
      <w:bookmarkEnd w:id="0"/>
      <w:r w:rsidR="00B02CC6">
        <w:rPr>
          <w:b/>
        </w:rPr>
        <w:t xml:space="preserve"> MAY</w:t>
      </w:r>
      <w:r>
        <w:rPr>
          <w:b/>
        </w:rPr>
        <w:t xml:space="preserve"> 2016</w:t>
      </w:r>
    </w:p>
    <w:p w:rsidR="00D51B52" w:rsidRPr="00047C13" w:rsidRDefault="00D51B52" w:rsidP="00D51B52">
      <w:pPr>
        <w:spacing w:line="360" w:lineRule="auto"/>
        <w:jc w:val="both"/>
      </w:pPr>
      <w:r w:rsidRPr="00047C13">
        <w:t>In the matter between</w:t>
      </w:r>
      <w:r>
        <w:t>:-</w:t>
      </w:r>
    </w:p>
    <w:p w:rsidR="00D51B52" w:rsidRPr="00047C13" w:rsidRDefault="00D51B52" w:rsidP="00D51B52">
      <w:pPr>
        <w:spacing w:line="360" w:lineRule="auto"/>
        <w:jc w:val="both"/>
      </w:pPr>
    </w:p>
    <w:p w:rsidR="00D51B52" w:rsidRPr="00047C13" w:rsidRDefault="006E0C5A" w:rsidP="00D51B52">
      <w:pPr>
        <w:spacing w:line="360" w:lineRule="auto"/>
        <w:jc w:val="both"/>
        <w:rPr>
          <w:b/>
        </w:rPr>
      </w:pPr>
      <w:r>
        <w:rPr>
          <w:b/>
        </w:rPr>
        <w:t>ZIMBABWE PLATINUM MINES (PRIVATE</w:t>
      </w:r>
      <w:r w:rsidR="003B4B96">
        <w:rPr>
          <w:b/>
        </w:rPr>
        <w:t>) L</w:t>
      </w:r>
      <w:r>
        <w:rPr>
          <w:b/>
        </w:rPr>
        <w:t>IMITED</w:t>
      </w:r>
      <w:r>
        <w:rPr>
          <w:b/>
        </w:rPr>
        <w:tab/>
      </w:r>
      <w:r w:rsidR="00D51B52">
        <w:rPr>
          <w:b/>
        </w:rPr>
        <w:tab/>
        <w:t>Applicant</w:t>
      </w:r>
    </w:p>
    <w:p w:rsidR="00D51B52" w:rsidRPr="00047C13" w:rsidRDefault="00D51B52" w:rsidP="00D51B52">
      <w:pPr>
        <w:tabs>
          <w:tab w:val="left" w:pos="1995"/>
        </w:tabs>
        <w:spacing w:line="360" w:lineRule="auto"/>
        <w:jc w:val="both"/>
        <w:outlineLvl w:val="0"/>
      </w:pPr>
      <w:r w:rsidRPr="00047C13">
        <w:t>And</w:t>
      </w:r>
      <w:r w:rsidRPr="00047C13">
        <w:tab/>
      </w:r>
    </w:p>
    <w:p w:rsidR="00D51B52" w:rsidRDefault="003B4B96" w:rsidP="00D51B52">
      <w:pPr>
        <w:spacing w:line="360" w:lineRule="auto"/>
        <w:jc w:val="both"/>
        <w:rPr>
          <w:b/>
        </w:rPr>
      </w:pPr>
      <w:r>
        <w:rPr>
          <w:b/>
        </w:rPr>
        <w:t>FORGET CHIRESHE</w:t>
      </w:r>
      <w:r w:rsidR="006E0C5A">
        <w:rPr>
          <w:b/>
        </w:rPr>
        <w:tab/>
      </w:r>
      <w:r w:rsidR="006E0C5A">
        <w:rPr>
          <w:b/>
        </w:rPr>
        <w:tab/>
      </w:r>
      <w:r w:rsidR="006E0C5A">
        <w:rPr>
          <w:b/>
        </w:rPr>
        <w:tab/>
      </w:r>
      <w:r w:rsidR="006E0C5A">
        <w:rPr>
          <w:b/>
        </w:rPr>
        <w:tab/>
      </w:r>
      <w:r w:rsidR="006E0C5A">
        <w:rPr>
          <w:b/>
        </w:rPr>
        <w:tab/>
      </w:r>
      <w:r w:rsidR="006E0C5A">
        <w:rPr>
          <w:b/>
        </w:rPr>
        <w:tab/>
      </w:r>
      <w:r w:rsidR="00D51B52">
        <w:rPr>
          <w:b/>
        </w:rPr>
        <w:tab/>
        <w:t>Respondent</w:t>
      </w:r>
    </w:p>
    <w:p w:rsidR="00D51B52" w:rsidRPr="00047C13" w:rsidRDefault="00D51B52" w:rsidP="00D51B52">
      <w:pPr>
        <w:spacing w:line="360" w:lineRule="auto"/>
        <w:jc w:val="both"/>
        <w:rPr>
          <w:b/>
        </w:rPr>
      </w:pPr>
    </w:p>
    <w:p w:rsidR="00D51B52" w:rsidRDefault="00D51B52" w:rsidP="00D51B52">
      <w:pPr>
        <w:spacing w:line="360" w:lineRule="auto"/>
        <w:jc w:val="both"/>
        <w:outlineLvl w:val="0"/>
      </w:pPr>
      <w:r>
        <w:t xml:space="preserve">Before Honourable L.M. Murasi, Judge                             </w:t>
      </w:r>
    </w:p>
    <w:p w:rsidR="00D51B52" w:rsidRPr="00047C13" w:rsidRDefault="00D51B52" w:rsidP="00D51B52">
      <w:pPr>
        <w:spacing w:line="360" w:lineRule="auto"/>
        <w:jc w:val="both"/>
      </w:pPr>
      <w:r w:rsidRPr="00047C13">
        <w:tab/>
      </w:r>
      <w:r w:rsidRPr="00047C13">
        <w:tab/>
      </w:r>
      <w:r w:rsidRPr="00047C13">
        <w:tab/>
      </w:r>
    </w:p>
    <w:p w:rsidR="00D51B52" w:rsidRPr="00047C13" w:rsidRDefault="00D51B52" w:rsidP="00D51B52">
      <w:pPr>
        <w:spacing w:line="360" w:lineRule="auto"/>
        <w:jc w:val="both"/>
        <w:rPr>
          <w:b/>
        </w:rPr>
      </w:pPr>
      <w:r>
        <w:rPr>
          <w:b/>
        </w:rPr>
        <w:t xml:space="preserve">For </w:t>
      </w:r>
      <w:r w:rsidRPr="00047C13">
        <w:rPr>
          <w:b/>
        </w:rPr>
        <w:t>App</w:t>
      </w:r>
      <w:r>
        <w:rPr>
          <w:b/>
        </w:rPr>
        <w:t>licant</w:t>
      </w:r>
      <w:r w:rsidR="00E104C4">
        <w:rPr>
          <w:b/>
        </w:rPr>
        <w:tab/>
        <w:t>Mr Jakuosi (Legal Practitioner) with Mr A.K. Maguchu</w:t>
      </w:r>
    </w:p>
    <w:p w:rsidR="00D51B52" w:rsidRDefault="006E0C5A" w:rsidP="00D51B52">
      <w:pPr>
        <w:spacing w:line="360" w:lineRule="auto"/>
        <w:jc w:val="both"/>
        <w:rPr>
          <w:b/>
        </w:rPr>
      </w:pPr>
      <w:r>
        <w:rPr>
          <w:b/>
        </w:rPr>
        <w:t>For Respondent</w:t>
      </w:r>
      <w:r>
        <w:rPr>
          <w:b/>
        </w:rPr>
        <w:tab/>
      </w:r>
      <w:r w:rsidR="000A4D70">
        <w:rPr>
          <w:b/>
        </w:rPr>
        <w:t>Mr K. Gama</w:t>
      </w:r>
      <w:r w:rsidR="00D51B52">
        <w:rPr>
          <w:b/>
        </w:rPr>
        <w:t xml:space="preserve"> (Legal Practitioner)</w:t>
      </w:r>
    </w:p>
    <w:p w:rsidR="00D51B52" w:rsidRPr="00047C13" w:rsidRDefault="00D51B52" w:rsidP="00D51B52">
      <w:pPr>
        <w:spacing w:line="360" w:lineRule="auto"/>
        <w:jc w:val="both"/>
        <w:rPr>
          <w:b/>
        </w:rPr>
      </w:pPr>
    </w:p>
    <w:p w:rsidR="00D51B52" w:rsidRDefault="00D51B52" w:rsidP="00D51B52">
      <w:pPr>
        <w:spacing w:line="360" w:lineRule="auto"/>
        <w:jc w:val="both"/>
        <w:outlineLvl w:val="0"/>
        <w:rPr>
          <w:b/>
        </w:rPr>
      </w:pPr>
      <w:r>
        <w:rPr>
          <w:b/>
        </w:rPr>
        <w:t>MURASI J:</w:t>
      </w:r>
    </w:p>
    <w:p w:rsidR="00162EA0" w:rsidRDefault="00162EA0" w:rsidP="009331AA">
      <w:pPr>
        <w:spacing w:line="360" w:lineRule="auto"/>
        <w:jc w:val="both"/>
      </w:pPr>
    </w:p>
    <w:p w:rsidR="009331AA" w:rsidRDefault="00594C78" w:rsidP="00124EAB">
      <w:pPr>
        <w:spacing w:line="360" w:lineRule="auto"/>
        <w:ind w:firstLine="720"/>
        <w:jc w:val="both"/>
      </w:pPr>
      <w:r>
        <w:t>On 22 July 2015 this Court granted an order in which it allowed respondent’s appeal in accordance with Rule 22</w:t>
      </w:r>
      <w:r w:rsidR="003B4B96">
        <w:t xml:space="preserve"> of the Labour Court Rules 2006,</w:t>
      </w:r>
      <w:r>
        <w:t xml:space="preserve"> (</w:t>
      </w:r>
      <w:r w:rsidR="00A04D51">
        <w:t>Statutory</w:t>
      </w:r>
      <w:r w:rsidR="003832C6">
        <w:t xml:space="preserve"> Instrument 59 of 2006). Applicant has</w:t>
      </w:r>
      <w:r w:rsidR="00A04D51">
        <w:t xml:space="preserve"> applied for rescission of that judgment.  Respondent has raised a point </w:t>
      </w:r>
      <w:r w:rsidR="00A04D51" w:rsidRPr="00652179">
        <w:rPr>
          <w:i/>
        </w:rPr>
        <w:t>in limine</w:t>
      </w:r>
      <w:r w:rsidR="00A04D51">
        <w:t xml:space="preserve"> stating that appellant is disabled from making </w:t>
      </w:r>
      <w:r w:rsidR="00652179">
        <w:t xml:space="preserve">such application due to the nature of the judgment granted.  </w:t>
      </w:r>
      <w:r w:rsidR="00652179" w:rsidRPr="00124EAB">
        <w:rPr>
          <w:i/>
        </w:rPr>
        <w:t>Mr Gama</w:t>
      </w:r>
      <w:r w:rsidR="00652179">
        <w:t xml:space="preserve"> submitted that when the parties appea</w:t>
      </w:r>
      <w:r w:rsidR="00366166">
        <w:t xml:space="preserve">red before the Court, applicant’s Counsel applied to the Court for condonation for late filing of the Response and the Court did not grant the application and proceeded to deal with the matter.  It was argued that the Court dealt with the issue of the explanation for failure to file the Response and rejected the explanation tendered.  This </w:t>
      </w:r>
      <w:r w:rsidR="00EE159E">
        <w:t xml:space="preserve">meant that the appellant was barred and the Court was therefore </w:t>
      </w:r>
      <w:r w:rsidR="00EE159E" w:rsidRPr="00EE159E">
        <w:rPr>
          <w:i/>
        </w:rPr>
        <w:t>functus officio</w:t>
      </w:r>
      <w:r w:rsidR="00EE159E">
        <w:t xml:space="preserve"> and could not hear the application for rescission of judgment.  </w:t>
      </w:r>
      <w:r w:rsidR="00EE159E" w:rsidRPr="00EE159E">
        <w:rPr>
          <w:i/>
        </w:rPr>
        <w:t>Mr Gama</w:t>
      </w:r>
      <w:r w:rsidR="00EE159E">
        <w:t xml:space="preserve"> further submitted that the application was therefore improperly before the Court.  It was argued that the appellant could only have approached the Court with an application for the upliftment of the bar.</w:t>
      </w:r>
    </w:p>
    <w:p w:rsidR="00124EAB" w:rsidRDefault="00124EAB" w:rsidP="00124EAB">
      <w:pPr>
        <w:spacing w:line="360" w:lineRule="auto"/>
        <w:ind w:firstLine="720"/>
        <w:jc w:val="both"/>
      </w:pPr>
    </w:p>
    <w:p w:rsidR="00124EAB" w:rsidRDefault="00124EAB" w:rsidP="00124EAB">
      <w:pPr>
        <w:spacing w:line="360" w:lineRule="auto"/>
        <w:ind w:firstLine="720"/>
        <w:jc w:val="both"/>
      </w:pPr>
      <w:r w:rsidRPr="0057221C">
        <w:rPr>
          <w:i/>
        </w:rPr>
        <w:lastRenderedPageBreak/>
        <w:t>Mr Jakuosi</w:t>
      </w:r>
      <w:r>
        <w:t xml:space="preserve"> for the applicant stated that he had approached the Court for the purpose of applying for a </w:t>
      </w:r>
      <w:r w:rsidR="0057221C">
        <w:t>postponement to enable the applicant to file a proper application for condonation for late filing of the Notice of Response.  He stated that the Court dismissed the application which meant that</w:t>
      </w:r>
      <w:r w:rsidR="00B72301">
        <w:t xml:space="preserve"> the applicant </w:t>
      </w:r>
      <w:r w:rsidR="004E0E77">
        <w:t>remained</w:t>
      </w:r>
      <w:r w:rsidR="00B72301">
        <w:t xml:space="preserve"> barred and the resultant judgment remained a default judgment.  </w:t>
      </w:r>
      <w:proofErr w:type="spellStart"/>
      <w:r w:rsidR="002E28B9">
        <w:rPr>
          <w:i/>
        </w:rPr>
        <w:t>Mr</w:t>
      </w:r>
      <w:proofErr w:type="spellEnd"/>
      <w:r w:rsidR="002E28B9">
        <w:rPr>
          <w:i/>
        </w:rPr>
        <w:t xml:space="preserve"> </w:t>
      </w:r>
      <w:proofErr w:type="spellStart"/>
      <w:r w:rsidR="002E28B9">
        <w:rPr>
          <w:i/>
        </w:rPr>
        <w:t>Jakuosi</w:t>
      </w:r>
      <w:proofErr w:type="spellEnd"/>
      <w:r w:rsidR="00B72301">
        <w:t xml:space="preserve"> argued that as the matter was not determined on the merit</w:t>
      </w:r>
      <w:r w:rsidR="002E28B9">
        <w:t>s</w:t>
      </w:r>
      <w:r w:rsidR="00B72301">
        <w:t xml:space="preserve"> it was a default judgment which was not appealable and whose remedy was an application for rescission </w:t>
      </w:r>
      <w:r w:rsidR="005C1B77">
        <w:t>of that judgment.  It was on that score that applicant prayed that the preliminary point be dismissed.</w:t>
      </w:r>
    </w:p>
    <w:p w:rsidR="001770E8" w:rsidRDefault="001770E8" w:rsidP="00EF188C">
      <w:pPr>
        <w:ind w:firstLine="720"/>
        <w:jc w:val="both"/>
      </w:pPr>
    </w:p>
    <w:p w:rsidR="001770E8" w:rsidRDefault="001770E8" w:rsidP="00124EAB">
      <w:pPr>
        <w:spacing w:line="360" w:lineRule="auto"/>
        <w:ind w:firstLine="720"/>
        <w:jc w:val="both"/>
      </w:pPr>
      <w:r>
        <w:t>Rule 22 of the Labour Court Rules provides:</w:t>
      </w:r>
    </w:p>
    <w:p w:rsidR="001770E8" w:rsidRDefault="001770E8" w:rsidP="00EF188C">
      <w:pPr>
        <w:ind w:firstLine="720"/>
        <w:jc w:val="both"/>
      </w:pPr>
    </w:p>
    <w:p w:rsidR="001770E8" w:rsidRPr="00E9187F" w:rsidRDefault="00D26F0A" w:rsidP="00E9187F">
      <w:pPr>
        <w:spacing w:line="276" w:lineRule="auto"/>
        <w:ind w:left="720"/>
        <w:jc w:val="both"/>
        <w:rPr>
          <w:sz w:val="22"/>
          <w:szCs w:val="22"/>
        </w:rPr>
      </w:pPr>
      <w:r>
        <w:rPr>
          <w:sz w:val="22"/>
          <w:szCs w:val="22"/>
        </w:rPr>
        <w:t>“Wher</w:t>
      </w:r>
      <w:r w:rsidR="001770E8" w:rsidRPr="00E9187F">
        <w:rPr>
          <w:sz w:val="22"/>
          <w:szCs w:val="22"/>
        </w:rPr>
        <w:t>e notice has been given to a party to file a notice of response within the period specified</w:t>
      </w:r>
      <w:r w:rsidR="008833AF" w:rsidRPr="00E9187F">
        <w:rPr>
          <w:sz w:val="22"/>
          <w:szCs w:val="22"/>
        </w:rPr>
        <w:t xml:space="preserve"> in rule 14,15 or 16 and that party fails to comply, the matter shall nevertheless be set down in terms of rule 21 and if on the day of hearing, the defaulting party </w:t>
      </w:r>
      <w:r w:rsidR="00E769E3" w:rsidRPr="00E9187F">
        <w:rPr>
          <w:sz w:val="22"/>
          <w:szCs w:val="22"/>
        </w:rPr>
        <w:t xml:space="preserve">– </w:t>
      </w:r>
    </w:p>
    <w:p w:rsidR="00162EA0" w:rsidRPr="00E9187F" w:rsidRDefault="00E769E3" w:rsidP="00E9187F">
      <w:pPr>
        <w:pStyle w:val="ListParagraph"/>
        <w:numPr>
          <w:ilvl w:val="0"/>
          <w:numId w:val="1"/>
        </w:numPr>
        <w:spacing w:line="276" w:lineRule="auto"/>
        <w:jc w:val="both"/>
        <w:rPr>
          <w:sz w:val="22"/>
          <w:szCs w:val="22"/>
        </w:rPr>
      </w:pPr>
      <w:r w:rsidRPr="00E9187F">
        <w:rPr>
          <w:sz w:val="22"/>
          <w:szCs w:val="22"/>
        </w:rPr>
        <w:t xml:space="preserve">appears and shows good cause why he or she did not </w:t>
      </w:r>
      <w:r w:rsidR="00C75CE9" w:rsidRPr="00E9187F">
        <w:rPr>
          <w:sz w:val="22"/>
          <w:szCs w:val="22"/>
        </w:rPr>
        <w:t xml:space="preserve">file a notice of response, the </w:t>
      </w:r>
      <w:r w:rsidR="00162EA0" w:rsidRPr="00E9187F">
        <w:rPr>
          <w:sz w:val="22"/>
          <w:szCs w:val="22"/>
        </w:rPr>
        <w:t xml:space="preserve">Court may, according to the nature of the case, or as the </w:t>
      </w:r>
      <w:r w:rsidR="00D26F0A">
        <w:rPr>
          <w:sz w:val="22"/>
          <w:szCs w:val="22"/>
        </w:rPr>
        <w:t>justice</w:t>
      </w:r>
      <w:r w:rsidR="00162EA0" w:rsidRPr="00E9187F">
        <w:rPr>
          <w:sz w:val="22"/>
          <w:szCs w:val="22"/>
        </w:rPr>
        <w:t xml:space="preserve"> of the requires –</w:t>
      </w:r>
    </w:p>
    <w:p w:rsidR="002D5A92" w:rsidRPr="00E9187F" w:rsidRDefault="00162EA0" w:rsidP="00E9187F">
      <w:pPr>
        <w:pStyle w:val="ListParagraph"/>
        <w:numPr>
          <w:ilvl w:val="0"/>
          <w:numId w:val="2"/>
        </w:numPr>
        <w:spacing w:line="276" w:lineRule="auto"/>
        <w:jc w:val="both"/>
        <w:rPr>
          <w:sz w:val="22"/>
          <w:szCs w:val="22"/>
        </w:rPr>
      </w:pPr>
      <w:r w:rsidRPr="00E9187F">
        <w:rPr>
          <w:sz w:val="22"/>
          <w:szCs w:val="22"/>
        </w:rPr>
        <w:t>postpone the matter</w:t>
      </w:r>
      <w:r w:rsidR="002D5A92" w:rsidRPr="00E9187F">
        <w:rPr>
          <w:sz w:val="22"/>
          <w:szCs w:val="22"/>
        </w:rPr>
        <w:t xml:space="preserve"> to enable the defaulting party to comply; or</w:t>
      </w:r>
    </w:p>
    <w:p w:rsidR="002D5A92" w:rsidRPr="00E9187F" w:rsidRDefault="002D5A92" w:rsidP="00E9187F">
      <w:pPr>
        <w:pStyle w:val="ListParagraph"/>
        <w:numPr>
          <w:ilvl w:val="0"/>
          <w:numId w:val="2"/>
        </w:numPr>
        <w:spacing w:line="276" w:lineRule="auto"/>
        <w:jc w:val="both"/>
        <w:rPr>
          <w:sz w:val="22"/>
          <w:szCs w:val="22"/>
        </w:rPr>
      </w:pPr>
      <w:r w:rsidRPr="00E9187F">
        <w:rPr>
          <w:sz w:val="22"/>
          <w:szCs w:val="22"/>
        </w:rPr>
        <w:t>proceed to determine the mater;</w:t>
      </w:r>
    </w:p>
    <w:p w:rsidR="002D5A92" w:rsidRPr="00E9187F" w:rsidRDefault="002D5A92" w:rsidP="00E9187F">
      <w:pPr>
        <w:spacing w:line="276" w:lineRule="auto"/>
        <w:ind w:left="1080"/>
        <w:jc w:val="both"/>
        <w:rPr>
          <w:sz w:val="22"/>
          <w:szCs w:val="22"/>
        </w:rPr>
      </w:pPr>
      <w:r w:rsidRPr="00E9187F">
        <w:rPr>
          <w:sz w:val="22"/>
          <w:szCs w:val="22"/>
        </w:rPr>
        <w:t>or</w:t>
      </w:r>
    </w:p>
    <w:p w:rsidR="00380BAB" w:rsidRPr="00E9187F" w:rsidRDefault="002D5A92" w:rsidP="00E9187F">
      <w:pPr>
        <w:pStyle w:val="ListParagraph"/>
        <w:numPr>
          <w:ilvl w:val="0"/>
          <w:numId w:val="1"/>
        </w:numPr>
        <w:spacing w:line="276" w:lineRule="auto"/>
        <w:jc w:val="both"/>
        <w:rPr>
          <w:sz w:val="22"/>
          <w:szCs w:val="22"/>
        </w:rPr>
      </w:pPr>
      <w:r w:rsidRPr="00E9187F">
        <w:rPr>
          <w:sz w:val="22"/>
          <w:szCs w:val="22"/>
        </w:rPr>
        <w:t xml:space="preserve">does not appear or show good cause why he or she did not file </w:t>
      </w:r>
      <w:r w:rsidR="00380BAB" w:rsidRPr="00E9187F">
        <w:rPr>
          <w:sz w:val="22"/>
          <w:szCs w:val="22"/>
        </w:rPr>
        <w:t xml:space="preserve">a response, the Court may, according to the nature of the case, or as the justice of the case requires – </w:t>
      </w:r>
    </w:p>
    <w:p w:rsidR="00F73136" w:rsidRPr="00E9187F" w:rsidRDefault="00F73136" w:rsidP="00E9187F">
      <w:pPr>
        <w:pStyle w:val="ListParagraph"/>
        <w:numPr>
          <w:ilvl w:val="0"/>
          <w:numId w:val="3"/>
        </w:numPr>
        <w:spacing w:line="276" w:lineRule="auto"/>
        <w:jc w:val="both"/>
        <w:rPr>
          <w:sz w:val="22"/>
          <w:szCs w:val="22"/>
        </w:rPr>
      </w:pPr>
      <w:r w:rsidRPr="00E9187F">
        <w:rPr>
          <w:sz w:val="22"/>
          <w:szCs w:val="22"/>
        </w:rPr>
        <w:t>enter a default judgment against the defaulting party; or</w:t>
      </w:r>
    </w:p>
    <w:p w:rsidR="00F73136" w:rsidRPr="00E9187F" w:rsidRDefault="00F73136" w:rsidP="00E9187F">
      <w:pPr>
        <w:pStyle w:val="ListParagraph"/>
        <w:numPr>
          <w:ilvl w:val="0"/>
          <w:numId w:val="3"/>
        </w:numPr>
        <w:spacing w:line="276" w:lineRule="auto"/>
        <w:jc w:val="both"/>
        <w:rPr>
          <w:sz w:val="22"/>
          <w:szCs w:val="22"/>
        </w:rPr>
      </w:pPr>
      <w:r w:rsidRPr="00E9187F">
        <w:rPr>
          <w:sz w:val="22"/>
          <w:szCs w:val="22"/>
        </w:rPr>
        <w:t>proceed to determine the matter.”</w:t>
      </w:r>
    </w:p>
    <w:p w:rsidR="00F73136" w:rsidRDefault="00F73136" w:rsidP="00EF188C">
      <w:pPr>
        <w:jc w:val="both"/>
      </w:pPr>
    </w:p>
    <w:p w:rsidR="003B15F6" w:rsidRDefault="00F73136" w:rsidP="00E9187F">
      <w:pPr>
        <w:spacing w:line="360" w:lineRule="auto"/>
        <w:ind w:firstLine="720"/>
        <w:jc w:val="both"/>
      </w:pPr>
      <w:r>
        <w:t xml:space="preserve">What is clear is that </w:t>
      </w:r>
      <w:r w:rsidRPr="00E9187F">
        <w:rPr>
          <w:i/>
        </w:rPr>
        <w:t>Mr Jakuosi</w:t>
      </w:r>
      <w:r>
        <w:t xml:space="preserve"> attended the proceedings on the date of the hearing</w:t>
      </w:r>
      <w:r w:rsidR="006B0943">
        <w:t xml:space="preserve">.  However I note from the submissions he made that he limits his appearance to making an application for postponement.  </w:t>
      </w:r>
      <w:r w:rsidR="006B0943" w:rsidRPr="00E9187F">
        <w:rPr>
          <w:i/>
        </w:rPr>
        <w:t>Mr Jakuosi</w:t>
      </w:r>
      <w:r w:rsidR="006B0943">
        <w:t xml:space="preserve"> does not allu</w:t>
      </w:r>
      <w:r w:rsidR="0096283C">
        <w:t>de to the fact that he gave an explanation as to why applicant had</w:t>
      </w:r>
      <w:r w:rsidR="00D26F0A">
        <w:t xml:space="preserve"> not</w:t>
      </w:r>
      <w:r w:rsidR="0096283C">
        <w:t xml:space="preserve"> filed a Notice of Response.  The</w:t>
      </w:r>
      <w:r w:rsidR="007F24A9">
        <w:t xml:space="preserve"> record</w:t>
      </w:r>
      <w:r w:rsidR="0096283C">
        <w:t xml:space="preserve"> </w:t>
      </w:r>
      <w:r w:rsidR="003B15F6">
        <w:t xml:space="preserve">of the proceedings of 15 July 2015 shows that </w:t>
      </w:r>
      <w:r w:rsidR="003B15F6" w:rsidRPr="00E9187F">
        <w:rPr>
          <w:i/>
        </w:rPr>
        <w:t>Mr Jakuos</w:t>
      </w:r>
      <w:r w:rsidR="007E0340" w:rsidRPr="00E9187F">
        <w:rPr>
          <w:i/>
        </w:rPr>
        <w:t>i</w:t>
      </w:r>
      <w:r w:rsidR="003B15F6">
        <w:t xml:space="preserve"> tendered the following explanation:</w:t>
      </w:r>
    </w:p>
    <w:p w:rsidR="006475A1" w:rsidRDefault="006475A1" w:rsidP="00E9187F">
      <w:pPr>
        <w:spacing w:line="360" w:lineRule="auto"/>
        <w:ind w:firstLine="720"/>
        <w:jc w:val="both"/>
      </w:pPr>
    </w:p>
    <w:p w:rsidR="006475A1" w:rsidRPr="0014759E" w:rsidRDefault="006475A1" w:rsidP="007F24A9">
      <w:pPr>
        <w:spacing w:line="276" w:lineRule="auto"/>
        <w:ind w:left="720"/>
        <w:jc w:val="both"/>
        <w:rPr>
          <w:sz w:val="22"/>
          <w:szCs w:val="22"/>
        </w:rPr>
      </w:pPr>
      <w:r w:rsidRPr="0014759E">
        <w:rPr>
          <w:sz w:val="22"/>
          <w:szCs w:val="22"/>
        </w:rPr>
        <w:t xml:space="preserve">“When we received instruction from client, there was a similar matter in which respondent – appellant in that matter – was </w:t>
      </w:r>
      <w:r w:rsidR="007F24A9">
        <w:rPr>
          <w:sz w:val="22"/>
          <w:szCs w:val="22"/>
        </w:rPr>
        <w:t>to be</w:t>
      </w:r>
      <w:r w:rsidR="00E71C21" w:rsidRPr="0014759E">
        <w:rPr>
          <w:sz w:val="22"/>
          <w:szCs w:val="22"/>
        </w:rPr>
        <w:t xml:space="preserve"> represented by </w:t>
      </w:r>
      <w:proofErr w:type="spellStart"/>
      <w:r w:rsidR="00E71C21" w:rsidRPr="0014759E">
        <w:rPr>
          <w:sz w:val="22"/>
          <w:szCs w:val="22"/>
        </w:rPr>
        <w:t>Mr</w:t>
      </w:r>
      <w:proofErr w:type="spellEnd"/>
      <w:r w:rsidR="00E71C21" w:rsidRPr="0014759E">
        <w:rPr>
          <w:sz w:val="22"/>
          <w:szCs w:val="22"/>
        </w:rPr>
        <w:t xml:space="preserve"> Gama – there was a mistake (as) believed we had filed notice of response.</w:t>
      </w:r>
    </w:p>
    <w:p w:rsidR="00B51E5C" w:rsidRPr="0014759E" w:rsidRDefault="00B51E5C" w:rsidP="0014759E">
      <w:pPr>
        <w:spacing w:line="276" w:lineRule="auto"/>
        <w:ind w:left="720"/>
        <w:jc w:val="both"/>
        <w:rPr>
          <w:sz w:val="22"/>
          <w:szCs w:val="22"/>
        </w:rPr>
      </w:pPr>
      <w:r w:rsidRPr="0014759E">
        <w:rPr>
          <w:sz w:val="22"/>
          <w:szCs w:val="22"/>
        </w:rPr>
        <w:lastRenderedPageBreak/>
        <w:t xml:space="preserve">When we received notice of set down when going through the record – discovered there is no response in the matter. </w:t>
      </w:r>
      <w:r w:rsidR="00F26442" w:rsidRPr="0014759E">
        <w:rPr>
          <w:sz w:val="22"/>
          <w:szCs w:val="22"/>
        </w:rPr>
        <w:t>That is the ex</w:t>
      </w:r>
      <w:r w:rsidR="00E428F9">
        <w:rPr>
          <w:sz w:val="22"/>
          <w:szCs w:val="22"/>
        </w:rPr>
        <w:t>planation for non-compliance-ask</w:t>
      </w:r>
      <w:r w:rsidR="00F26442" w:rsidRPr="0014759E">
        <w:rPr>
          <w:sz w:val="22"/>
          <w:szCs w:val="22"/>
        </w:rPr>
        <w:t xml:space="preserve"> for a postponement.</w:t>
      </w:r>
    </w:p>
    <w:p w:rsidR="00F26442" w:rsidRPr="0014759E" w:rsidRDefault="00F26442" w:rsidP="0014759E">
      <w:pPr>
        <w:spacing w:line="276" w:lineRule="auto"/>
        <w:ind w:left="720"/>
        <w:jc w:val="both"/>
        <w:rPr>
          <w:sz w:val="22"/>
          <w:szCs w:val="22"/>
        </w:rPr>
      </w:pPr>
      <w:r w:rsidRPr="0014759E">
        <w:rPr>
          <w:sz w:val="22"/>
          <w:szCs w:val="22"/>
        </w:rPr>
        <w:t xml:space="preserve">I rely on </w:t>
      </w:r>
      <w:r w:rsidRPr="0014759E">
        <w:rPr>
          <w:i/>
          <w:sz w:val="22"/>
          <w:szCs w:val="22"/>
        </w:rPr>
        <w:t>GMB</w:t>
      </w:r>
      <w:r w:rsidR="004642CE" w:rsidRPr="0014759E">
        <w:rPr>
          <w:sz w:val="22"/>
          <w:szCs w:val="22"/>
        </w:rPr>
        <w:t xml:space="preserve"> vs </w:t>
      </w:r>
      <w:r w:rsidR="004642CE" w:rsidRPr="0014759E">
        <w:rPr>
          <w:i/>
          <w:sz w:val="22"/>
          <w:szCs w:val="22"/>
        </w:rPr>
        <w:t>Muchero</w:t>
      </w:r>
      <w:r w:rsidR="004642CE" w:rsidRPr="0014759E">
        <w:rPr>
          <w:sz w:val="22"/>
          <w:szCs w:val="22"/>
        </w:rPr>
        <w:t xml:space="preserve"> – if a party is barred Court may grant postponement to comply with the Rules.</w:t>
      </w:r>
      <w:r w:rsidR="00D30149" w:rsidRPr="0014759E">
        <w:rPr>
          <w:sz w:val="22"/>
          <w:szCs w:val="22"/>
        </w:rPr>
        <w:t>”</w:t>
      </w:r>
    </w:p>
    <w:p w:rsidR="00D30149" w:rsidRDefault="00D30149" w:rsidP="0014759E">
      <w:pPr>
        <w:ind w:firstLine="720"/>
        <w:jc w:val="both"/>
      </w:pPr>
    </w:p>
    <w:p w:rsidR="00D30149" w:rsidRDefault="00A26D90" w:rsidP="00E9187F">
      <w:pPr>
        <w:spacing w:line="360" w:lineRule="auto"/>
        <w:ind w:firstLine="720"/>
        <w:jc w:val="both"/>
      </w:pPr>
      <w:r w:rsidRPr="00C37C36">
        <w:rPr>
          <w:i/>
        </w:rPr>
        <w:t>Mr Gama</w:t>
      </w:r>
      <w:r>
        <w:t xml:space="preserve"> vehemently opposed this application and stated that the explanation tendered was total</w:t>
      </w:r>
      <w:r w:rsidR="00DE6E7A">
        <w:t>ly unacceptable having regard to the facts of the case.  He referred to letters written to the applicant which were not respond</w:t>
      </w:r>
      <w:r w:rsidR="00CD5630">
        <w:t xml:space="preserve">ed to </w:t>
      </w:r>
      <w:r w:rsidR="00D05A15">
        <w:t>and</w:t>
      </w:r>
      <w:r w:rsidR="00CD5630">
        <w:t xml:space="preserve"> the dates on which applicant had been served with the Notice of Appeal and Notice to Response from the Registrar.  </w:t>
      </w:r>
      <w:r w:rsidR="00CD5630" w:rsidRPr="00C37C36">
        <w:rPr>
          <w:i/>
        </w:rPr>
        <w:t>Mr Gama</w:t>
      </w:r>
      <w:r w:rsidR="00CD5630">
        <w:t xml:space="preserve"> also stated that the matter referred to b</w:t>
      </w:r>
      <w:r w:rsidR="008C60E9">
        <w:t xml:space="preserve">y </w:t>
      </w:r>
      <w:r w:rsidR="008C60E9" w:rsidRPr="0014759E">
        <w:rPr>
          <w:i/>
        </w:rPr>
        <w:t xml:space="preserve">Mr Jakuosi </w:t>
      </w:r>
      <w:r w:rsidR="008C60E9">
        <w:t xml:space="preserve">in his </w:t>
      </w:r>
      <w:r w:rsidR="0014759E">
        <w:t>explanation</w:t>
      </w:r>
      <w:r w:rsidR="008C60E9">
        <w:t xml:space="preserve"> had reached the stage where heads of argument had been filed.  It was submitted then that the explanatio</w:t>
      </w:r>
      <w:r w:rsidR="008870ED">
        <w:t>n tendered was woefully inadequate.</w:t>
      </w:r>
    </w:p>
    <w:p w:rsidR="008870ED" w:rsidRDefault="008870ED" w:rsidP="0014759E">
      <w:pPr>
        <w:ind w:firstLine="720"/>
        <w:jc w:val="both"/>
      </w:pPr>
    </w:p>
    <w:p w:rsidR="008870ED" w:rsidRDefault="008870ED" w:rsidP="00E9187F">
      <w:pPr>
        <w:spacing w:line="360" w:lineRule="auto"/>
        <w:ind w:firstLine="720"/>
        <w:jc w:val="both"/>
      </w:pPr>
      <w:r>
        <w:t xml:space="preserve">The Court, in its decision on the application made by </w:t>
      </w:r>
      <w:proofErr w:type="spellStart"/>
      <w:r w:rsidRPr="007A3579">
        <w:rPr>
          <w:i/>
        </w:rPr>
        <w:t>Mr</w:t>
      </w:r>
      <w:proofErr w:type="spellEnd"/>
      <w:r w:rsidRPr="007A3579">
        <w:rPr>
          <w:i/>
        </w:rPr>
        <w:t xml:space="preserve"> </w:t>
      </w:r>
      <w:proofErr w:type="spellStart"/>
      <w:r w:rsidRPr="007A3579">
        <w:rPr>
          <w:i/>
        </w:rPr>
        <w:t>Jakuosi</w:t>
      </w:r>
      <w:proofErr w:type="spellEnd"/>
      <w:r>
        <w:t xml:space="preserve"> stated that </w:t>
      </w:r>
      <w:r w:rsidR="00E428F9">
        <w:t xml:space="preserve">the </w:t>
      </w:r>
      <w:r>
        <w:t>explanation tendered</w:t>
      </w:r>
      <w:r w:rsidR="00C37C36">
        <w:t xml:space="preserve"> was </w:t>
      </w:r>
      <w:r w:rsidR="00E428F9">
        <w:t>neither</w:t>
      </w:r>
      <w:r w:rsidR="00C37C36">
        <w:t xml:space="preserve"> reasonable nor acceptable.  The Court also stated that the evidence showed that there was tardiness on the part of </w:t>
      </w:r>
      <w:r w:rsidR="007A3579">
        <w:t>applicant’s</w:t>
      </w:r>
      <w:r w:rsidR="00C37C36">
        <w:t xml:space="preserve"> legal practitioners in dealing with</w:t>
      </w:r>
      <w:r w:rsidR="00E428F9">
        <w:t xml:space="preserve"> the</w:t>
      </w:r>
      <w:r w:rsidR="00C37C36">
        <w:t xml:space="preserve"> matter.</w:t>
      </w:r>
      <w:r w:rsidR="007A3579">
        <w:t xml:space="preserve"> </w:t>
      </w:r>
      <w:r w:rsidR="00D355DB">
        <w:t xml:space="preserve"> The Court declined to grant the application on the basis of the explanation tendered.  This meant that the applicant was barred.</w:t>
      </w:r>
    </w:p>
    <w:p w:rsidR="00A96801" w:rsidRDefault="00A96801" w:rsidP="004649B7">
      <w:pPr>
        <w:ind w:firstLine="720"/>
        <w:jc w:val="both"/>
      </w:pPr>
    </w:p>
    <w:p w:rsidR="00A96801" w:rsidRDefault="00A96801" w:rsidP="00E9187F">
      <w:pPr>
        <w:spacing w:line="360" w:lineRule="auto"/>
        <w:ind w:firstLine="720"/>
        <w:jc w:val="both"/>
      </w:pPr>
      <w:r>
        <w:t xml:space="preserve">What then </w:t>
      </w:r>
      <w:r w:rsidR="00C775C5">
        <w:t>is the state</w:t>
      </w:r>
      <w:r>
        <w:t xml:space="preserve"> of the judgment given by the Court? </w:t>
      </w:r>
      <w:r w:rsidRPr="00DE06FF">
        <w:rPr>
          <w:i/>
        </w:rPr>
        <w:t>Mr Gama</w:t>
      </w:r>
      <w:r>
        <w:t xml:space="preserve"> submitted that it was not a default judgment as</w:t>
      </w:r>
      <w:r w:rsidR="00E428F9">
        <w:t xml:space="preserve"> the</w:t>
      </w:r>
      <w:r>
        <w:t xml:space="preserve"> other party was present during the proceedings and it could not therefore be</w:t>
      </w:r>
      <w:r w:rsidR="00FF2028">
        <w:t xml:space="preserve"> termed a default judgment.  I do not agree with that submission.  The judgment was granted “in default”</w:t>
      </w:r>
      <w:r w:rsidR="00227490">
        <w:t xml:space="preserve"> </w:t>
      </w:r>
      <w:r w:rsidR="00FF2028">
        <w:t xml:space="preserve">of applicant not having complied with the Rules of the Court. </w:t>
      </w:r>
      <w:r w:rsidR="00B765B0">
        <w:t xml:space="preserve"> In </w:t>
      </w:r>
      <w:r w:rsidR="00B765B0" w:rsidRPr="008353DE">
        <w:rPr>
          <w:i/>
        </w:rPr>
        <w:t>Zvinavashe</w:t>
      </w:r>
      <w:r w:rsidR="00B765B0">
        <w:t xml:space="preserve"> vs </w:t>
      </w:r>
      <w:r w:rsidR="00B765B0" w:rsidRPr="008353DE">
        <w:rPr>
          <w:i/>
        </w:rPr>
        <w:t>Ndlovu</w:t>
      </w:r>
      <w:r w:rsidR="00B765B0">
        <w:t xml:space="preserve"> 590/06, Gwaunza JA aptly </w:t>
      </w:r>
      <w:r w:rsidR="008353DE">
        <w:t>describes</w:t>
      </w:r>
      <w:r w:rsidR="00B765B0">
        <w:t xml:space="preserve"> what a default judgment is.  I am of the view</w:t>
      </w:r>
      <w:r w:rsidR="008353DE">
        <w:t xml:space="preserve"> that this Court’s judgment falls into that category.</w:t>
      </w:r>
      <w:r w:rsidR="00FF2028">
        <w:t xml:space="preserve"> </w:t>
      </w:r>
    </w:p>
    <w:p w:rsidR="004B515A" w:rsidRDefault="004B515A" w:rsidP="003B04A6">
      <w:pPr>
        <w:ind w:firstLine="720"/>
        <w:jc w:val="both"/>
      </w:pPr>
    </w:p>
    <w:p w:rsidR="004B515A" w:rsidRDefault="004B515A" w:rsidP="00E9187F">
      <w:pPr>
        <w:spacing w:line="360" w:lineRule="auto"/>
        <w:ind w:firstLine="720"/>
        <w:jc w:val="both"/>
      </w:pPr>
      <w:r>
        <w:t xml:space="preserve">However the question is, when the Court declined to uplift the bar operating </w:t>
      </w:r>
      <w:r w:rsidR="008E7254">
        <w:t xml:space="preserve">against the applicant, was the consequent application for rescission the proper way of dealing with applicant’s predicament?  In the </w:t>
      </w:r>
      <w:r w:rsidR="003B04A6" w:rsidRPr="003B04A6">
        <w:rPr>
          <w:i/>
        </w:rPr>
        <w:t>Zvinashe</w:t>
      </w:r>
      <w:r w:rsidR="003B04A6">
        <w:t xml:space="preserve"> case </w:t>
      </w:r>
      <w:r w:rsidR="003B04A6" w:rsidRPr="003B04A6">
        <w:rPr>
          <w:i/>
        </w:rPr>
        <w:t>supra</w:t>
      </w:r>
      <w:r w:rsidR="003B04A6">
        <w:t>, it was held as follows:</w:t>
      </w:r>
    </w:p>
    <w:p w:rsidR="003B04A6" w:rsidRDefault="003B04A6" w:rsidP="001D16E5">
      <w:pPr>
        <w:ind w:firstLine="720"/>
        <w:jc w:val="both"/>
      </w:pPr>
    </w:p>
    <w:p w:rsidR="003B04A6" w:rsidRPr="001D16E5" w:rsidRDefault="003B04A6" w:rsidP="001D16E5">
      <w:pPr>
        <w:spacing w:line="276" w:lineRule="auto"/>
        <w:ind w:left="720"/>
        <w:jc w:val="both"/>
        <w:rPr>
          <w:sz w:val="22"/>
          <w:szCs w:val="22"/>
        </w:rPr>
      </w:pPr>
      <w:r w:rsidRPr="001D16E5">
        <w:rPr>
          <w:sz w:val="22"/>
          <w:szCs w:val="22"/>
        </w:rPr>
        <w:lastRenderedPageBreak/>
        <w:t xml:space="preserve">“The defining feature of a judgment granted after a party fails to appear is the </w:t>
      </w:r>
      <w:r w:rsidR="006D5EDB" w:rsidRPr="001D16E5">
        <w:rPr>
          <w:sz w:val="22"/>
          <w:szCs w:val="22"/>
        </w:rPr>
        <w:t>“default” of the absent party, that is his failure to do what he ought to have done ….  Hence a judgment by default has been defined as one obtained by “non resistance</w:t>
      </w:r>
      <w:r w:rsidR="008436A3" w:rsidRPr="001D16E5">
        <w:rPr>
          <w:sz w:val="22"/>
          <w:szCs w:val="22"/>
        </w:rPr>
        <w:t>’ …</w:t>
      </w:r>
      <w:r w:rsidR="00390974" w:rsidRPr="001D16E5">
        <w:rPr>
          <w:sz w:val="22"/>
          <w:szCs w:val="22"/>
        </w:rPr>
        <w:t>”</w:t>
      </w:r>
    </w:p>
    <w:p w:rsidR="001373FF" w:rsidRDefault="001373FF" w:rsidP="001D16E5">
      <w:pPr>
        <w:ind w:firstLine="720"/>
        <w:jc w:val="both"/>
      </w:pPr>
    </w:p>
    <w:p w:rsidR="001373FF" w:rsidRDefault="001373FF" w:rsidP="001D16E5">
      <w:pPr>
        <w:spacing w:line="360" w:lineRule="auto"/>
        <w:ind w:firstLine="720"/>
        <w:jc w:val="both"/>
      </w:pPr>
      <w:r>
        <w:t xml:space="preserve">What the defaulting party should do is to “purge” the default.  </w:t>
      </w:r>
      <w:r w:rsidR="008C361B">
        <w:t xml:space="preserve">In the case where the party has not attended the hearing, the party applies to the Court stating the reasons for non-attendance.  </w:t>
      </w:r>
      <w:r w:rsidR="0061481D">
        <w:t xml:space="preserve">However, in a case where a litigant has not complied with the Rules of the Court, should the litigant proceed to apply to </w:t>
      </w:r>
      <w:r w:rsidR="001B2E65">
        <w:t>the Court for rescission when the bar is still operating against</w:t>
      </w:r>
      <w:r w:rsidR="006F1282">
        <w:t xml:space="preserve"> him/her?</w:t>
      </w:r>
    </w:p>
    <w:p w:rsidR="006F1282" w:rsidRDefault="006F1282" w:rsidP="001D16E5">
      <w:pPr>
        <w:ind w:firstLine="720"/>
        <w:jc w:val="both"/>
      </w:pPr>
    </w:p>
    <w:p w:rsidR="006F1282" w:rsidRDefault="006F1282" w:rsidP="00E9187F">
      <w:pPr>
        <w:spacing w:line="360" w:lineRule="auto"/>
        <w:ind w:firstLine="720"/>
        <w:jc w:val="both"/>
      </w:pPr>
      <w:r>
        <w:t>My view is that when a litigant is barred, he/she may not, while so barred</w:t>
      </w:r>
      <w:r w:rsidR="00B822F1">
        <w:t>, file any proceedings before the Court under the relevant case.  A court will</w:t>
      </w:r>
      <w:r w:rsidR="00227377">
        <w:t xml:space="preserve"> not</w:t>
      </w:r>
      <w:r w:rsidR="00B822F1">
        <w:t xml:space="preserve"> </w:t>
      </w:r>
      <w:r w:rsidR="00B822F1" w:rsidRPr="00B822F1">
        <w:rPr>
          <w:u w:val="single"/>
        </w:rPr>
        <w:t>see</w:t>
      </w:r>
      <w:r w:rsidR="00B822F1">
        <w:t xml:space="preserve"> a </w:t>
      </w:r>
      <w:r w:rsidR="003F6EB9">
        <w:t xml:space="preserve">barred litigant on </w:t>
      </w:r>
      <w:r w:rsidR="00554DEB">
        <w:t>paper or in person.  A court will</w:t>
      </w:r>
      <w:r w:rsidR="00227377">
        <w:t xml:space="preserve"> not</w:t>
      </w:r>
      <w:r w:rsidR="00554DEB">
        <w:t xml:space="preserve"> </w:t>
      </w:r>
      <w:r w:rsidR="0059626A" w:rsidRPr="00227377">
        <w:rPr>
          <w:u w:val="single"/>
        </w:rPr>
        <w:t>hear</w:t>
      </w:r>
      <w:r w:rsidR="0059626A">
        <w:t xml:space="preserve"> a barred litigant while he/she remains barred.  It is only after a Court has uplifted the </w:t>
      </w:r>
      <w:r w:rsidR="004B0767">
        <w:t xml:space="preserve">bar that the erstwhile barred litigant may be given audience to file process </w:t>
      </w:r>
      <w:r w:rsidR="00716BB8">
        <w:t>in the court as well as being given the opportunity to be he</w:t>
      </w:r>
      <w:r w:rsidR="00100DA6">
        <w:t xml:space="preserve">ard.  It is my view that </w:t>
      </w:r>
      <w:r w:rsidR="002C361B">
        <w:t>to do otherwise would be to defeat the very purpose of the bar.  The filing of processes by a litigant who is under bar is therefore a no</w:t>
      </w:r>
      <w:r w:rsidR="00227377">
        <w:t>n</w:t>
      </w:r>
      <w:r w:rsidR="002C361B">
        <w:t>-event.</w:t>
      </w:r>
      <w:r w:rsidR="00693103">
        <w:t xml:space="preserve"> </w:t>
      </w:r>
    </w:p>
    <w:p w:rsidR="00693103" w:rsidRDefault="00693103" w:rsidP="001D16E5">
      <w:pPr>
        <w:ind w:firstLine="720"/>
        <w:jc w:val="both"/>
      </w:pPr>
    </w:p>
    <w:p w:rsidR="00693103" w:rsidRDefault="00693103" w:rsidP="00E9187F">
      <w:pPr>
        <w:spacing w:line="360" w:lineRule="auto"/>
        <w:ind w:firstLine="720"/>
        <w:jc w:val="both"/>
      </w:pPr>
      <w:r>
        <w:t xml:space="preserve">In </w:t>
      </w:r>
      <w:r w:rsidRPr="001D16E5">
        <w:rPr>
          <w:i/>
        </w:rPr>
        <w:t>HPP Studios (Pvt) Ltd</w:t>
      </w:r>
      <w:r>
        <w:t xml:space="preserve"> vs </w:t>
      </w:r>
      <w:r w:rsidRPr="001D16E5">
        <w:rPr>
          <w:i/>
        </w:rPr>
        <w:t>ANZ (Pvt) Ltd</w:t>
      </w:r>
      <w:r>
        <w:t xml:space="preserve"> 200 (1</w:t>
      </w:r>
      <w:r w:rsidR="00165323">
        <w:t>) ZLR 318 Adam J had this to say at page 334:</w:t>
      </w:r>
    </w:p>
    <w:p w:rsidR="000C5BA8" w:rsidRDefault="000C5BA8" w:rsidP="001D16E5">
      <w:pPr>
        <w:ind w:firstLine="720"/>
        <w:jc w:val="both"/>
      </w:pPr>
    </w:p>
    <w:p w:rsidR="000C5BA8" w:rsidRPr="001D16E5" w:rsidRDefault="000C5BA8" w:rsidP="001D16E5">
      <w:pPr>
        <w:spacing w:line="276" w:lineRule="auto"/>
        <w:ind w:left="720"/>
        <w:jc w:val="both"/>
        <w:rPr>
          <w:sz w:val="22"/>
          <w:szCs w:val="22"/>
        </w:rPr>
      </w:pPr>
      <w:r w:rsidRPr="001D16E5">
        <w:rPr>
          <w:sz w:val="22"/>
          <w:szCs w:val="22"/>
        </w:rPr>
        <w:t>“These rules of court are made in order to prevent delay or injustice being done owing to this delay, and a bar should not be uplifted as a matter of course; it should not be done merely for the asking otherwise the rules may as well be tor</w:t>
      </w:r>
      <w:r w:rsidR="00002E29" w:rsidRPr="001D16E5">
        <w:rPr>
          <w:sz w:val="22"/>
          <w:szCs w:val="22"/>
        </w:rPr>
        <w:t>n up.”</w:t>
      </w:r>
    </w:p>
    <w:p w:rsidR="00002E29" w:rsidRDefault="00002E29" w:rsidP="001D16E5">
      <w:pPr>
        <w:ind w:firstLine="720"/>
        <w:jc w:val="both"/>
      </w:pPr>
    </w:p>
    <w:p w:rsidR="00002E29" w:rsidRDefault="00002E29" w:rsidP="00E9187F">
      <w:pPr>
        <w:spacing w:line="360" w:lineRule="auto"/>
        <w:ind w:firstLine="720"/>
        <w:jc w:val="both"/>
      </w:pPr>
      <w:r>
        <w:t>In my view what the case underlines is the observance of rules of court.  It cannot be said whilst the court has barred a litigant in one instance to address it because</w:t>
      </w:r>
      <w:r w:rsidR="007D6A76">
        <w:t xml:space="preserve"> of</w:t>
      </w:r>
      <w:r>
        <w:t xml:space="preserve"> an existing bar, it should </w:t>
      </w:r>
      <w:r w:rsidR="007D6A76">
        <w:t>then</w:t>
      </w:r>
      <w:r>
        <w:t xml:space="preserve"> allow the same litigant to appear before it to make</w:t>
      </w:r>
      <w:r w:rsidR="00633683">
        <w:t xml:space="preserve"> a rescission of a judgment granted when the court deemed the litigant to have flagrantly disregarded the rules.  This would </w:t>
      </w:r>
      <w:r w:rsidR="00E37464">
        <w:t>inevitably result in a travesty of justice.</w:t>
      </w:r>
    </w:p>
    <w:p w:rsidR="00BC0EEF" w:rsidRDefault="00BC0EEF" w:rsidP="00DF4BDB">
      <w:pPr>
        <w:ind w:firstLine="720"/>
        <w:jc w:val="both"/>
      </w:pPr>
    </w:p>
    <w:p w:rsidR="00BC0EEF" w:rsidRDefault="00BC0EEF" w:rsidP="00E9187F">
      <w:pPr>
        <w:spacing w:line="360" w:lineRule="auto"/>
        <w:ind w:firstLine="720"/>
        <w:jc w:val="both"/>
      </w:pPr>
      <w:r w:rsidRPr="00D1652D">
        <w:rPr>
          <w:i/>
        </w:rPr>
        <w:t>In casu</w:t>
      </w:r>
      <w:r>
        <w:t xml:space="preserve"> the Court declined to uplift bar operating against applicant.  The bar is extant and has not been uplifted</w:t>
      </w:r>
      <w:r w:rsidR="00B707AA">
        <w:t xml:space="preserve">.  Applicant has made an application for rescission </w:t>
      </w:r>
      <w:r w:rsidR="00B707AA">
        <w:lastRenderedPageBreak/>
        <w:t>of the judgment whilst that bar is still operating against it.  Is the application properly before the Court?</w:t>
      </w:r>
      <w:r w:rsidR="00C40B75">
        <w:t xml:space="preserve">  I think not.  As stated in the </w:t>
      </w:r>
      <w:r w:rsidR="00C40B75" w:rsidRPr="005D723C">
        <w:rPr>
          <w:i/>
        </w:rPr>
        <w:t>Zvinavashe case</w:t>
      </w:r>
      <w:r w:rsidR="00C40B75">
        <w:t xml:space="preserve">, </w:t>
      </w:r>
      <w:r w:rsidR="00C40B75" w:rsidRPr="005D723C">
        <w:rPr>
          <w:i/>
        </w:rPr>
        <w:t>supra</w:t>
      </w:r>
      <w:r w:rsidR="00C40B75">
        <w:t>, the applicant has not “</w:t>
      </w:r>
      <w:r w:rsidR="00C84F9A">
        <w:t>purged” itself</w:t>
      </w:r>
      <w:r w:rsidR="00C40B75">
        <w:t xml:space="preserve"> of the </w:t>
      </w:r>
      <w:r w:rsidR="00C84F9A">
        <w:t>reason the Court granted the default judgment in the first place.  The Court deemed the explanation</w:t>
      </w:r>
      <w:r w:rsidR="005D723C">
        <w:t xml:space="preserve"> tendered</w:t>
      </w:r>
      <w:r w:rsidR="00BB6F44">
        <w:t xml:space="preserve"> unsatisfactory </w:t>
      </w:r>
      <w:r w:rsidR="00D1652D">
        <w:t xml:space="preserve">and </w:t>
      </w:r>
      <w:r w:rsidR="00BB6F44">
        <w:t xml:space="preserve">declined to uplift the bar.  That bar still exists.  It is my view that the application for rescission of the judgment is improperly before the Court.  The point </w:t>
      </w:r>
      <w:r w:rsidR="00BB6F44" w:rsidRPr="007422DD">
        <w:rPr>
          <w:i/>
        </w:rPr>
        <w:t>in limine</w:t>
      </w:r>
      <w:r w:rsidR="00BB6F44">
        <w:t xml:space="preserve"> ought to be upheld.</w:t>
      </w:r>
    </w:p>
    <w:p w:rsidR="00BB6F44" w:rsidRDefault="00BB6F44" w:rsidP="007422DD">
      <w:pPr>
        <w:spacing w:line="360" w:lineRule="auto"/>
        <w:jc w:val="both"/>
      </w:pPr>
    </w:p>
    <w:p w:rsidR="007422DD" w:rsidRDefault="007422DD" w:rsidP="007422DD">
      <w:pPr>
        <w:spacing w:line="360" w:lineRule="auto"/>
        <w:jc w:val="both"/>
      </w:pPr>
      <w:r>
        <w:t>The Court makes the following order:</w:t>
      </w:r>
    </w:p>
    <w:p w:rsidR="00624172" w:rsidRDefault="00624172" w:rsidP="009709BC">
      <w:pPr>
        <w:jc w:val="both"/>
      </w:pPr>
    </w:p>
    <w:p w:rsidR="00624172" w:rsidRDefault="00624172" w:rsidP="00624172">
      <w:pPr>
        <w:pStyle w:val="ListParagraph"/>
        <w:numPr>
          <w:ilvl w:val="0"/>
          <w:numId w:val="4"/>
        </w:numPr>
        <w:spacing w:line="360" w:lineRule="auto"/>
        <w:jc w:val="both"/>
      </w:pPr>
      <w:r>
        <w:t xml:space="preserve">The point </w:t>
      </w:r>
      <w:r w:rsidRPr="00C86F55">
        <w:rPr>
          <w:i/>
        </w:rPr>
        <w:t>in limine</w:t>
      </w:r>
      <w:r>
        <w:t xml:space="preserve">, being </w:t>
      </w:r>
      <w:r w:rsidR="00C86F55">
        <w:t>with merit, be and is hereby upheld.</w:t>
      </w:r>
    </w:p>
    <w:p w:rsidR="00C86F55" w:rsidRDefault="00C86F55" w:rsidP="00624172">
      <w:pPr>
        <w:pStyle w:val="ListParagraph"/>
        <w:numPr>
          <w:ilvl w:val="0"/>
          <w:numId w:val="4"/>
        </w:numPr>
        <w:spacing w:line="360" w:lineRule="auto"/>
        <w:jc w:val="both"/>
      </w:pPr>
      <w:r>
        <w:t xml:space="preserve">The application for </w:t>
      </w:r>
      <w:r w:rsidR="00BF4F1F">
        <w:t>rescission of judgment, being improperly before the Court, be and is hereby struck off roll.</w:t>
      </w:r>
    </w:p>
    <w:p w:rsidR="00BF4F1F" w:rsidRDefault="003F79E5" w:rsidP="00624172">
      <w:pPr>
        <w:pStyle w:val="ListParagraph"/>
        <w:numPr>
          <w:ilvl w:val="0"/>
          <w:numId w:val="4"/>
        </w:numPr>
        <w:spacing w:line="360" w:lineRule="auto"/>
        <w:jc w:val="both"/>
      </w:pPr>
      <w:r>
        <w:t>Applicant to meet respondent’s costs in this application.</w:t>
      </w:r>
    </w:p>
    <w:p w:rsidR="003F79E5" w:rsidRDefault="003F79E5" w:rsidP="003F79E5">
      <w:pPr>
        <w:spacing w:line="360" w:lineRule="auto"/>
        <w:jc w:val="both"/>
      </w:pPr>
    </w:p>
    <w:p w:rsidR="003F79E5" w:rsidRDefault="003F79E5" w:rsidP="003F79E5">
      <w:pPr>
        <w:spacing w:line="360" w:lineRule="auto"/>
        <w:jc w:val="both"/>
      </w:pPr>
    </w:p>
    <w:p w:rsidR="003F79E5" w:rsidRDefault="003F79E5" w:rsidP="003F79E5">
      <w:pPr>
        <w:spacing w:line="360" w:lineRule="auto"/>
        <w:jc w:val="both"/>
      </w:pPr>
      <w:r w:rsidRPr="009709BC">
        <w:rPr>
          <w:i/>
        </w:rPr>
        <w:t>Dube, Manikai &amp; Hwacha</w:t>
      </w:r>
      <w:r>
        <w:t>, applicant’s legal practitioners</w:t>
      </w:r>
    </w:p>
    <w:p w:rsidR="003F79E5" w:rsidRDefault="003F79E5" w:rsidP="003F79E5">
      <w:pPr>
        <w:spacing w:line="360" w:lineRule="auto"/>
        <w:jc w:val="both"/>
      </w:pPr>
      <w:r w:rsidRPr="009709BC">
        <w:rPr>
          <w:i/>
        </w:rPr>
        <w:t>Gama &amp; Partners</w:t>
      </w:r>
      <w:r>
        <w:t>, respondent’s legal practitioners</w:t>
      </w:r>
    </w:p>
    <w:p w:rsidR="003B15F6" w:rsidRDefault="003B15F6" w:rsidP="00F73136">
      <w:pPr>
        <w:spacing w:line="360" w:lineRule="auto"/>
        <w:jc w:val="both"/>
      </w:pPr>
    </w:p>
    <w:p w:rsidR="00E769E3" w:rsidRDefault="00E769E3" w:rsidP="00F73136">
      <w:pPr>
        <w:spacing w:line="360" w:lineRule="auto"/>
        <w:jc w:val="both"/>
      </w:pPr>
      <w:r>
        <w:t xml:space="preserve"> </w:t>
      </w:r>
    </w:p>
    <w:sectPr w:rsidR="00E769E3" w:rsidSect="00D7428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EC" w:rsidRDefault="005033EC" w:rsidP="00D7428A">
      <w:r>
        <w:separator/>
      </w:r>
    </w:p>
  </w:endnote>
  <w:endnote w:type="continuationSeparator" w:id="0">
    <w:p w:rsidR="005033EC" w:rsidRDefault="005033EC" w:rsidP="00D7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56810"/>
      <w:docPartObj>
        <w:docPartGallery w:val="Page Numbers (Bottom of Page)"/>
        <w:docPartUnique/>
      </w:docPartObj>
    </w:sdtPr>
    <w:sdtEndPr>
      <w:rPr>
        <w:noProof/>
      </w:rPr>
    </w:sdtEndPr>
    <w:sdtContent>
      <w:p w:rsidR="00B707AA" w:rsidRDefault="00B707AA">
        <w:pPr>
          <w:pStyle w:val="Footer"/>
          <w:jc w:val="center"/>
        </w:pPr>
        <w:r>
          <w:fldChar w:fldCharType="begin"/>
        </w:r>
        <w:r>
          <w:instrText xml:space="preserve"> PAGE   \* MERGEFORMAT </w:instrText>
        </w:r>
        <w:r>
          <w:fldChar w:fldCharType="separate"/>
        </w:r>
        <w:r w:rsidR="00EF684B">
          <w:rPr>
            <w:noProof/>
          </w:rPr>
          <w:t>5</w:t>
        </w:r>
        <w:r>
          <w:rPr>
            <w:noProof/>
          </w:rPr>
          <w:fldChar w:fldCharType="end"/>
        </w:r>
      </w:p>
    </w:sdtContent>
  </w:sdt>
  <w:p w:rsidR="00B707AA" w:rsidRDefault="00B70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EC" w:rsidRDefault="005033EC" w:rsidP="00D7428A">
      <w:r>
        <w:separator/>
      </w:r>
    </w:p>
  </w:footnote>
  <w:footnote w:type="continuationSeparator" w:id="0">
    <w:p w:rsidR="005033EC" w:rsidRDefault="005033EC" w:rsidP="00D74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AA" w:rsidRPr="00D7428A" w:rsidRDefault="00B707AA">
    <w:pPr>
      <w:pStyle w:val="Header"/>
      <w:rPr>
        <w:lang w:val="en-ZW"/>
      </w:rPr>
    </w:pPr>
    <w:r>
      <w:rPr>
        <w:lang w:val="en-ZW"/>
      </w:rPr>
      <w:tab/>
    </w:r>
    <w:r>
      <w:rPr>
        <w:lang w:val="en-ZW"/>
      </w:rPr>
      <w:tab/>
      <w:t>JUDGMENT NO. LC/H/</w:t>
    </w:r>
    <w:r w:rsidR="00B02CC6">
      <w:rPr>
        <w:lang w:val="en-ZW"/>
      </w:rPr>
      <w:t>273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83D"/>
    <w:multiLevelType w:val="hybridMultilevel"/>
    <w:tmpl w:val="5E708C6A"/>
    <w:lvl w:ilvl="0" w:tplc="43DCB8F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72D3E6B"/>
    <w:multiLevelType w:val="hybridMultilevel"/>
    <w:tmpl w:val="20CCB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9F676A"/>
    <w:multiLevelType w:val="hybridMultilevel"/>
    <w:tmpl w:val="B9C8BE2A"/>
    <w:lvl w:ilvl="0" w:tplc="6440658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3426BBE"/>
    <w:multiLevelType w:val="hybridMultilevel"/>
    <w:tmpl w:val="734210C6"/>
    <w:lvl w:ilvl="0" w:tplc="E1E218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52"/>
    <w:rsid w:val="00002E29"/>
    <w:rsid w:val="00054318"/>
    <w:rsid w:val="000A4D70"/>
    <w:rsid w:val="000C5BA8"/>
    <w:rsid w:val="00100DA6"/>
    <w:rsid w:val="00124EAB"/>
    <w:rsid w:val="001373FF"/>
    <w:rsid w:val="0014759E"/>
    <w:rsid w:val="00162EA0"/>
    <w:rsid w:val="00165323"/>
    <w:rsid w:val="001770E8"/>
    <w:rsid w:val="00184DAA"/>
    <w:rsid w:val="001B2E65"/>
    <w:rsid w:val="001D16E5"/>
    <w:rsid w:val="00210FA5"/>
    <w:rsid w:val="00227377"/>
    <w:rsid w:val="00227490"/>
    <w:rsid w:val="002C361B"/>
    <w:rsid w:val="002D5A92"/>
    <w:rsid w:val="002E28B9"/>
    <w:rsid w:val="00366166"/>
    <w:rsid w:val="00380BAB"/>
    <w:rsid w:val="003832C6"/>
    <w:rsid w:val="00390974"/>
    <w:rsid w:val="003B04A6"/>
    <w:rsid w:val="003B15F6"/>
    <w:rsid w:val="003B4B96"/>
    <w:rsid w:val="003F6EB9"/>
    <w:rsid w:val="003F79E5"/>
    <w:rsid w:val="004642CE"/>
    <w:rsid w:val="004649B7"/>
    <w:rsid w:val="004B0767"/>
    <w:rsid w:val="004B515A"/>
    <w:rsid w:val="004E0E77"/>
    <w:rsid w:val="005033EC"/>
    <w:rsid w:val="00534DC1"/>
    <w:rsid w:val="00554DEB"/>
    <w:rsid w:val="0057221C"/>
    <w:rsid w:val="00594C78"/>
    <w:rsid w:val="0059626A"/>
    <w:rsid w:val="005C1B77"/>
    <w:rsid w:val="005D723C"/>
    <w:rsid w:val="0061481D"/>
    <w:rsid w:val="00624172"/>
    <w:rsid w:val="00633683"/>
    <w:rsid w:val="006475A1"/>
    <w:rsid w:val="00652179"/>
    <w:rsid w:val="00693103"/>
    <w:rsid w:val="006B0943"/>
    <w:rsid w:val="006D5EDB"/>
    <w:rsid w:val="006E0C5A"/>
    <w:rsid w:val="006F1282"/>
    <w:rsid w:val="00716BB8"/>
    <w:rsid w:val="007422DD"/>
    <w:rsid w:val="00762C43"/>
    <w:rsid w:val="007A3579"/>
    <w:rsid w:val="007A3A85"/>
    <w:rsid w:val="007C0443"/>
    <w:rsid w:val="007D6A76"/>
    <w:rsid w:val="007E0340"/>
    <w:rsid w:val="007F24A9"/>
    <w:rsid w:val="008353DE"/>
    <w:rsid w:val="008436A3"/>
    <w:rsid w:val="00867E42"/>
    <w:rsid w:val="008833AF"/>
    <w:rsid w:val="008870ED"/>
    <w:rsid w:val="008C361B"/>
    <w:rsid w:val="008C60E9"/>
    <w:rsid w:val="008E7254"/>
    <w:rsid w:val="00902F28"/>
    <w:rsid w:val="009331AA"/>
    <w:rsid w:val="0096283C"/>
    <w:rsid w:val="009709BC"/>
    <w:rsid w:val="00A04D51"/>
    <w:rsid w:val="00A26D90"/>
    <w:rsid w:val="00A96801"/>
    <w:rsid w:val="00AF6F30"/>
    <w:rsid w:val="00B02CC6"/>
    <w:rsid w:val="00B51E5C"/>
    <w:rsid w:val="00B707AA"/>
    <w:rsid w:val="00B72301"/>
    <w:rsid w:val="00B765B0"/>
    <w:rsid w:val="00B822F1"/>
    <w:rsid w:val="00BB6F44"/>
    <w:rsid w:val="00BC0EEF"/>
    <w:rsid w:val="00BC3B45"/>
    <w:rsid w:val="00BF4F1F"/>
    <w:rsid w:val="00C37C36"/>
    <w:rsid w:val="00C40B75"/>
    <w:rsid w:val="00C75CE9"/>
    <w:rsid w:val="00C775C5"/>
    <w:rsid w:val="00C84F9A"/>
    <w:rsid w:val="00C86F55"/>
    <w:rsid w:val="00CD5630"/>
    <w:rsid w:val="00D05A15"/>
    <w:rsid w:val="00D1652D"/>
    <w:rsid w:val="00D26F0A"/>
    <w:rsid w:val="00D30149"/>
    <w:rsid w:val="00D355DB"/>
    <w:rsid w:val="00D51B52"/>
    <w:rsid w:val="00D7428A"/>
    <w:rsid w:val="00DE06FF"/>
    <w:rsid w:val="00DE6E7A"/>
    <w:rsid w:val="00DF4BDB"/>
    <w:rsid w:val="00E104C4"/>
    <w:rsid w:val="00E37464"/>
    <w:rsid w:val="00E428F9"/>
    <w:rsid w:val="00E71C21"/>
    <w:rsid w:val="00E769E3"/>
    <w:rsid w:val="00E9187F"/>
    <w:rsid w:val="00EE159E"/>
    <w:rsid w:val="00EF188C"/>
    <w:rsid w:val="00EF684B"/>
    <w:rsid w:val="00F26442"/>
    <w:rsid w:val="00F73136"/>
    <w:rsid w:val="00FF20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28A"/>
    <w:pPr>
      <w:tabs>
        <w:tab w:val="center" w:pos="4513"/>
        <w:tab w:val="right" w:pos="9026"/>
      </w:tabs>
    </w:pPr>
  </w:style>
  <w:style w:type="character" w:customStyle="1" w:styleId="HeaderChar">
    <w:name w:val="Header Char"/>
    <w:basedOn w:val="DefaultParagraphFont"/>
    <w:link w:val="Header"/>
    <w:uiPriority w:val="99"/>
    <w:rsid w:val="00D7428A"/>
    <w:rPr>
      <w:rFonts w:ascii="Tahoma" w:eastAsia="Times New Roman" w:hAnsi="Tahoma" w:cs="Times New Roman"/>
      <w:sz w:val="24"/>
      <w:szCs w:val="24"/>
      <w:lang w:val="en-US"/>
    </w:rPr>
  </w:style>
  <w:style w:type="paragraph" w:styleId="Footer">
    <w:name w:val="footer"/>
    <w:basedOn w:val="Normal"/>
    <w:link w:val="FooterChar"/>
    <w:uiPriority w:val="99"/>
    <w:unhideWhenUsed/>
    <w:rsid w:val="00D7428A"/>
    <w:pPr>
      <w:tabs>
        <w:tab w:val="center" w:pos="4513"/>
        <w:tab w:val="right" w:pos="9026"/>
      </w:tabs>
    </w:pPr>
  </w:style>
  <w:style w:type="character" w:customStyle="1" w:styleId="FooterChar">
    <w:name w:val="Footer Char"/>
    <w:basedOn w:val="DefaultParagraphFont"/>
    <w:link w:val="Footer"/>
    <w:uiPriority w:val="99"/>
    <w:rsid w:val="00D7428A"/>
    <w:rPr>
      <w:rFonts w:ascii="Tahoma" w:eastAsia="Times New Roman" w:hAnsi="Tahoma" w:cs="Times New Roman"/>
      <w:sz w:val="24"/>
      <w:szCs w:val="24"/>
      <w:lang w:val="en-US"/>
    </w:rPr>
  </w:style>
  <w:style w:type="paragraph" w:styleId="ListParagraph">
    <w:name w:val="List Paragraph"/>
    <w:basedOn w:val="Normal"/>
    <w:uiPriority w:val="34"/>
    <w:qFormat/>
    <w:rsid w:val="00E769E3"/>
    <w:pPr>
      <w:ind w:left="720"/>
      <w:contextualSpacing/>
    </w:pPr>
  </w:style>
  <w:style w:type="paragraph" w:styleId="BalloonText">
    <w:name w:val="Balloon Text"/>
    <w:basedOn w:val="Normal"/>
    <w:link w:val="BalloonTextChar"/>
    <w:uiPriority w:val="99"/>
    <w:semiHidden/>
    <w:unhideWhenUsed/>
    <w:rsid w:val="00EF684B"/>
    <w:rPr>
      <w:rFonts w:cs="Tahoma"/>
      <w:sz w:val="16"/>
      <w:szCs w:val="16"/>
    </w:rPr>
  </w:style>
  <w:style w:type="character" w:customStyle="1" w:styleId="BalloonTextChar">
    <w:name w:val="Balloon Text Char"/>
    <w:basedOn w:val="DefaultParagraphFont"/>
    <w:link w:val="BalloonText"/>
    <w:uiPriority w:val="99"/>
    <w:semiHidden/>
    <w:rsid w:val="00EF684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28A"/>
    <w:pPr>
      <w:tabs>
        <w:tab w:val="center" w:pos="4513"/>
        <w:tab w:val="right" w:pos="9026"/>
      </w:tabs>
    </w:pPr>
  </w:style>
  <w:style w:type="character" w:customStyle="1" w:styleId="HeaderChar">
    <w:name w:val="Header Char"/>
    <w:basedOn w:val="DefaultParagraphFont"/>
    <w:link w:val="Header"/>
    <w:uiPriority w:val="99"/>
    <w:rsid w:val="00D7428A"/>
    <w:rPr>
      <w:rFonts w:ascii="Tahoma" w:eastAsia="Times New Roman" w:hAnsi="Tahoma" w:cs="Times New Roman"/>
      <w:sz w:val="24"/>
      <w:szCs w:val="24"/>
      <w:lang w:val="en-US"/>
    </w:rPr>
  </w:style>
  <w:style w:type="paragraph" w:styleId="Footer">
    <w:name w:val="footer"/>
    <w:basedOn w:val="Normal"/>
    <w:link w:val="FooterChar"/>
    <w:uiPriority w:val="99"/>
    <w:unhideWhenUsed/>
    <w:rsid w:val="00D7428A"/>
    <w:pPr>
      <w:tabs>
        <w:tab w:val="center" w:pos="4513"/>
        <w:tab w:val="right" w:pos="9026"/>
      </w:tabs>
    </w:pPr>
  </w:style>
  <w:style w:type="character" w:customStyle="1" w:styleId="FooterChar">
    <w:name w:val="Footer Char"/>
    <w:basedOn w:val="DefaultParagraphFont"/>
    <w:link w:val="Footer"/>
    <w:uiPriority w:val="99"/>
    <w:rsid w:val="00D7428A"/>
    <w:rPr>
      <w:rFonts w:ascii="Tahoma" w:eastAsia="Times New Roman" w:hAnsi="Tahoma" w:cs="Times New Roman"/>
      <w:sz w:val="24"/>
      <w:szCs w:val="24"/>
      <w:lang w:val="en-US"/>
    </w:rPr>
  </w:style>
  <w:style w:type="paragraph" w:styleId="ListParagraph">
    <w:name w:val="List Paragraph"/>
    <w:basedOn w:val="Normal"/>
    <w:uiPriority w:val="34"/>
    <w:qFormat/>
    <w:rsid w:val="00E769E3"/>
    <w:pPr>
      <w:ind w:left="720"/>
      <w:contextualSpacing/>
    </w:pPr>
  </w:style>
  <w:style w:type="paragraph" w:styleId="BalloonText">
    <w:name w:val="Balloon Text"/>
    <w:basedOn w:val="Normal"/>
    <w:link w:val="BalloonTextChar"/>
    <w:uiPriority w:val="99"/>
    <w:semiHidden/>
    <w:unhideWhenUsed/>
    <w:rsid w:val="00EF684B"/>
    <w:rPr>
      <w:rFonts w:cs="Tahoma"/>
      <w:sz w:val="16"/>
      <w:szCs w:val="16"/>
    </w:rPr>
  </w:style>
  <w:style w:type="character" w:customStyle="1" w:styleId="BalloonTextChar">
    <w:name w:val="Balloon Text Char"/>
    <w:basedOn w:val="DefaultParagraphFont"/>
    <w:link w:val="BalloonText"/>
    <w:uiPriority w:val="99"/>
    <w:semiHidden/>
    <w:rsid w:val="00EF684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A021-CFB6-4742-B5B4-BF0CBB16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cp:lastPrinted>2016-04-28T08:20:00Z</cp:lastPrinted>
  <dcterms:created xsi:type="dcterms:W3CDTF">2016-04-19T08:57:00Z</dcterms:created>
  <dcterms:modified xsi:type="dcterms:W3CDTF">2016-04-28T08:20:00Z</dcterms:modified>
</cp:coreProperties>
</file>