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94A9" w14:textId="5BC9E865" w:rsidR="004E11D3" w:rsidRPr="004E11D3" w:rsidRDefault="00B87274" w:rsidP="00BF77D3">
      <w:pPr>
        <w:spacing w:after="0" w:line="240" w:lineRule="auto"/>
        <w:rPr>
          <w:rFonts w:ascii="Times New Roman" w:hAnsi="Times New Roman"/>
          <w:sz w:val="24"/>
          <w:szCs w:val="24"/>
        </w:rPr>
      </w:pPr>
      <w:bookmarkStart w:id="0" w:name="_GoBack"/>
      <w:bookmarkEnd w:id="0"/>
      <w:r>
        <w:rPr>
          <w:rFonts w:ascii="Times New Roman" w:hAnsi="Times New Roman"/>
          <w:sz w:val="24"/>
          <w:szCs w:val="24"/>
        </w:rPr>
        <w:t>ZIMBABWE NATIONAL WATER AUTHORITY</w:t>
      </w:r>
    </w:p>
    <w:p w14:paraId="45173D86" w14:textId="2D9A67C0" w:rsidR="004E11D3" w:rsidRPr="004E11D3" w:rsidRDefault="00BF77D3" w:rsidP="00BF77D3">
      <w:pPr>
        <w:spacing w:after="0" w:line="240" w:lineRule="auto"/>
        <w:rPr>
          <w:rFonts w:ascii="Times New Roman" w:hAnsi="Times New Roman"/>
          <w:sz w:val="24"/>
          <w:szCs w:val="24"/>
        </w:rPr>
      </w:pPr>
      <w:r>
        <w:rPr>
          <w:rFonts w:ascii="Times New Roman" w:hAnsi="Times New Roman"/>
          <w:sz w:val="24"/>
          <w:szCs w:val="24"/>
        </w:rPr>
        <w:t>v</w:t>
      </w:r>
      <w:r w:rsidR="004E11D3">
        <w:rPr>
          <w:rFonts w:ascii="Times New Roman" w:hAnsi="Times New Roman"/>
          <w:sz w:val="24"/>
          <w:szCs w:val="24"/>
        </w:rPr>
        <w:t>ersus</w:t>
      </w:r>
    </w:p>
    <w:p w14:paraId="27A026CE" w14:textId="0F1D3717" w:rsidR="004E11D3" w:rsidRPr="004E11D3" w:rsidRDefault="00B87274" w:rsidP="00BF77D3">
      <w:pPr>
        <w:spacing w:after="0" w:line="240" w:lineRule="auto"/>
        <w:rPr>
          <w:rFonts w:ascii="Times New Roman" w:hAnsi="Times New Roman"/>
          <w:sz w:val="24"/>
          <w:szCs w:val="24"/>
        </w:rPr>
      </w:pPr>
      <w:r>
        <w:rPr>
          <w:rFonts w:ascii="Times New Roman" w:hAnsi="Times New Roman"/>
          <w:sz w:val="24"/>
          <w:szCs w:val="24"/>
        </w:rPr>
        <w:t>PELLAVIN MARKETING (PRIVATE) LIMITED</w:t>
      </w:r>
    </w:p>
    <w:p w14:paraId="45FD809B" w14:textId="0D613BB0" w:rsidR="004E11D3" w:rsidRPr="004E11D3" w:rsidRDefault="008225DE" w:rsidP="00BF77D3">
      <w:pPr>
        <w:spacing w:after="0" w:line="240" w:lineRule="auto"/>
        <w:rPr>
          <w:rFonts w:ascii="Times New Roman" w:hAnsi="Times New Roman"/>
          <w:sz w:val="24"/>
          <w:szCs w:val="24"/>
        </w:rPr>
      </w:pPr>
      <w:r>
        <w:rPr>
          <w:rFonts w:ascii="Times New Roman" w:hAnsi="Times New Roman"/>
          <w:sz w:val="24"/>
          <w:szCs w:val="24"/>
        </w:rPr>
        <w:t>a</w:t>
      </w:r>
      <w:r w:rsidR="004E11D3" w:rsidRPr="004E11D3">
        <w:rPr>
          <w:rFonts w:ascii="Times New Roman" w:hAnsi="Times New Roman"/>
          <w:sz w:val="24"/>
          <w:szCs w:val="24"/>
        </w:rPr>
        <w:t>nd</w:t>
      </w:r>
      <w:r w:rsidR="00B81EDF">
        <w:rPr>
          <w:rFonts w:ascii="Times New Roman" w:hAnsi="Times New Roman"/>
          <w:sz w:val="24"/>
          <w:szCs w:val="24"/>
        </w:rPr>
        <w:tab/>
      </w:r>
    </w:p>
    <w:p w14:paraId="293B96FF" w14:textId="4FA59AAD" w:rsidR="004E11D3" w:rsidRPr="004E11D3" w:rsidRDefault="00B87274" w:rsidP="00BF77D3">
      <w:pPr>
        <w:spacing w:after="0" w:line="240" w:lineRule="auto"/>
        <w:rPr>
          <w:rFonts w:ascii="Times New Roman" w:hAnsi="Times New Roman"/>
          <w:sz w:val="24"/>
          <w:szCs w:val="24"/>
        </w:rPr>
      </w:pPr>
      <w:r>
        <w:rPr>
          <w:rFonts w:ascii="Times New Roman" w:hAnsi="Times New Roman"/>
          <w:sz w:val="24"/>
          <w:szCs w:val="24"/>
        </w:rPr>
        <w:t xml:space="preserve">TECLA MAPOTA N.O. </w:t>
      </w:r>
    </w:p>
    <w:p w14:paraId="78A5F081" w14:textId="77777777" w:rsidR="00BF77D3" w:rsidRDefault="00BF77D3" w:rsidP="00BF77D3">
      <w:pPr>
        <w:spacing w:after="0" w:line="240" w:lineRule="auto"/>
        <w:rPr>
          <w:rFonts w:ascii="Times New Roman" w:hAnsi="Times New Roman"/>
          <w:sz w:val="24"/>
          <w:szCs w:val="24"/>
        </w:rPr>
      </w:pPr>
    </w:p>
    <w:p w14:paraId="1F2BCDBE" w14:textId="77777777" w:rsidR="00B87274" w:rsidRDefault="00B87274" w:rsidP="00BF77D3">
      <w:pPr>
        <w:spacing w:after="0" w:line="240" w:lineRule="auto"/>
        <w:rPr>
          <w:rFonts w:ascii="Times New Roman" w:hAnsi="Times New Roman"/>
          <w:sz w:val="24"/>
          <w:szCs w:val="24"/>
        </w:rPr>
      </w:pPr>
    </w:p>
    <w:p w14:paraId="10F7C353" w14:textId="77777777" w:rsidR="00625DC2" w:rsidRDefault="00625DC2" w:rsidP="00BF77D3">
      <w:pPr>
        <w:spacing w:after="0" w:line="240" w:lineRule="auto"/>
        <w:rPr>
          <w:rFonts w:ascii="Times New Roman" w:hAnsi="Times New Roman"/>
          <w:sz w:val="24"/>
          <w:szCs w:val="24"/>
        </w:rPr>
      </w:pPr>
      <w:r>
        <w:rPr>
          <w:rFonts w:ascii="Times New Roman" w:hAnsi="Times New Roman"/>
          <w:sz w:val="24"/>
          <w:szCs w:val="24"/>
        </w:rPr>
        <w:t>HIGH COURT OF ZIMBABWE</w:t>
      </w:r>
    </w:p>
    <w:p w14:paraId="0C0CFAA2" w14:textId="180B44BB" w:rsidR="00625DC2" w:rsidRPr="00BF77D3" w:rsidRDefault="004E11D3" w:rsidP="00BF77D3">
      <w:pPr>
        <w:spacing w:after="0" w:line="240" w:lineRule="auto"/>
        <w:rPr>
          <w:rFonts w:ascii="Times New Roman" w:hAnsi="Times New Roman"/>
          <w:b/>
          <w:bCs/>
          <w:sz w:val="24"/>
          <w:szCs w:val="24"/>
        </w:rPr>
      </w:pPr>
      <w:r w:rsidRPr="00BF77D3">
        <w:rPr>
          <w:rFonts w:ascii="Times New Roman" w:hAnsi="Times New Roman"/>
          <w:b/>
          <w:bCs/>
          <w:sz w:val="24"/>
          <w:szCs w:val="24"/>
        </w:rPr>
        <w:t xml:space="preserve">MUSHURE </w:t>
      </w:r>
      <w:r w:rsidR="00625DC2" w:rsidRPr="00BF77D3">
        <w:rPr>
          <w:rFonts w:ascii="Times New Roman" w:hAnsi="Times New Roman"/>
          <w:b/>
          <w:bCs/>
          <w:sz w:val="24"/>
          <w:szCs w:val="24"/>
        </w:rPr>
        <w:t>J</w:t>
      </w:r>
    </w:p>
    <w:p w14:paraId="68F7C428" w14:textId="0F8EFAB4" w:rsidR="00625DC2" w:rsidRDefault="00625DC2" w:rsidP="00BF77D3">
      <w:pPr>
        <w:spacing w:after="0" w:line="240" w:lineRule="auto"/>
        <w:rPr>
          <w:rFonts w:ascii="Times New Roman" w:hAnsi="Times New Roman"/>
          <w:sz w:val="24"/>
          <w:szCs w:val="24"/>
        </w:rPr>
      </w:pPr>
      <w:r>
        <w:rPr>
          <w:rFonts w:ascii="Times New Roman" w:hAnsi="Times New Roman"/>
          <w:sz w:val="24"/>
          <w:szCs w:val="24"/>
        </w:rPr>
        <w:t xml:space="preserve">HARARE, </w:t>
      </w:r>
      <w:r w:rsidR="000F4D1A">
        <w:rPr>
          <w:rFonts w:ascii="Times New Roman" w:hAnsi="Times New Roman"/>
          <w:sz w:val="24"/>
          <w:szCs w:val="24"/>
        </w:rPr>
        <w:t xml:space="preserve">19 September &amp; 4 </w:t>
      </w:r>
      <w:r w:rsidR="008225DE">
        <w:rPr>
          <w:rFonts w:ascii="Times New Roman" w:hAnsi="Times New Roman"/>
          <w:sz w:val="24"/>
          <w:szCs w:val="24"/>
        </w:rPr>
        <w:t>November 2024</w:t>
      </w:r>
    </w:p>
    <w:p w14:paraId="042D324A" w14:textId="77777777" w:rsidR="00625DC2" w:rsidRDefault="00625DC2" w:rsidP="00BF77D3">
      <w:pPr>
        <w:spacing w:after="0" w:line="240" w:lineRule="auto"/>
        <w:rPr>
          <w:rFonts w:ascii="Times New Roman" w:hAnsi="Times New Roman"/>
          <w:sz w:val="24"/>
          <w:szCs w:val="24"/>
        </w:rPr>
      </w:pPr>
    </w:p>
    <w:p w14:paraId="596295BC" w14:textId="77777777" w:rsidR="00BF77D3" w:rsidRDefault="00BF77D3" w:rsidP="00BF77D3">
      <w:pPr>
        <w:spacing w:after="0" w:line="240" w:lineRule="auto"/>
        <w:rPr>
          <w:rFonts w:ascii="Times New Roman" w:hAnsi="Times New Roman"/>
          <w:sz w:val="24"/>
          <w:szCs w:val="24"/>
        </w:rPr>
      </w:pPr>
    </w:p>
    <w:p w14:paraId="54EEE8BE" w14:textId="6D64FAFE" w:rsidR="00625DC2" w:rsidRDefault="00B87274" w:rsidP="00BF77D3">
      <w:pPr>
        <w:spacing w:after="0"/>
        <w:rPr>
          <w:rFonts w:ascii="Times New Roman" w:hAnsi="Times New Roman"/>
          <w:b/>
          <w:sz w:val="24"/>
          <w:szCs w:val="24"/>
        </w:rPr>
      </w:pPr>
      <w:r>
        <w:rPr>
          <w:rFonts w:ascii="Times New Roman" w:hAnsi="Times New Roman"/>
          <w:b/>
          <w:sz w:val="24"/>
          <w:szCs w:val="24"/>
        </w:rPr>
        <w:t xml:space="preserve">Opposed </w:t>
      </w:r>
      <w:r w:rsidR="00105155">
        <w:rPr>
          <w:rFonts w:ascii="Times New Roman" w:hAnsi="Times New Roman"/>
          <w:b/>
          <w:sz w:val="24"/>
          <w:szCs w:val="24"/>
        </w:rPr>
        <w:t>M</w:t>
      </w:r>
      <w:r>
        <w:rPr>
          <w:rFonts w:ascii="Times New Roman" w:hAnsi="Times New Roman"/>
          <w:b/>
          <w:sz w:val="24"/>
          <w:szCs w:val="24"/>
        </w:rPr>
        <w:t>atter</w:t>
      </w:r>
      <w:r w:rsidR="00BC1084">
        <w:rPr>
          <w:rFonts w:ascii="Times New Roman" w:hAnsi="Times New Roman"/>
          <w:b/>
          <w:sz w:val="24"/>
          <w:szCs w:val="24"/>
        </w:rPr>
        <w:t>- setting aside of an arbitral ruling</w:t>
      </w:r>
      <w:r w:rsidR="00C41D48">
        <w:rPr>
          <w:rFonts w:ascii="Times New Roman" w:hAnsi="Times New Roman"/>
          <w:b/>
          <w:sz w:val="24"/>
          <w:szCs w:val="24"/>
        </w:rPr>
        <w:t xml:space="preserve"> </w:t>
      </w:r>
    </w:p>
    <w:p w14:paraId="6C63B323" w14:textId="77777777" w:rsidR="00625DC2" w:rsidRDefault="00625DC2" w:rsidP="00625DC2">
      <w:pPr>
        <w:spacing w:after="0"/>
        <w:rPr>
          <w:rFonts w:ascii="Times New Roman" w:hAnsi="Times New Roman"/>
          <w:sz w:val="24"/>
          <w:szCs w:val="24"/>
        </w:rPr>
      </w:pPr>
    </w:p>
    <w:p w14:paraId="0ED059EE" w14:textId="77777777" w:rsidR="00BF77D3" w:rsidRPr="00C65374" w:rsidRDefault="00BF77D3" w:rsidP="00625DC2">
      <w:pPr>
        <w:spacing w:after="0"/>
        <w:rPr>
          <w:rFonts w:ascii="Times New Roman" w:hAnsi="Times New Roman"/>
          <w:sz w:val="24"/>
          <w:szCs w:val="24"/>
        </w:rPr>
      </w:pPr>
    </w:p>
    <w:p w14:paraId="73CA0E30" w14:textId="0868257B" w:rsidR="00C41D48" w:rsidRDefault="00B87274" w:rsidP="00BF77D3">
      <w:pPr>
        <w:spacing w:after="0" w:line="240" w:lineRule="auto"/>
        <w:rPr>
          <w:rFonts w:ascii="Times New Roman" w:hAnsi="Times New Roman"/>
          <w:sz w:val="24"/>
          <w:szCs w:val="24"/>
        </w:rPr>
      </w:pPr>
      <w:r w:rsidRPr="00163951">
        <w:rPr>
          <w:rFonts w:ascii="Times New Roman" w:hAnsi="Times New Roman"/>
          <w:i/>
          <w:iCs/>
          <w:sz w:val="24"/>
          <w:szCs w:val="24"/>
        </w:rPr>
        <w:t>B</w:t>
      </w:r>
      <w:r>
        <w:rPr>
          <w:rFonts w:ascii="Times New Roman" w:hAnsi="Times New Roman"/>
          <w:sz w:val="24"/>
          <w:szCs w:val="24"/>
        </w:rPr>
        <w:t xml:space="preserve"> </w:t>
      </w:r>
      <w:r w:rsidRPr="00B87274">
        <w:rPr>
          <w:rFonts w:ascii="Times New Roman" w:hAnsi="Times New Roman"/>
          <w:i/>
          <w:sz w:val="24"/>
          <w:szCs w:val="24"/>
        </w:rPr>
        <w:t>Mahuni</w:t>
      </w:r>
      <w:r w:rsidR="00163951">
        <w:rPr>
          <w:rFonts w:ascii="Times New Roman" w:hAnsi="Times New Roman"/>
          <w:i/>
          <w:sz w:val="24"/>
          <w:szCs w:val="24"/>
        </w:rPr>
        <w:t>,</w:t>
      </w:r>
      <w:r>
        <w:rPr>
          <w:rFonts w:ascii="Times New Roman" w:hAnsi="Times New Roman"/>
          <w:sz w:val="24"/>
          <w:szCs w:val="24"/>
        </w:rPr>
        <w:t xml:space="preserve"> </w:t>
      </w:r>
      <w:r w:rsidR="00C41D48">
        <w:rPr>
          <w:rFonts w:ascii="Times New Roman" w:hAnsi="Times New Roman"/>
          <w:sz w:val="24"/>
          <w:szCs w:val="24"/>
        </w:rPr>
        <w:t xml:space="preserve">for the </w:t>
      </w:r>
      <w:r w:rsidR="000C1827">
        <w:rPr>
          <w:rFonts w:ascii="Times New Roman" w:hAnsi="Times New Roman"/>
          <w:sz w:val="24"/>
          <w:szCs w:val="24"/>
        </w:rPr>
        <w:t>applicant</w:t>
      </w:r>
      <w:r w:rsidR="00C41D48">
        <w:rPr>
          <w:rFonts w:ascii="Times New Roman" w:hAnsi="Times New Roman"/>
          <w:sz w:val="24"/>
          <w:szCs w:val="24"/>
        </w:rPr>
        <w:t xml:space="preserve"> </w:t>
      </w:r>
    </w:p>
    <w:p w14:paraId="47D53D6A" w14:textId="282275A6" w:rsidR="004A36F5" w:rsidRDefault="00B87274" w:rsidP="004A36F5">
      <w:pPr>
        <w:spacing w:after="0" w:line="240" w:lineRule="auto"/>
        <w:rPr>
          <w:rFonts w:ascii="Times New Roman" w:hAnsi="Times New Roman"/>
          <w:sz w:val="24"/>
          <w:szCs w:val="24"/>
        </w:rPr>
      </w:pPr>
      <w:r w:rsidRPr="00163951">
        <w:rPr>
          <w:rFonts w:ascii="Times New Roman" w:hAnsi="Times New Roman"/>
          <w:i/>
          <w:iCs/>
          <w:sz w:val="24"/>
          <w:szCs w:val="24"/>
        </w:rPr>
        <w:t>B D</w:t>
      </w:r>
      <w:r w:rsidR="000C1827">
        <w:rPr>
          <w:rFonts w:ascii="Times New Roman" w:hAnsi="Times New Roman"/>
          <w:sz w:val="24"/>
          <w:szCs w:val="24"/>
        </w:rPr>
        <w:t xml:space="preserve"> </w:t>
      </w:r>
      <w:r>
        <w:rPr>
          <w:rFonts w:ascii="Times New Roman" w:hAnsi="Times New Roman"/>
          <w:i/>
          <w:sz w:val="24"/>
          <w:szCs w:val="24"/>
        </w:rPr>
        <w:t>Ndoro</w:t>
      </w:r>
      <w:r w:rsidR="00163951">
        <w:rPr>
          <w:rFonts w:ascii="Times New Roman" w:hAnsi="Times New Roman"/>
          <w:i/>
          <w:sz w:val="24"/>
          <w:szCs w:val="24"/>
        </w:rPr>
        <w:t>,</w:t>
      </w:r>
      <w:r w:rsidR="000C1827">
        <w:rPr>
          <w:rFonts w:ascii="Times New Roman" w:hAnsi="Times New Roman"/>
          <w:sz w:val="24"/>
          <w:szCs w:val="24"/>
        </w:rPr>
        <w:t xml:space="preserve"> for the </w:t>
      </w:r>
      <w:r w:rsidR="00163951">
        <w:rPr>
          <w:rFonts w:ascii="Times New Roman" w:hAnsi="Times New Roman"/>
          <w:sz w:val="24"/>
          <w:szCs w:val="24"/>
        </w:rPr>
        <w:t>1</w:t>
      </w:r>
      <w:r w:rsidR="00163951" w:rsidRPr="00163951">
        <w:rPr>
          <w:rFonts w:ascii="Times New Roman" w:hAnsi="Times New Roman"/>
          <w:sz w:val="24"/>
          <w:szCs w:val="24"/>
          <w:vertAlign w:val="superscript"/>
        </w:rPr>
        <w:t xml:space="preserve">st </w:t>
      </w:r>
      <w:r w:rsidR="00163951">
        <w:rPr>
          <w:rFonts w:ascii="Times New Roman" w:hAnsi="Times New Roman"/>
          <w:sz w:val="24"/>
          <w:szCs w:val="24"/>
        </w:rPr>
        <w:t xml:space="preserve"> </w:t>
      </w:r>
      <w:r w:rsidR="000C1827">
        <w:rPr>
          <w:rFonts w:ascii="Times New Roman" w:hAnsi="Times New Roman"/>
          <w:sz w:val="24"/>
          <w:szCs w:val="24"/>
        </w:rPr>
        <w:t xml:space="preserve">respondent </w:t>
      </w:r>
    </w:p>
    <w:p w14:paraId="306415FB" w14:textId="594ED975" w:rsidR="000C1827" w:rsidRDefault="000C1827" w:rsidP="004A36F5">
      <w:pPr>
        <w:spacing w:after="0" w:line="240" w:lineRule="auto"/>
        <w:rPr>
          <w:rFonts w:ascii="Times New Roman" w:hAnsi="Times New Roman"/>
          <w:sz w:val="24"/>
          <w:szCs w:val="24"/>
        </w:rPr>
      </w:pPr>
      <w:r>
        <w:rPr>
          <w:rFonts w:ascii="Times New Roman" w:hAnsi="Times New Roman"/>
          <w:sz w:val="24"/>
          <w:szCs w:val="24"/>
        </w:rPr>
        <w:t>No appe</w:t>
      </w:r>
      <w:r w:rsidR="00B87274">
        <w:rPr>
          <w:rFonts w:ascii="Times New Roman" w:hAnsi="Times New Roman"/>
          <w:sz w:val="24"/>
          <w:szCs w:val="24"/>
        </w:rPr>
        <w:t>arance for the second respondent</w:t>
      </w:r>
      <w:r>
        <w:rPr>
          <w:rFonts w:ascii="Times New Roman" w:hAnsi="Times New Roman"/>
          <w:sz w:val="24"/>
          <w:szCs w:val="24"/>
        </w:rPr>
        <w:t xml:space="preserve"> </w:t>
      </w:r>
    </w:p>
    <w:p w14:paraId="73320F75" w14:textId="77777777" w:rsidR="00625DC2" w:rsidRDefault="00625DC2" w:rsidP="00BF77D3">
      <w:pPr>
        <w:spacing w:after="0" w:line="240" w:lineRule="auto"/>
        <w:rPr>
          <w:rFonts w:ascii="Times New Roman" w:hAnsi="Times New Roman"/>
          <w:sz w:val="24"/>
          <w:szCs w:val="24"/>
        </w:rPr>
      </w:pPr>
    </w:p>
    <w:p w14:paraId="6287EDC5" w14:textId="77777777" w:rsidR="00625DC2" w:rsidRPr="00926E00" w:rsidRDefault="00625DC2" w:rsidP="00BF77D3">
      <w:pPr>
        <w:spacing w:after="0" w:line="240" w:lineRule="auto"/>
        <w:rPr>
          <w:rFonts w:ascii="Times New Roman" w:hAnsi="Times New Roman"/>
          <w:sz w:val="24"/>
          <w:szCs w:val="24"/>
        </w:rPr>
      </w:pPr>
    </w:p>
    <w:p w14:paraId="4D52BF32" w14:textId="3A10A882" w:rsidR="00012076" w:rsidRDefault="004E11D3" w:rsidP="00926E00">
      <w:pPr>
        <w:spacing w:line="360" w:lineRule="auto"/>
        <w:jc w:val="both"/>
        <w:rPr>
          <w:rFonts w:ascii="Times New Roman" w:hAnsi="Times New Roman" w:cs="Times New Roman"/>
          <w:sz w:val="24"/>
          <w:szCs w:val="24"/>
        </w:rPr>
      </w:pPr>
      <w:r w:rsidRPr="00926E00">
        <w:rPr>
          <w:rFonts w:ascii="Times New Roman" w:hAnsi="Times New Roman" w:cs="Times New Roman"/>
          <w:sz w:val="24"/>
          <w:szCs w:val="24"/>
        </w:rPr>
        <w:t>MUSHURE</w:t>
      </w:r>
      <w:r w:rsidR="00403C85" w:rsidRPr="00926E00">
        <w:rPr>
          <w:rFonts w:ascii="Times New Roman" w:hAnsi="Times New Roman" w:cs="Times New Roman"/>
          <w:sz w:val="24"/>
          <w:szCs w:val="24"/>
        </w:rPr>
        <w:t xml:space="preserve"> J</w:t>
      </w:r>
      <w:r w:rsidR="00522191" w:rsidRPr="00926E00">
        <w:rPr>
          <w:rFonts w:ascii="Times New Roman" w:hAnsi="Times New Roman" w:cs="Times New Roman"/>
          <w:sz w:val="24"/>
          <w:szCs w:val="24"/>
        </w:rPr>
        <w:t>:</w:t>
      </w:r>
      <w:r w:rsidR="00012076">
        <w:rPr>
          <w:rFonts w:ascii="Times New Roman" w:hAnsi="Times New Roman" w:cs="Times New Roman"/>
          <w:sz w:val="24"/>
          <w:szCs w:val="24"/>
        </w:rPr>
        <w:tab/>
      </w:r>
    </w:p>
    <w:p w14:paraId="748360F3" w14:textId="4E1F944E" w:rsidR="00C41D48" w:rsidRPr="005D4B47" w:rsidRDefault="0088404B" w:rsidP="00926E00">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2C43BAB" w14:textId="77777777" w:rsidR="00DA2A97" w:rsidRDefault="002D0002" w:rsidP="00BF77D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in this matter seeks an order to set aside </w:t>
      </w:r>
      <w:r w:rsidR="009050BB">
        <w:rPr>
          <w:rFonts w:ascii="Times New Roman" w:hAnsi="Times New Roman" w:cs="Times New Roman"/>
          <w:sz w:val="24"/>
          <w:szCs w:val="24"/>
        </w:rPr>
        <w:t xml:space="preserve">an arbitral ruling </w:t>
      </w:r>
    </w:p>
    <w:p w14:paraId="6BCAD428" w14:textId="21610CE7" w:rsidR="00327AFF" w:rsidRDefault="00D6331C" w:rsidP="00BF77D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0002">
        <w:rPr>
          <w:rFonts w:ascii="Times New Roman" w:hAnsi="Times New Roman" w:cs="Times New Roman"/>
          <w:sz w:val="24"/>
          <w:szCs w:val="24"/>
        </w:rPr>
        <w:t>issued by the second respondent on 16 May 2024 in the arbitration proceedings between the applicant and the first respondent. Sp</w:t>
      </w:r>
      <w:r w:rsidR="00400FA1">
        <w:rPr>
          <w:rFonts w:ascii="Times New Roman" w:hAnsi="Times New Roman" w:cs="Times New Roman"/>
          <w:sz w:val="24"/>
          <w:szCs w:val="24"/>
        </w:rPr>
        <w:t xml:space="preserve">ecifically, the applicant prays for </w:t>
      </w:r>
      <w:r w:rsidR="002D0002">
        <w:rPr>
          <w:rFonts w:ascii="Times New Roman" w:hAnsi="Times New Roman" w:cs="Times New Roman"/>
          <w:sz w:val="24"/>
          <w:szCs w:val="24"/>
        </w:rPr>
        <w:t xml:space="preserve">the </w:t>
      </w:r>
      <w:r w:rsidR="000D1CD8">
        <w:rPr>
          <w:rFonts w:ascii="Times New Roman" w:hAnsi="Times New Roman" w:cs="Times New Roman"/>
          <w:sz w:val="24"/>
          <w:szCs w:val="24"/>
        </w:rPr>
        <w:t xml:space="preserve">substitution of the </w:t>
      </w:r>
      <w:r w:rsidR="002D0002">
        <w:rPr>
          <w:rFonts w:ascii="Times New Roman" w:hAnsi="Times New Roman" w:cs="Times New Roman"/>
          <w:sz w:val="24"/>
          <w:szCs w:val="24"/>
        </w:rPr>
        <w:t xml:space="preserve">arbitrator’s finding that </w:t>
      </w:r>
      <w:r w:rsidR="0088404B">
        <w:rPr>
          <w:rFonts w:ascii="Times New Roman" w:hAnsi="Times New Roman" w:cs="Times New Roman"/>
          <w:sz w:val="24"/>
          <w:szCs w:val="24"/>
        </w:rPr>
        <w:t>she had jurisdiction to hear the dispute between the applicant and the first respondent</w:t>
      </w:r>
      <w:r w:rsidR="002D0002">
        <w:rPr>
          <w:rFonts w:ascii="Times New Roman" w:hAnsi="Times New Roman" w:cs="Times New Roman"/>
          <w:sz w:val="24"/>
          <w:szCs w:val="24"/>
        </w:rPr>
        <w:t xml:space="preserve"> with an order</w:t>
      </w:r>
      <w:r w:rsidR="00400FA1">
        <w:rPr>
          <w:rFonts w:ascii="Times New Roman" w:hAnsi="Times New Roman" w:cs="Times New Roman"/>
          <w:sz w:val="24"/>
          <w:szCs w:val="24"/>
        </w:rPr>
        <w:t xml:space="preserve"> that the arbitral tribunal did</w:t>
      </w:r>
      <w:r w:rsidR="002D0002">
        <w:rPr>
          <w:rFonts w:ascii="Times New Roman" w:hAnsi="Times New Roman" w:cs="Times New Roman"/>
          <w:sz w:val="24"/>
          <w:szCs w:val="24"/>
        </w:rPr>
        <w:t xml:space="preserve"> not have jurisdiction to hear the dispute. </w:t>
      </w:r>
      <w:r w:rsidR="0088404B">
        <w:rPr>
          <w:rFonts w:ascii="Times New Roman" w:hAnsi="Times New Roman" w:cs="Times New Roman"/>
          <w:sz w:val="24"/>
          <w:szCs w:val="24"/>
        </w:rPr>
        <w:t xml:space="preserve"> </w:t>
      </w:r>
    </w:p>
    <w:p w14:paraId="2C895D50" w14:textId="399C832F" w:rsidR="0088404B" w:rsidRPr="0088404B" w:rsidRDefault="0088404B" w:rsidP="0088404B">
      <w:pPr>
        <w:spacing w:line="360" w:lineRule="auto"/>
        <w:jc w:val="both"/>
        <w:rPr>
          <w:rFonts w:ascii="Times New Roman" w:hAnsi="Times New Roman" w:cs="Times New Roman"/>
          <w:b/>
          <w:sz w:val="24"/>
          <w:szCs w:val="24"/>
        </w:rPr>
      </w:pPr>
      <w:r w:rsidRPr="0088404B">
        <w:rPr>
          <w:rFonts w:ascii="Times New Roman" w:hAnsi="Times New Roman" w:cs="Times New Roman"/>
          <w:b/>
          <w:sz w:val="24"/>
          <w:szCs w:val="24"/>
        </w:rPr>
        <w:t>Factual background</w:t>
      </w:r>
    </w:p>
    <w:p w14:paraId="1DDCF106" w14:textId="4F6A50C5" w:rsidR="00FA707A" w:rsidRDefault="002D0002" w:rsidP="00844C4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facts on which the decision of the</w:t>
      </w:r>
      <w:r w:rsidR="00FA707A">
        <w:rPr>
          <w:rFonts w:ascii="Times New Roman" w:hAnsi="Times New Roman" w:cs="Times New Roman"/>
          <w:sz w:val="24"/>
          <w:szCs w:val="24"/>
        </w:rPr>
        <w:t xml:space="preserve"> arbitrator was made can be </w:t>
      </w:r>
      <w:r w:rsidR="00163951">
        <w:rPr>
          <w:rFonts w:ascii="Times New Roman" w:hAnsi="Times New Roman" w:cs="Times New Roman"/>
          <w:sz w:val="24"/>
          <w:szCs w:val="24"/>
        </w:rPr>
        <w:t>summarized</w:t>
      </w:r>
      <w:r w:rsidR="00FA707A">
        <w:rPr>
          <w:rFonts w:ascii="Times New Roman" w:hAnsi="Times New Roman" w:cs="Times New Roman"/>
          <w:sz w:val="24"/>
          <w:szCs w:val="24"/>
        </w:rPr>
        <w:t xml:space="preserve"> as follows</w:t>
      </w:r>
      <w:r w:rsidR="000D1CD8">
        <w:rPr>
          <w:rFonts w:ascii="Times New Roman" w:hAnsi="Times New Roman" w:cs="Times New Roman"/>
          <w:sz w:val="24"/>
          <w:szCs w:val="24"/>
        </w:rPr>
        <w:t>:-</w:t>
      </w:r>
      <w:r>
        <w:rPr>
          <w:rFonts w:ascii="Times New Roman" w:hAnsi="Times New Roman" w:cs="Times New Roman"/>
          <w:sz w:val="24"/>
          <w:szCs w:val="24"/>
        </w:rPr>
        <w:t xml:space="preserve"> S</w:t>
      </w:r>
      <w:r w:rsidR="00D742FA" w:rsidRPr="006C547E">
        <w:rPr>
          <w:rFonts w:ascii="Times New Roman" w:hAnsi="Times New Roman" w:cs="Times New Roman"/>
          <w:sz w:val="24"/>
          <w:szCs w:val="24"/>
        </w:rPr>
        <w:t xml:space="preserve">ometime in January 2022, the applicant and the first respondent engaged in a business transaction for the supply of branding services. </w:t>
      </w:r>
      <w:r w:rsidR="00844C4A">
        <w:rPr>
          <w:rFonts w:ascii="Times New Roman" w:hAnsi="Times New Roman" w:cs="Times New Roman"/>
          <w:sz w:val="24"/>
          <w:szCs w:val="24"/>
        </w:rPr>
        <w:t>T</w:t>
      </w:r>
      <w:r w:rsidR="00D742FA" w:rsidRPr="006C547E">
        <w:rPr>
          <w:rFonts w:ascii="Times New Roman" w:hAnsi="Times New Roman" w:cs="Times New Roman"/>
          <w:sz w:val="24"/>
          <w:szCs w:val="24"/>
        </w:rPr>
        <w:t>he terms of the</w:t>
      </w:r>
      <w:r w:rsidR="004E388F">
        <w:rPr>
          <w:rFonts w:ascii="Times New Roman" w:hAnsi="Times New Roman" w:cs="Times New Roman"/>
          <w:sz w:val="24"/>
          <w:szCs w:val="24"/>
        </w:rPr>
        <w:t>ir</w:t>
      </w:r>
      <w:r w:rsidR="000D1CD8">
        <w:rPr>
          <w:rFonts w:ascii="Times New Roman" w:hAnsi="Times New Roman" w:cs="Times New Roman"/>
          <w:sz w:val="24"/>
          <w:szCs w:val="24"/>
        </w:rPr>
        <w:t xml:space="preserve"> agreement were reduced </w:t>
      </w:r>
      <w:r w:rsidR="00D742FA" w:rsidRPr="006C547E">
        <w:rPr>
          <w:rFonts w:ascii="Times New Roman" w:hAnsi="Times New Roman" w:cs="Times New Roman"/>
          <w:sz w:val="24"/>
          <w:szCs w:val="24"/>
        </w:rPr>
        <w:t xml:space="preserve">to writing. </w:t>
      </w:r>
      <w:r w:rsidR="00844C4A">
        <w:rPr>
          <w:rFonts w:ascii="Times New Roman" w:hAnsi="Times New Roman" w:cs="Times New Roman"/>
          <w:sz w:val="24"/>
          <w:szCs w:val="24"/>
        </w:rPr>
        <w:t xml:space="preserve">The </w:t>
      </w:r>
      <w:r w:rsidR="00D742FA" w:rsidRPr="006C547E">
        <w:rPr>
          <w:rFonts w:ascii="Times New Roman" w:hAnsi="Times New Roman" w:cs="Times New Roman"/>
          <w:sz w:val="24"/>
          <w:szCs w:val="24"/>
        </w:rPr>
        <w:t>agreement contained a</w:t>
      </w:r>
      <w:r w:rsidR="006C547E" w:rsidRPr="006C547E">
        <w:rPr>
          <w:rFonts w:ascii="Times New Roman" w:hAnsi="Times New Roman" w:cs="Times New Roman"/>
          <w:sz w:val="24"/>
          <w:szCs w:val="24"/>
        </w:rPr>
        <w:t>n arbitration</w:t>
      </w:r>
      <w:r w:rsidR="00D742FA" w:rsidRPr="006C547E">
        <w:rPr>
          <w:rFonts w:ascii="Times New Roman" w:hAnsi="Times New Roman" w:cs="Times New Roman"/>
          <w:sz w:val="24"/>
          <w:szCs w:val="24"/>
        </w:rPr>
        <w:t xml:space="preserve"> clause</w:t>
      </w:r>
      <w:r w:rsidR="006C547E">
        <w:rPr>
          <w:rFonts w:ascii="Times New Roman" w:hAnsi="Times New Roman" w:cs="Times New Roman"/>
          <w:sz w:val="24"/>
          <w:szCs w:val="24"/>
        </w:rPr>
        <w:t xml:space="preserve">. </w:t>
      </w:r>
      <w:r w:rsidR="00D742FA" w:rsidRPr="006C547E">
        <w:rPr>
          <w:rFonts w:ascii="Times New Roman" w:hAnsi="Times New Roman" w:cs="Times New Roman"/>
          <w:sz w:val="24"/>
          <w:szCs w:val="24"/>
        </w:rPr>
        <w:t xml:space="preserve">The first respondent signed the agreement </w:t>
      </w:r>
      <w:r w:rsidR="00844C4A">
        <w:rPr>
          <w:rFonts w:ascii="Times New Roman" w:hAnsi="Times New Roman" w:cs="Times New Roman"/>
          <w:sz w:val="24"/>
          <w:szCs w:val="24"/>
        </w:rPr>
        <w:t xml:space="preserve">on 26 June 2022 </w:t>
      </w:r>
      <w:r w:rsidR="00D742FA" w:rsidRPr="006C547E">
        <w:rPr>
          <w:rFonts w:ascii="Times New Roman" w:hAnsi="Times New Roman" w:cs="Times New Roman"/>
          <w:sz w:val="24"/>
          <w:szCs w:val="24"/>
        </w:rPr>
        <w:t xml:space="preserve">and transmitted it to the </w:t>
      </w:r>
      <w:r w:rsidR="00844C4A">
        <w:rPr>
          <w:rFonts w:ascii="Times New Roman" w:hAnsi="Times New Roman" w:cs="Times New Roman"/>
          <w:sz w:val="24"/>
          <w:szCs w:val="24"/>
        </w:rPr>
        <w:t>applicant on 26 July 2022</w:t>
      </w:r>
      <w:r w:rsidR="004E388F">
        <w:rPr>
          <w:rFonts w:ascii="Times New Roman" w:hAnsi="Times New Roman" w:cs="Times New Roman"/>
          <w:sz w:val="24"/>
          <w:szCs w:val="24"/>
        </w:rPr>
        <w:t xml:space="preserve"> for signing</w:t>
      </w:r>
      <w:r w:rsidR="00844C4A">
        <w:rPr>
          <w:rFonts w:ascii="Times New Roman" w:hAnsi="Times New Roman" w:cs="Times New Roman"/>
          <w:sz w:val="24"/>
          <w:szCs w:val="24"/>
        </w:rPr>
        <w:t>.</w:t>
      </w:r>
      <w:r w:rsidR="00D742FA" w:rsidRPr="006C547E">
        <w:rPr>
          <w:rFonts w:ascii="Times New Roman" w:hAnsi="Times New Roman" w:cs="Times New Roman"/>
          <w:sz w:val="24"/>
          <w:szCs w:val="24"/>
        </w:rPr>
        <w:t xml:space="preserve"> </w:t>
      </w:r>
      <w:r w:rsidR="00844C4A">
        <w:rPr>
          <w:rFonts w:ascii="Times New Roman" w:hAnsi="Times New Roman" w:cs="Times New Roman"/>
          <w:sz w:val="24"/>
          <w:szCs w:val="24"/>
        </w:rPr>
        <w:t xml:space="preserve">However, the agreement was never returned. </w:t>
      </w:r>
    </w:p>
    <w:p w14:paraId="3E8A2DDB" w14:textId="56FC0F90" w:rsidR="006C547E" w:rsidRPr="00844C4A" w:rsidRDefault="00FA707A" w:rsidP="00844C4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the fact that the agreement was not signed, t</w:t>
      </w:r>
      <w:r w:rsidR="000D1CD8">
        <w:rPr>
          <w:rFonts w:ascii="Times New Roman" w:hAnsi="Times New Roman" w:cs="Times New Roman"/>
          <w:sz w:val="24"/>
          <w:szCs w:val="24"/>
        </w:rPr>
        <w:t>he first respondent alleges</w:t>
      </w:r>
      <w:r w:rsidR="00844C4A">
        <w:rPr>
          <w:rFonts w:ascii="Times New Roman" w:hAnsi="Times New Roman" w:cs="Times New Roman"/>
          <w:sz w:val="24"/>
          <w:szCs w:val="24"/>
        </w:rPr>
        <w:t xml:space="preserve"> that it rendered some services to the applicant on the strength</w:t>
      </w:r>
      <w:r>
        <w:rPr>
          <w:rFonts w:ascii="Times New Roman" w:hAnsi="Times New Roman" w:cs="Times New Roman"/>
          <w:sz w:val="24"/>
          <w:szCs w:val="24"/>
        </w:rPr>
        <w:t xml:space="preserve"> of that</w:t>
      </w:r>
      <w:r w:rsidR="00844C4A">
        <w:rPr>
          <w:rFonts w:ascii="Times New Roman" w:hAnsi="Times New Roman" w:cs="Times New Roman"/>
          <w:sz w:val="24"/>
          <w:szCs w:val="24"/>
        </w:rPr>
        <w:t xml:space="preserve"> unsigned agreement. The </w:t>
      </w:r>
      <w:r w:rsidR="006C547E" w:rsidRPr="00844C4A">
        <w:rPr>
          <w:rFonts w:ascii="Times New Roman" w:hAnsi="Times New Roman" w:cs="Times New Roman"/>
          <w:sz w:val="24"/>
          <w:szCs w:val="24"/>
        </w:rPr>
        <w:t xml:space="preserve">first respondent </w:t>
      </w:r>
      <w:r w:rsidR="00844C4A">
        <w:rPr>
          <w:rFonts w:ascii="Times New Roman" w:hAnsi="Times New Roman" w:cs="Times New Roman"/>
          <w:sz w:val="24"/>
          <w:szCs w:val="24"/>
        </w:rPr>
        <w:t xml:space="preserve">consequently </w:t>
      </w:r>
      <w:r w:rsidR="006C547E" w:rsidRPr="00844C4A">
        <w:rPr>
          <w:rFonts w:ascii="Times New Roman" w:hAnsi="Times New Roman" w:cs="Times New Roman"/>
          <w:sz w:val="24"/>
          <w:szCs w:val="24"/>
        </w:rPr>
        <w:t>sought payme</w:t>
      </w:r>
      <w:r w:rsidR="00844C4A">
        <w:rPr>
          <w:rFonts w:ascii="Times New Roman" w:hAnsi="Times New Roman" w:cs="Times New Roman"/>
          <w:sz w:val="24"/>
          <w:szCs w:val="24"/>
        </w:rPr>
        <w:t xml:space="preserve">nt for the services. When it became clear that the applicant was not willing to pay for the services rendered, </w:t>
      </w:r>
      <w:r>
        <w:rPr>
          <w:rFonts w:ascii="Times New Roman" w:hAnsi="Times New Roman" w:cs="Times New Roman"/>
          <w:sz w:val="24"/>
          <w:szCs w:val="24"/>
        </w:rPr>
        <w:t xml:space="preserve">the </w:t>
      </w:r>
      <w:r w:rsidR="006C547E" w:rsidRPr="00844C4A">
        <w:rPr>
          <w:rFonts w:ascii="Times New Roman" w:hAnsi="Times New Roman" w:cs="Times New Roman"/>
          <w:sz w:val="24"/>
          <w:szCs w:val="24"/>
        </w:rPr>
        <w:t>first respondent then referr</w:t>
      </w:r>
      <w:r>
        <w:rPr>
          <w:rFonts w:ascii="Times New Roman" w:hAnsi="Times New Roman" w:cs="Times New Roman"/>
          <w:sz w:val="24"/>
          <w:szCs w:val="24"/>
        </w:rPr>
        <w:t>ed the matter for arbitration</w:t>
      </w:r>
      <w:r w:rsidR="006C547E" w:rsidRPr="00844C4A">
        <w:rPr>
          <w:rFonts w:ascii="Times New Roman" w:hAnsi="Times New Roman" w:cs="Times New Roman"/>
          <w:sz w:val="24"/>
          <w:szCs w:val="24"/>
        </w:rPr>
        <w:t xml:space="preserve">. </w:t>
      </w:r>
    </w:p>
    <w:p w14:paraId="6232E9DA" w14:textId="717432C7" w:rsidR="009050BB" w:rsidRDefault="00D742FA" w:rsidP="00BF77D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At the first pre-arbitration hearing, the applicant raised a preliminary point to the effect that the arbitrator did not have jurisdictio</w:t>
      </w:r>
      <w:r w:rsidR="00844C4A">
        <w:rPr>
          <w:rFonts w:ascii="Times New Roman" w:hAnsi="Times New Roman" w:cs="Times New Roman"/>
          <w:sz w:val="24"/>
          <w:szCs w:val="24"/>
        </w:rPr>
        <w:t>n to hear the matter. The basis for the objection was that t</w:t>
      </w:r>
      <w:r w:rsidR="006C547E">
        <w:rPr>
          <w:rFonts w:ascii="Times New Roman" w:hAnsi="Times New Roman" w:cs="Times New Roman"/>
          <w:sz w:val="24"/>
          <w:szCs w:val="24"/>
        </w:rPr>
        <w:t>he agreement had not been signed by both parties</w:t>
      </w:r>
      <w:r w:rsidR="00BA7B48">
        <w:rPr>
          <w:rFonts w:ascii="Times New Roman" w:hAnsi="Times New Roman" w:cs="Times New Roman"/>
          <w:sz w:val="24"/>
          <w:szCs w:val="24"/>
        </w:rPr>
        <w:t xml:space="preserve"> t</w:t>
      </w:r>
      <w:r w:rsidR="006C547E">
        <w:rPr>
          <w:rFonts w:ascii="Times New Roman" w:hAnsi="Times New Roman" w:cs="Times New Roman"/>
          <w:sz w:val="24"/>
          <w:szCs w:val="24"/>
        </w:rPr>
        <w:t>herefore</w:t>
      </w:r>
      <w:r w:rsidR="00844C4A">
        <w:rPr>
          <w:rFonts w:ascii="Times New Roman" w:hAnsi="Times New Roman" w:cs="Times New Roman"/>
          <w:sz w:val="24"/>
          <w:szCs w:val="24"/>
        </w:rPr>
        <w:t>,</w:t>
      </w:r>
      <w:r w:rsidR="006C547E">
        <w:rPr>
          <w:rFonts w:ascii="Times New Roman" w:hAnsi="Times New Roman" w:cs="Times New Roman"/>
          <w:sz w:val="24"/>
          <w:szCs w:val="24"/>
        </w:rPr>
        <w:t xml:space="preserve"> the first r</w:t>
      </w:r>
      <w:r w:rsidR="00BA7B48">
        <w:rPr>
          <w:rFonts w:ascii="Times New Roman" w:hAnsi="Times New Roman" w:cs="Times New Roman"/>
          <w:sz w:val="24"/>
          <w:szCs w:val="24"/>
        </w:rPr>
        <w:t xml:space="preserve">espondent could not rely on an </w:t>
      </w:r>
      <w:r w:rsidR="006C547E">
        <w:rPr>
          <w:rFonts w:ascii="Times New Roman" w:hAnsi="Times New Roman" w:cs="Times New Roman"/>
          <w:sz w:val="24"/>
          <w:szCs w:val="24"/>
        </w:rPr>
        <w:t xml:space="preserve">unsigned agreement to refer the matter to arbitration. </w:t>
      </w:r>
    </w:p>
    <w:p w14:paraId="1D4855D2" w14:textId="77777777" w:rsidR="004E388F" w:rsidRPr="004E388F" w:rsidRDefault="006352FD" w:rsidP="001D3D68">
      <w:pPr>
        <w:pStyle w:val="ListParagraph"/>
        <w:numPr>
          <w:ilvl w:val="0"/>
          <w:numId w:val="12"/>
        </w:numPr>
        <w:spacing w:line="360" w:lineRule="auto"/>
        <w:jc w:val="both"/>
        <w:rPr>
          <w:rFonts w:ascii="Times New Roman" w:hAnsi="Times New Roman" w:cs="Times New Roman"/>
          <w:b/>
          <w:sz w:val="24"/>
          <w:szCs w:val="24"/>
        </w:rPr>
      </w:pPr>
      <w:r w:rsidRPr="001D3D68">
        <w:rPr>
          <w:rFonts w:ascii="Times New Roman" w:hAnsi="Times New Roman" w:cs="Times New Roman"/>
          <w:sz w:val="24"/>
          <w:szCs w:val="24"/>
        </w:rPr>
        <w:t>The second respondent</w:t>
      </w:r>
      <w:r w:rsidR="00844C4A" w:rsidRPr="001D3D68">
        <w:rPr>
          <w:rFonts w:ascii="Times New Roman" w:hAnsi="Times New Roman" w:cs="Times New Roman"/>
          <w:sz w:val="24"/>
          <w:szCs w:val="24"/>
        </w:rPr>
        <w:t xml:space="preserve"> made a fi</w:t>
      </w:r>
      <w:r w:rsidR="006C547E" w:rsidRPr="001D3D68">
        <w:rPr>
          <w:rFonts w:ascii="Times New Roman" w:hAnsi="Times New Roman" w:cs="Times New Roman"/>
          <w:sz w:val="24"/>
          <w:szCs w:val="24"/>
        </w:rPr>
        <w:t>nding that she had j</w:t>
      </w:r>
      <w:r w:rsidR="002304DB" w:rsidRPr="001D3D68">
        <w:rPr>
          <w:rFonts w:ascii="Times New Roman" w:hAnsi="Times New Roman" w:cs="Times New Roman"/>
          <w:sz w:val="24"/>
          <w:szCs w:val="24"/>
        </w:rPr>
        <w:t xml:space="preserve">urisdiction to hear the matter. </w:t>
      </w:r>
      <w:r w:rsidR="00BA7B48">
        <w:rPr>
          <w:rFonts w:ascii="Times New Roman" w:hAnsi="Times New Roman" w:cs="Times New Roman"/>
          <w:sz w:val="24"/>
          <w:szCs w:val="24"/>
        </w:rPr>
        <w:t xml:space="preserve">In reaching this decision, the second respondent </w:t>
      </w:r>
      <w:r w:rsidR="00CC4D0D" w:rsidRPr="001D3D68">
        <w:rPr>
          <w:rFonts w:ascii="Times New Roman" w:hAnsi="Times New Roman" w:cs="Times New Roman"/>
          <w:sz w:val="24"/>
          <w:szCs w:val="24"/>
        </w:rPr>
        <w:t xml:space="preserve">commented that the applicant had waived its </w:t>
      </w:r>
      <w:r w:rsidR="001D3D68" w:rsidRPr="001D3D68">
        <w:rPr>
          <w:rFonts w:ascii="Times New Roman" w:hAnsi="Times New Roman" w:cs="Times New Roman"/>
          <w:sz w:val="24"/>
          <w:szCs w:val="24"/>
        </w:rPr>
        <w:t xml:space="preserve">right to file any further submissions </w:t>
      </w:r>
      <w:r w:rsidR="00FA707A">
        <w:rPr>
          <w:rFonts w:ascii="Times New Roman" w:hAnsi="Times New Roman" w:cs="Times New Roman"/>
          <w:sz w:val="24"/>
          <w:szCs w:val="24"/>
        </w:rPr>
        <w:t xml:space="preserve">on </w:t>
      </w:r>
      <w:r w:rsidR="00425A40" w:rsidRPr="001D3D68">
        <w:rPr>
          <w:rFonts w:ascii="Times New Roman" w:hAnsi="Times New Roman" w:cs="Times New Roman"/>
          <w:sz w:val="24"/>
          <w:szCs w:val="24"/>
        </w:rPr>
        <w:t xml:space="preserve">the preliminary point. </w:t>
      </w:r>
      <w:r w:rsidR="00BA7B48">
        <w:rPr>
          <w:rFonts w:ascii="Times New Roman" w:hAnsi="Times New Roman" w:cs="Times New Roman"/>
          <w:sz w:val="24"/>
          <w:szCs w:val="24"/>
        </w:rPr>
        <w:t xml:space="preserve">She </w:t>
      </w:r>
      <w:r w:rsidR="00FA707A">
        <w:rPr>
          <w:rFonts w:ascii="Times New Roman" w:hAnsi="Times New Roman" w:cs="Times New Roman"/>
          <w:sz w:val="24"/>
          <w:szCs w:val="24"/>
        </w:rPr>
        <w:t xml:space="preserve">concluded that it was common cause that there was an agreement between the parties. She found that the relationship between the applicant and the first respondent was based on this unsigned agreement. She ruled that although the agreement was unsigned, it was a binding agreement between the parties and in terms of which the parties operated. </w:t>
      </w:r>
    </w:p>
    <w:p w14:paraId="1E3FF7FE" w14:textId="7B11165A" w:rsidR="001D3D68" w:rsidRPr="001D3D68" w:rsidRDefault="001D3D68" w:rsidP="001D3D68">
      <w:pPr>
        <w:pStyle w:val="ListParagraph"/>
        <w:numPr>
          <w:ilvl w:val="0"/>
          <w:numId w:val="12"/>
        </w:numPr>
        <w:spacing w:line="360" w:lineRule="auto"/>
        <w:jc w:val="both"/>
        <w:rPr>
          <w:rFonts w:ascii="Times New Roman" w:hAnsi="Times New Roman" w:cs="Times New Roman"/>
          <w:b/>
          <w:sz w:val="24"/>
          <w:szCs w:val="24"/>
        </w:rPr>
      </w:pPr>
      <w:r w:rsidRPr="001D3D68">
        <w:rPr>
          <w:rFonts w:ascii="Times New Roman" w:hAnsi="Times New Roman" w:cs="Times New Roman"/>
          <w:sz w:val="24"/>
          <w:szCs w:val="24"/>
        </w:rPr>
        <w:t xml:space="preserve">Aggrieved by the arbitrator’s decision, the applicant filed the present court application.  </w:t>
      </w:r>
    </w:p>
    <w:p w14:paraId="0528F61E" w14:textId="77777777" w:rsidR="00CD23B0" w:rsidRDefault="00CD23B0" w:rsidP="001D3D68">
      <w:pPr>
        <w:pStyle w:val="ListParagraph"/>
        <w:spacing w:line="360" w:lineRule="auto"/>
        <w:ind w:left="360"/>
        <w:jc w:val="both"/>
        <w:rPr>
          <w:rFonts w:ascii="Times New Roman" w:hAnsi="Times New Roman" w:cs="Times New Roman"/>
          <w:b/>
          <w:sz w:val="24"/>
          <w:szCs w:val="24"/>
        </w:rPr>
      </w:pPr>
    </w:p>
    <w:p w14:paraId="3BBCF480" w14:textId="04890C26" w:rsidR="001D3D68" w:rsidRPr="001D3D68" w:rsidRDefault="00223F25" w:rsidP="001D3D68">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The application</w:t>
      </w:r>
      <w:r w:rsidR="0021254A">
        <w:rPr>
          <w:rFonts w:ascii="Times New Roman" w:hAnsi="Times New Roman" w:cs="Times New Roman"/>
          <w:b/>
          <w:sz w:val="24"/>
          <w:szCs w:val="24"/>
        </w:rPr>
        <w:t xml:space="preserve"> </w:t>
      </w:r>
      <w:r w:rsidR="001D3D68" w:rsidRPr="001D3D68">
        <w:rPr>
          <w:rFonts w:ascii="Times New Roman" w:hAnsi="Times New Roman" w:cs="Times New Roman"/>
          <w:b/>
          <w:sz w:val="24"/>
          <w:szCs w:val="24"/>
        </w:rPr>
        <w:t>before this court</w:t>
      </w:r>
    </w:p>
    <w:p w14:paraId="35EBCEDB" w14:textId="26C42B12" w:rsidR="001D3D68" w:rsidRDefault="001D3D68" w:rsidP="001D3D6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has approached this court in terms of Article 16 (3) of the </w:t>
      </w:r>
      <w:r w:rsidR="00CD23B0">
        <w:rPr>
          <w:rFonts w:ascii="Times New Roman" w:hAnsi="Times New Roman" w:cs="Times New Roman"/>
          <w:sz w:val="24"/>
          <w:szCs w:val="24"/>
        </w:rPr>
        <w:t>Model Law</w:t>
      </w:r>
      <w:r w:rsidR="00FA707A">
        <w:rPr>
          <w:rFonts w:ascii="Times New Roman" w:hAnsi="Times New Roman" w:cs="Times New Roman"/>
          <w:sz w:val="24"/>
          <w:szCs w:val="24"/>
        </w:rPr>
        <w:t xml:space="preserve">. </w:t>
      </w:r>
      <w:r w:rsidR="00400FA1">
        <w:rPr>
          <w:rFonts w:ascii="Times New Roman" w:hAnsi="Times New Roman" w:cs="Times New Roman"/>
          <w:sz w:val="24"/>
          <w:szCs w:val="24"/>
        </w:rPr>
        <w:t>It reads</w:t>
      </w:r>
      <w:r>
        <w:rPr>
          <w:rFonts w:ascii="Times New Roman" w:hAnsi="Times New Roman" w:cs="Times New Roman"/>
          <w:sz w:val="24"/>
          <w:szCs w:val="24"/>
        </w:rPr>
        <w:t>:-</w:t>
      </w:r>
    </w:p>
    <w:p w14:paraId="33F61FC1" w14:textId="6FEBDDF8" w:rsidR="001D3D68" w:rsidRDefault="00163951" w:rsidP="0021254A">
      <w:pPr>
        <w:autoSpaceDE w:val="0"/>
        <w:autoSpaceDN w:val="0"/>
        <w:adjustRightInd w:val="0"/>
        <w:spacing w:after="0" w:line="240" w:lineRule="auto"/>
        <w:ind w:left="1440"/>
        <w:jc w:val="both"/>
        <w:rPr>
          <w:rFonts w:ascii="Times New Roman" w:hAnsi="Times New Roman" w:cs="Times New Roman"/>
          <w:szCs w:val="21"/>
          <w:lang w:val="en-ZW"/>
        </w:rPr>
      </w:pPr>
      <w:r>
        <w:rPr>
          <w:rFonts w:ascii="Times New Roman" w:hAnsi="Times New Roman" w:cs="Times New Roman"/>
          <w:szCs w:val="21"/>
          <w:lang w:val="en-ZW"/>
        </w:rPr>
        <w:t>“</w:t>
      </w:r>
      <w:r w:rsidR="00CD23B0" w:rsidRPr="00CD23B0">
        <w:rPr>
          <w:rFonts w:ascii="Times New Roman" w:hAnsi="Times New Roman" w:cs="Times New Roman"/>
          <w:szCs w:val="21"/>
          <w:lang w:val="en-ZW"/>
        </w:rPr>
        <w:t>(3) The arbitral tribunal may rule on a plea referred to in paragraph (2) of this article either as a preliminary</w:t>
      </w:r>
      <w:r w:rsidR="00CD23B0">
        <w:rPr>
          <w:rFonts w:ascii="Times New Roman" w:hAnsi="Times New Roman" w:cs="Times New Roman"/>
          <w:szCs w:val="21"/>
          <w:lang w:val="en-ZW"/>
        </w:rPr>
        <w:t xml:space="preserve"> </w:t>
      </w:r>
      <w:r w:rsidR="00CD23B0" w:rsidRPr="00CD23B0">
        <w:rPr>
          <w:rFonts w:ascii="Times New Roman" w:hAnsi="Times New Roman" w:cs="Times New Roman"/>
          <w:szCs w:val="21"/>
          <w:lang w:val="en-ZW"/>
        </w:rPr>
        <w:t>question or in an award on the merits. If the arbitral tribunal rules on such a plea as a prelimina</w:t>
      </w:r>
      <w:r w:rsidR="00CD23B0">
        <w:rPr>
          <w:rFonts w:ascii="Times New Roman" w:hAnsi="Times New Roman" w:cs="Times New Roman"/>
          <w:szCs w:val="21"/>
          <w:lang w:val="en-ZW"/>
        </w:rPr>
        <w:t xml:space="preserve">ry question, any </w:t>
      </w:r>
      <w:r w:rsidR="00CD23B0" w:rsidRPr="00CD23B0">
        <w:rPr>
          <w:rFonts w:ascii="Times New Roman" w:hAnsi="Times New Roman" w:cs="Times New Roman"/>
          <w:szCs w:val="21"/>
          <w:lang w:val="en-ZW"/>
        </w:rPr>
        <w:t xml:space="preserve">party may request, within thirty days after having received notice of that ruling, the </w:t>
      </w:r>
      <w:r w:rsidR="00CD23B0" w:rsidRPr="00CD23B0">
        <w:rPr>
          <w:rFonts w:ascii="Times New Roman" w:hAnsi="Times New Roman" w:cs="Times New Roman"/>
          <w:i/>
          <w:iCs/>
          <w:szCs w:val="21"/>
          <w:lang w:val="en-ZW"/>
        </w:rPr>
        <w:t xml:space="preserve">High Court </w:t>
      </w:r>
      <w:r w:rsidR="00CD23B0">
        <w:rPr>
          <w:rFonts w:ascii="Times New Roman" w:hAnsi="Times New Roman" w:cs="Times New Roman"/>
          <w:szCs w:val="21"/>
          <w:lang w:val="en-ZW"/>
        </w:rPr>
        <w:t xml:space="preserve">to decide the </w:t>
      </w:r>
      <w:r w:rsidR="00CD23B0" w:rsidRPr="00CD23B0">
        <w:rPr>
          <w:rFonts w:ascii="Times New Roman" w:hAnsi="Times New Roman" w:cs="Times New Roman"/>
          <w:szCs w:val="21"/>
          <w:lang w:val="en-ZW"/>
        </w:rPr>
        <w:t>matter, which decision</w:t>
      </w:r>
      <w:r w:rsidR="00CD23B0">
        <w:rPr>
          <w:rFonts w:ascii="Times New Roman" w:hAnsi="Times New Roman" w:cs="Times New Roman"/>
          <w:szCs w:val="21"/>
          <w:lang w:val="en-ZW"/>
        </w:rPr>
        <w:t xml:space="preserve"> shall be subject to no appeal; </w:t>
      </w:r>
      <w:r w:rsidR="00CD23B0" w:rsidRPr="00CD23B0">
        <w:rPr>
          <w:rFonts w:ascii="Times New Roman" w:hAnsi="Times New Roman" w:cs="Times New Roman"/>
          <w:szCs w:val="21"/>
          <w:lang w:val="en-ZW"/>
        </w:rPr>
        <w:t>while such a request is pending, the arbitral tribunal may</w:t>
      </w:r>
      <w:r w:rsidR="00CD23B0">
        <w:rPr>
          <w:rFonts w:ascii="Times New Roman" w:hAnsi="Times New Roman" w:cs="Times New Roman"/>
          <w:szCs w:val="21"/>
          <w:lang w:val="en-ZW"/>
        </w:rPr>
        <w:t xml:space="preserve"> </w:t>
      </w:r>
      <w:r w:rsidR="00CD23B0" w:rsidRPr="00CD23B0">
        <w:rPr>
          <w:rFonts w:ascii="Times New Roman" w:hAnsi="Times New Roman" w:cs="Times New Roman"/>
          <w:szCs w:val="21"/>
          <w:lang w:val="en-ZW"/>
        </w:rPr>
        <w:t>continue the arbitral proceedings and make an award.</w:t>
      </w:r>
      <w:r>
        <w:rPr>
          <w:rFonts w:ascii="Times New Roman" w:hAnsi="Times New Roman" w:cs="Times New Roman"/>
          <w:szCs w:val="21"/>
          <w:lang w:val="en-ZW"/>
        </w:rPr>
        <w:t>”</w:t>
      </w:r>
    </w:p>
    <w:p w14:paraId="52E727F1" w14:textId="77777777" w:rsidR="00163951" w:rsidRPr="00CD23B0" w:rsidRDefault="00163951" w:rsidP="0021254A">
      <w:pPr>
        <w:autoSpaceDE w:val="0"/>
        <w:autoSpaceDN w:val="0"/>
        <w:adjustRightInd w:val="0"/>
        <w:spacing w:after="0" w:line="240" w:lineRule="auto"/>
        <w:ind w:left="1440"/>
        <w:jc w:val="both"/>
        <w:rPr>
          <w:rFonts w:ascii="Times New Roman" w:hAnsi="Times New Roman" w:cs="Times New Roman"/>
          <w:szCs w:val="21"/>
          <w:lang w:val="en-ZW"/>
        </w:rPr>
      </w:pPr>
    </w:p>
    <w:p w14:paraId="3B73B20A" w14:textId="245BE6A9" w:rsidR="00FA707A" w:rsidRDefault="00B81EDF" w:rsidP="00FA707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support of the application the applicant has advanced two arguments. The first is that </w:t>
      </w:r>
      <w:r w:rsidR="0021254A">
        <w:rPr>
          <w:rFonts w:ascii="Times New Roman" w:hAnsi="Times New Roman" w:cs="Times New Roman"/>
          <w:sz w:val="24"/>
          <w:szCs w:val="24"/>
        </w:rPr>
        <w:t xml:space="preserve">the second respondent erred at law in dismissing the challenge to her jurisdiction to entertain the dispute between the applicant and the first respondent. The applicant contends that the basis for the challenge was that there was no signed agreement between the parties yet a written and signed agreement was a prerequisite for such a </w:t>
      </w:r>
      <w:r w:rsidR="000D1CD8">
        <w:rPr>
          <w:rFonts w:ascii="Times New Roman" w:hAnsi="Times New Roman" w:cs="Times New Roman"/>
          <w:sz w:val="24"/>
          <w:szCs w:val="24"/>
        </w:rPr>
        <w:t xml:space="preserve">referral. The applicant </w:t>
      </w:r>
      <w:r w:rsidR="0021254A">
        <w:rPr>
          <w:rFonts w:ascii="Times New Roman" w:hAnsi="Times New Roman" w:cs="Times New Roman"/>
          <w:sz w:val="24"/>
          <w:szCs w:val="24"/>
        </w:rPr>
        <w:t xml:space="preserve">argues that the ruling by the second respondent ought to be vacated because it is contrary to public policy. </w:t>
      </w:r>
      <w:r w:rsidR="0021254A" w:rsidRPr="00FA707A">
        <w:rPr>
          <w:rFonts w:ascii="Times New Roman" w:hAnsi="Times New Roman" w:cs="Times New Roman"/>
          <w:sz w:val="24"/>
          <w:szCs w:val="24"/>
        </w:rPr>
        <w:t xml:space="preserve">While the </w:t>
      </w:r>
      <w:r w:rsidR="0021254A" w:rsidRPr="00FA707A">
        <w:rPr>
          <w:rFonts w:ascii="Times New Roman" w:hAnsi="Times New Roman" w:cs="Times New Roman"/>
          <w:sz w:val="24"/>
          <w:szCs w:val="24"/>
        </w:rPr>
        <w:lastRenderedPageBreak/>
        <w:t xml:space="preserve">applicant confirms that there was a written agreement between the parties, it contends that such agreement was never signed by the parties and is therefore not binding. </w:t>
      </w:r>
    </w:p>
    <w:p w14:paraId="786CD7E0" w14:textId="0E58FFB7" w:rsidR="00FA707A" w:rsidRDefault="0021254A" w:rsidP="00FA707A">
      <w:pPr>
        <w:pStyle w:val="ListParagraph"/>
        <w:numPr>
          <w:ilvl w:val="0"/>
          <w:numId w:val="12"/>
        </w:numPr>
        <w:spacing w:line="360" w:lineRule="auto"/>
        <w:jc w:val="both"/>
        <w:rPr>
          <w:rFonts w:ascii="Times New Roman" w:hAnsi="Times New Roman" w:cs="Times New Roman"/>
          <w:sz w:val="24"/>
          <w:szCs w:val="24"/>
        </w:rPr>
      </w:pPr>
      <w:r w:rsidRPr="00FA707A">
        <w:rPr>
          <w:rFonts w:ascii="Times New Roman" w:hAnsi="Times New Roman" w:cs="Times New Roman"/>
          <w:sz w:val="24"/>
          <w:szCs w:val="24"/>
        </w:rPr>
        <w:t>The applicant</w:t>
      </w:r>
      <w:r w:rsidR="00400FA1">
        <w:rPr>
          <w:rFonts w:ascii="Times New Roman" w:hAnsi="Times New Roman" w:cs="Times New Roman"/>
          <w:sz w:val="24"/>
          <w:szCs w:val="24"/>
        </w:rPr>
        <w:t>’s</w:t>
      </w:r>
      <w:r w:rsidRPr="00FA707A">
        <w:rPr>
          <w:rFonts w:ascii="Times New Roman" w:hAnsi="Times New Roman" w:cs="Times New Roman"/>
          <w:sz w:val="24"/>
          <w:szCs w:val="24"/>
        </w:rPr>
        <w:t xml:space="preserve"> </w:t>
      </w:r>
      <w:r w:rsidR="00B81EDF">
        <w:rPr>
          <w:rFonts w:ascii="Times New Roman" w:hAnsi="Times New Roman" w:cs="Times New Roman"/>
          <w:sz w:val="24"/>
          <w:szCs w:val="24"/>
        </w:rPr>
        <w:t>second</w:t>
      </w:r>
      <w:r w:rsidR="00400FA1">
        <w:rPr>
          <w:rFonts w:ascii="Times New Roman" w:hAnsi="Times New Roman" w:cs="Times New Roman"/>
          <w:sz w:val="24"/>
          <w:szCs w:val="24"/>
        </w:rPr>
        <w:t xml:space="preserve"> argument</w:t>
      </w:r>
      <w:r w:rsidR="00B81EDF">
        <w:rPr>
          <w:rFonts w:ascii="Times New Roman" w:hAnsi="Times New Roman" w:cs="Times New Roman"/>
          <w:sz w:val="24"/>
          <w:szCs w:val="24"/>
        </w:rPr>
        <w:t xml:space="preserve"> is that </w:t>
      </w:r>
      <w:r w:rsidRPr="00FA707A">
        <w:rPr>
          <w:rFonts w:ascii="Times New Roman" w:hAnsi="Times New Roman" w:cs="Times New Roman"/>
          <w:sz w:val="24"/>
          <w:szCs w:val="24"/>
        </w:rPr>
        <w:t xml:space="preserve">the second respondent </w:t>
      </w:r>
      <w:r w:rsidR="00425A40" w:rsidRPr="00FA707A">
        <w:rPr>
          <w:rFonts w:ascii="Times New Roman" w:hAnsi="Times New Roman" w:cs="Times New Roman"/>
          <w:sz w:val="24"/>
          <w:szCs w:val="24"/>
        </w:rPr>
        <w:t xml:space="preserve">ruled that the applicant had </w:t>
      </w:r>
      <w:r w:rsidR="00400FA1">
        <w:rPr>
          <w:rFonts w:ascii="Times New Roman" w:hAnsi="Times New Roman" w:cs="Times New Roman"/>
          <w:sz w:val="24"/>
          <w:szCs w:val="24"/>
        </w:rPr>
        <w:t>waived its right to reply to the first respondent’s allegations in circumstances where the second respondent did not afford the applicant an opportunity to rebut them</w:t>
      </w:r>
      <w:r w:rsidRPr="00FA707A">
        <w:rPr>
          <w:rFonts w:ascii="Times New Roman" w:hAnsi="Times New Roman" w:cs="Times New Roman"/>
          <w:sz w:val="24"/>
          <w:szCs w:val="24"/>
        </w:rPr>
        <w:t>.</w:t>
      </w:r>
      <w:r w:rsidR="00400FA1">
        <w:rPr>
          <w:rFonts w:ascii="Times New Roman" w:hAnsi="Times New Roman" w:cs="Times New Roman"/>
          <w:sz w:val="24"/>
          <w:szCs w:val="24"/>
        </w:rPr>
        <w:t xml:space="preserve"> </w:t>
      </w:r>
      <w:r w:rsidRPr="00FA707A">
        <w:rPr>
          <w:rFonts w:ascii="Times New Roman" w:hAnsi="Times New Roman" w:cs="Times New Roman"/>
          <w:sz w:val="24"/>
          <w:szCs w:val="24"/>
        </w:rPr>
        <w:t xml:space="preserve"> </w:t>
      </w:r>
    </w:p>
    <w:p w14:paraId="08DFAD33" w14:textId="70A186F9" w:rsidR="006C547E" w:rsidRPr="00FA707A" w:rsidRDefault="0021254A" w:rsidP="00163951">
      <w:pPr>
        <w:pStyle w:val="ListParagraph"/>
        <w:numPr>
          <w:ilvl w:val="0"/>
          <w:numId w:val="12"/>
        </w:numPr>
        <w:tabs>
          <w:tab w:val="left" w:pos="360"/>
          <w:tab w:val="left" w:pos="450"/>
        </w:tabs>
        <w:spacing w:line="360" w:lineRule="auto"/>
        <w:jc w:val="both"/>
        <w:rPr>
          <w:rFonts w:ascii="Times New Roman" w:hAnsi="Times New Roman" w:cs="Times New Roman"/>
          <w:sz w:val="24"/>
          <w:szCs w:val="24"/>
        </w:rPr>
      </w:pPr>
      <w:r w:rsidRPr="00FA707A">
        <w:rPr>
          <w:rFonts w:ascii="Times New Roman" w:hAnsi="Times New Roman" w:cs="Times New Roman"/>
          <w:sz w:val="24"/>
          <w:szCs w:val="24"/>
        </w:rPr>
        <w:t xml:space="preserve">It is the applicant’s position that arbitration proceedings are by their nature consensual, and it was clear from the facts of the matter that there was </w:t>
      </w:r>
      <w:r w:rsidR="000D1CD8">
        <w:rPr>
          <w:rFonts w:ascii="Times New Roman" w:hAnsi="Times New Roman" w:cs="Times New Roman"/>
          <w:sz w:val="24"/>
          <w:szCs w:val="24"/>
        </w:rPr>
        <w:t>no signed agreement between the</w:t>
      </w:r>
      <w:r w:rsidRPr="00FA707A">
        <w:rPr>
          <w:rFonts w:ascii="Times New Roman" w:hAnsi="Times New Roman" w:cs="Times New Roman"/>
          <w:sz w:val="24"/>
          <w:szCs w:val="24"/>
        </w:rPr>
        <w:t xml:space="preserve"> parties. Finally, the plaintiff contend</w:t>
      </w:r>
      <w:r w:rsidR="00FA707A">
        <w:rPr>
          <w:rFonts w:ascii="Times New Roman" w:hAnsi="Times New Roman" w:cs="Times New Roman"/>
          <w:sz w:val="24"/>
          <w:szCs w:val="24"/>
        </w:rPr>
        <w:t>s</w:t>
      </w:r>
      <w:r w:rsidRPr="00FA707A">
        <w:rPr>
          <w:rFonts w:ascii="Times New Roman" w:hAnsi="Times New Roman" w:cs="Times New Roman"/>
          <w:sz w:val="24"/>
          <w:szCs w:val="24"/>
        </w:rPr>
        <w:t xml:space="preserve"> that the parties were still in </w:t>
      </w:r>
      <w:r w:rsidR="000D1CD8">
        <w:rPr>
          <w:rFonts w:ascii="Times New Roman" w:hAnsi="Times New Roman" w:cs="Times New Roman"/>
          <w:sz w:val="24"/>
          <w:szCs w:val="24"/>
        </w:rPr>
        <w:t>negotiations and had not finalis</w:t>
      </w:r>
      <w:r w:rsidRPr="00FA707A">
        <w:rPr>
          <w:rFonts w:ascii="Times New Roman" w:hAnsi="Times New Roman" w:cs="Times New Roman"/>
          <w:sz w:val="24"/>
          <w:szCs w:val="24"/>
        </w:rPr>
        <w:t>ed the terms of the agreement.</w:t>
      </w:r>
      <w:r w:rsidR="00223F25">
        <w:rPr>
          <w:rFonts w:ascii="Times New Roman" w:hAnsi="Times New Roman" w:cs="Times New Roman"/>
          <w:sz w:val="24"/>
          <w:szCs w:val="24"/>
        </w:rPr>
        <w:t xml:space="preserve"> </w:t>
      </w:r>
      <w:r w:rsidRPr="00FA707A">
        <w:rPr>
          <w:rFonts w:ascii="Times New Roman" w:hAnsi="Times New Roman" w:cs="Times New Roman"/>
          <w:sz w:val="24"/>
          <w:szCs w:val="24"/>
        </w:rPr>
        <w:t xml:space="preserve">For these reasons, the applicant submits that the second respondent’s ruling is contrary to the law and in conflict with the public policy of Zimbabwe. </w:t>
      </w:r>
    </w:p>
    <w:p w14:paraId="05CE66DC" w14:textId="3B6A31BC" w:rsidR="00394298" w:rsidRDefault="0021254A" w:rsidP="00163951">
      <w:pPr>
        <w:pStyle w:val="ListParagraph"/>
        <w:numPr>
          <w:ilvl w:val="0"/>
          <w:numId w:val="12"/>
        </w:numPr>
        <w:tabs>
          <w:tab w:val="left" w:pos="450"/>
        </w:tabs>
        <w:spacing w:line="360" w:lineRule="auto"/>
        <w:jc w:val="both"/>
        <w:rPr>
          <w:rFonts w:ascii="Times New Roman" w:hAnsi="Times New Roman" w:cs="Times New Roman"/>
          <w:sz w:val="24"/>
          <w:szCs w:val="24"/>
        </w:rPr>
      </w:pPr>
      <w:r w:rsidRPr="0021254A">
        <w:rPr>
          <w:rFonts w:ascii="Times New Roman" w:hAnsi="Times New Roman" w:cs="Times New Roman"/>
          <w:i/>
          <w:sz w:val="24"/>
          <w:szCs w:val="24"/>
        </w:rPr>
        <w:t>Per contra</w:t>
      </w:r>
      <w:r>
        <w:rPr>
          <w:rFonts w:ascii="Times New Roman" w:hAnsi="Times New Roman" w:cs="Times New Roman"/>
          <w:sz w:val="24"/>
          <w:szCs w:val="24"/>
        </w:rPr>
        <w:t>, t</w:t>
      </w:r>
      <w:r w:rsidR="00425A40">
        <w:rPr>
          <w:rFonts w:ascii="Times New Roman" w:hAnsi="Times New Roman" w:cs="Times New Roman"/>
          <w:sz w:val="24"/>
          <w:szCs w:val="24"/>
        </w:rPr>
        <w:t>he fi</w:t>
      </w:r>
      <w:r w:rsidR="00394298">
        <w:rPr>
          <w:rFonts w:ascii="Times New Roman" w:hAnsi="Times New Roman" w:cs="Times New Roman"/>
          <w:sz w:val="24"/>
          <w:szCs w:val="24"/>
        </w:rPr>
        <w:t>rst respondent contends</w:t>
      </w:r>
      <w:r w:rsidR="00425A40">
        <w:rPr>
          <w:rFonts w:ascii="Times New Roman" w:hAnsi="Times New Roman" w:cs="Times New Roman"/>
          <w:sz w:val="24"/>
          <w:szCs w:val="24"/>
        </w:rPr>
        <w:t xml:space="preserve"> that there was a valid agreement between the parties</w:t>
      </w:r>
      <w:r w:rsidR="00400FA1">
        <w:rPr>
          <w:rFonts w:ascii="Times New Roman" w:hAnsi="Times New Roman" w:cs="Times New Roman"/>
          <w:sz w:val="24"/>
          <w:szCs w:val="24"/>
        </w:rPr>
        <w:t>. Certain s</w:t>
      </w:r>
      <w:r w:rsidR="00394298">
        <w:rPr>
          <w:rFonts w:ascii="Times New Roman" w:hAnsi="Times New Roman" w:cs="Times New Roman"/>
          <w:sz w:val="24"/>
          <w:szCs w:val="24"/>
        </w:rPr>
        <w:t>ervices were rendered in terms of the agre</w:t>
      </w:r>
      <w:r w:rsidR="004D1B36">
        <w:rPr>
          <w:rFonts w:ascii="Times New Roman" w:hAnsi="Times New Roman" w:cs="Times New Roman"/>
          <w:sz w:val="24"/>
          <w:szCs w:val="24"/>
        </w:rPr>
        <w:t xml:space="preserve">ement. The first respondent further submits that </w:t>
      </w:r>
      <w:r w:rsidR="00394298">
        <w:rPr>
          <w:rFonts w:ascii="Times New Roman" w:hAnsi="Times New Roman" w:cs="Times New Roman"/>
          <w:sz w:val="24"/>
          <w:szCs w:val="24"/>
        </w:rPr>
        <w:t xml:space="preserve">Article 7 of the Model Law admits of no doubt that an arbitration agreement shall be in writing </w:t>
      </w:r>
      <w:r w:rsidR="00394298" w:rsidRPr="00BA7B48">
        <w:rPr>
          <w:rFonts w:ascii="Times New Roman" w:hAnsi="Times New Roman" w:cs="Times New Roman"/>
          <w:sz w:val="24"/>
          <w:szCs w:val="24"/>
          <w:u w:val="single"/>
        </w:rPr>
        <w:t>or</w:t>
      </w:r>
      <w:r w:rsidR="00394298">
        <w:rPr>
          <w:rFonts w:ascii="Times New Roman" w:hAnsi="Times New Roman" w:cs="Times New Roman"/>
          <w:sz w:val="24"/>
          <w:szCs w:val="24"/>
        </w:rPr>
        <w:t xml:space="preserve"> in exchange of statements of claim and defence in which the existence of an agreement is alleged by one party and not denied by the other. </w:t>
      </w:r>
    </w:p>
    <w:p w14:paraId="67C590D3" w14:textId="166FCA91" w:rsidR="006F563C" w:rsidRDefault="000F2963"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supports</w:t>
      </w:r>
      <w:r w:rsidR="00394298" w:rsidRPr="006A779E">
        <w:rPr>
          <w:rFonts w:ascii="Times New Roman" w:hAnsi="Times New Roman" w:cs="Times New Roman"/>
          <w:sz w:val="24"/>
          <w:szCs w:val="24"/>
        </w:rPr>
        <w:t xml:space="preserve"> the second respondent’s finding that the applicant waived its right to reply to its opposition to the preliminary objection. The first respondent argues that the second respondent allowed the parties to agree on timelines within which to file pleadings. All communications were to be done via email. Further changes to the timelines were communicated through email and the applicant acknowledged receipt of the email.</w:t>
      </w:r>
      <w:r w:rsidR="004D1B36">
        <w:rPr>
          <w:rFonts w:ascii="Times New Roman" w:hAnsi="Times New Roman" w:cs="Times New Roman"/>
          <w:sz w:val="24"/>
          <w:szCs w:val="24"/>
        </w:rPr>
        <w:t xml:space="preserve"> The first respondent’s argument</w:t>
      </w:r>
      <w:r w:rsidR="00394298" w:rsidRPr="006A779E">
        <w:rPr>
          <w:rFonts w:ascii="Times New Roman" w:hAnsi="Times New Roman" w:cs="Times New Roman"/>
          <w:sz w:val="24"/>
          <w:szCs w:val="24"/>
        </w:rPr>
        <w:t xml:space="preserve"> </w:t>
      </w:r>
      <w:r w:rsidR="00400FA1">
        <w:rPr>
          <w:rFonts w:ascii="Times New Roman" w:hAnsi="Times New Roman" w:cs="Times New Roman"/>
          <w:sz w:val="24"/>
          <w:szCs w:val="24"/>
        </w:rPr>
        <w:t xml:space="preserve">is that if the applicant wished </w:t>
      </w:r>
      <w:r w:rsidR="00394298" w:rsidRPr="006A779E">
        <w:rPr>
          <w:rFonts w:ascii="Times New Roman" w:hAnsi="Times New Roman" w:cs="Times New Roman"/>
          <w:sz w:val="24"/>
          <w:szCs w:val="24"/>
        </w:rPr>
        <w:t>to respond to the first respondent’s</w:t>
      </w:r>
      <w:r>
        <w:rPr>
          <w:rFonts w:ascii="Times New Roman" w:hAnsi="Times New Roman" w:cs="Times New Roman"/>
          <w:sz w:val="24"/>
          <w:szCs w:val="24"/>
        </w:rPr>
        <w:t xml:space="preserve"> response, it would have ma</w:t>
      </w:r>
      <w:r w:rsidR="00394298" w:rsidRPr="006A779E">
        <w:rPr>
          <w:rFonts w:ascii="Times New Roman" w:hAnsi="Times New Roman" w:cs="Times New Roman"/>
          <w:sz w:val="24"/>
          <w:szCs w:val="24"/>
        </w:rPr>
        <w:t>de such an indication</w:t>
      </w:r>
      <w:r w:rsidR="004D1B36">
        <w:rPr>
          <w:rFonts w:ascii="Times New Roman" w:hAnsi="Times New Roman" w:cs="Times New Roman"/>
          <w:sz w:val="24"/>
          <w:szCs w:val="24"/>
        </w:rPr>
        <w:t>. I</w:t>
      </w:r>
      <w:r w:rsidR="00394298" w:rsidRPr="006A779E">
        <w:rPr>
          <w:rFonts w:ascii="Times New Roman" w:hAnsi="Times New Roman" w:cs="Times New Roman"/>
          <w:sz w:val="24"/>
          <w:szCs w:val="24"/>
        </w:rPr>
        <w:t xml:space="preserve">t did not. </w:t>
      </w:r>
      <w:r w:rsidR="00425A40" w:rsidRPr="006A779E">
        <w:rPr>
          <w:rFonts w:ascii="Times New Roman" w:hAnsi="Times New Roman" w:cs="Times New Roman"/>
          <w:sz w:val="24"/>
          <w:szCs w:val="24"/>
        </w:rPr>
        <w:t xml:space="preserve"> </w:t>
      </w:r>
    </w:p>
    <w:p w14:paraId="5A71D8E6" w14:textId="77777777" w:rsidR="00223F25" w:rsidRDefault="00223F25" w:rsidP="00D65290">
      <w:pPr>
        <w:pStyle w:val="ListParagraph"/>
        <w:spacing w:after="0" w:line="360" w:lineRule="auto"/>
        <w:ind w:left="360"/>
        <w:jc w:val="both"/>
        <w:rPr>
          <w:rFonts w:ascii="Times New Roman" w:hAnsi="Times New Roman" w:cs="Times New Roman"/>
          <w:sz w:val="24"/>
          <w:szCs w:val="24"/>
        </w:rPr>
      </w:pPr>
    </w:p>
    <w:p w14:paraId="491D1EA0" w14:textId="59B449C9" w:rsidR="00D65290" w:rsidRPr="00D65290" w:rsidRDefault="00D65290" w:rsidP="00D65290">
      <w:pPr>
        <w:pStyle w:val="ListParagraph"/>
        <w:spacing w:after="0" w:line="360" w:lineRule="auto"/>
        <w:ind w:left="360"/>
        <w:jc w:val="both"/>
        <w:rPr>
          <w:rFonts w:ascii="Times New Roman" w:hAnsi="Times New Roman" w:cs="Times New Roman"/>
          <w:b/>
          <w:sz w:val="24"/>
          <w:szCs w:val="24"/>
        </w:rPr>
      </w:pPr>
      <w:r w:rsidRPr="00D65290">
        <w:rPr>
          <w:rFonts w:ascii="Times New Roman" w:hAnsi="Times New Roman" w:cs="Times New Roman"/>
          <w:b/>
          <w:sz w:val="24"/>
          <w:szCs w:val="24"/>
        </w:rPr>
        <w:t>Oral submissions by the parties</w:t>
      </w:r>
    </w:p>
    <w:p w14:paraId="22CB9A81" w14:textId="5974162B" w:rsidR="00CA567D" w:rsidRDefault="00223F25"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hearing of</w:t>
      </w:r>
      <w:r w:rsidR="0085748F">
        <w:rPr>
          <w:rFonts w:ascii="Times New Roman" w:hAnsi="Times New Roman" w:cs="Times New Roman"/>
          <w:sz w:val="24"/>
          <w:szCs w:val="24"/>
        </w:rPr>
        <w:t xml:space="preserve"> the application, </w:t>
      </w:r>
      <w:r w:rsidR="008225DE">
        <w:rPr>
          <w:rFonts w:ascii="Times New Roman" w:hAnsi="Times New Roman" w:cs="Times New Roman"/>
          <w:sz w:val="24"/>
          <w:szCs w:val="24"/>
        </w:rPr>
        <w:t>Ms.</w:t>
      </w:r>
      <w:r w:rsidR="0085748F">
        <w:rPr>
          <w:rFonts w:ascii="Times New Roman" w:hAnsi="Times New Roman" w:cs="Times New Roman"/>
          <w:sz w:val="24"/>
          <w:szCs w:val="24"/>
        </w:rPr>
        <w:t xml:space="preserve"> </w:t>
      </w:r>
      <w:r w:rsidR="0085748F" w:rsidRPr="0085748F">
        <w:rPr>
          <w:rFonts w:ascii="Times New Roman" w:hAnsi="Times New Roman" w:cs="Times New Roman"/>
          <w:i/>
          <w:sz w:val="24"/>
          <w:szCs w:val="24"/>
        </w:rPr>
        <w:t>Mahuni</w:t>
      </w:r>
      <w:r w:rsidR="0085748F">
        <w:rPr>
          <w:rFonts w:ascii="Times New Roman" w:hAnsi="Times New Roman" w:cs="Times New Roman"/>
          <w:sz w:val="24"/>
          <w:szCs w:val="24"/>
        </w:rPr>
        <w:t xml:space="preserve"> </w:t>
      </w:r>
      <w:r>
        <w:rPr>
          <w:rFonts w:ascii="Times New Roman" w:hAnsi="Times New Roman" w:cs="Times New Roman"/>
          <w:sz w:val="24"/>
          <w:szCs w:val="24"/>
        </w:rPr>
        <w:t xml:space="preserve">argued </w:t>
      </w:r>
      <w:r w:rsidR="0085748F">
        <w:rPr>
          <w:rFonts w:ascii="Times New Roman" w:hAnsi="Times New Roman" w:cs="Times New Roman"/>
          <w:sz w:val="24"/>
          <w:szCs w:val="24"/>
        </w:rPr>
        <w:t xml:space="preserve">on behalf of the </w:t>
      </w:r>
      <w:r w:rsidR="00D65290">
        <w:rPr>
          <w:rFonts w:ascii="Times New Roman" w:hAnsi="Times New Roman" w:cs="Times New Roman"/>
          <w:sz w:val="24"/>
          <w:szCs w:val="24"/>
        </w:rPr>
        <w:t xml:space="preserve">applicant </w:t>
      </w:r>
      <w:r>
        <w:rPr>
          <w:rFonts w:ascii="Times New Roman" w:hAnsi="Times New Roman" w:cs="Times New Roman"/>
          <w:sz w:val="24"/>
          <w:szCs w:val="24"/>
        </w:rPr>
        <w:t xml:space="preserve">that once a written agreement is not signed by both parties, it becomes invalid despite its provisions. The agreement </w:t>
      </w:r>
      <w:r w:rsidR="00D65290">
        <w:rPr>
          <w:rFonts w:ascii="Times New Roman" w:hAnsi="Times New Roman" w:cs="Times New Roman"/>
          <w:sz w:val="24"/>
          <w:szCs w:val="24"/>
        </w:rPr>
        <w:t xml:space="preserve">in </w:t>
      </w:r>
      <w:r w:rsidR="00D65290" w:rsidRPr="00D65290">
        <w:rPr>
          <w:rFonts w:ascii="Times New Roman" w:hAnsi="Times New Roman" w:cs="Times New Roman"/>
          <w:i/>
          <w:sz w:val="24"/>
          <w:szCs w:val="24"/>
        </w:rPr>
        <w:t>casu</w:t>
      </w:r>
      <w:r w:rsidR="00D65290">
        <w:rPr>
          <w:rFonts w:ascii="Times New Roman" w:hAnsi="Times New Roman" w:cs="Times New Roman"/>
          <w:sz w:val="24"/>
          <w:szCs w:val="24"/>
        </w:rPr>
        <w:t xml:space="preserve"> </w:t>
      </w:r>
      <w:r>
        <w:rPr>
          <w:rFonts w:ascii="Times New Roman" w:hAnsi="Times New Roman" w:cs="Times New Roman"/>
          <w:sz w:val="24"/>
          <w:szCs w:val="24"/>
        </w:rPr>
        <w:t xml:space="preserve">had a clause which </w:t>
      </w:r>
      <w:r w:rsidR="00D65290">
        <w:rPr>
          <w:rFonts w:ascii="Times New Roman" w:hAnsi="Times New Roman" w:cs="Times New Roman"/>
          <w:sz w:val="24"/>
          <w:szCs w:val="24"/>
        </w:rPr>
        <w:t xml:space="preserve">provided its effective date as the date on which </w:t>
      </w:r>
      <w:r>
        <w:rPr>
          <w:rFonts w:ascii="Times New Roman" w:hAnsi="Times New Roman" w:cs="Times New Roman"/>
          <w:sz w:val="24"/>
          <w:szCs w:val="24"/>
        </w:rPr>
        <w:t xml:space="preserve">the last signature </w:t>
      </w:r>
      <w:r w:rsidR="00CA567D">
        <w:rPr>
          <w:rFonts w:ascii="Times New Roman" w:hAnsi="Times New Roman" w:cs="Times New Roman"/>
          <w:sz w:val="24"/>
          <w:szCs w:val="24"/>
        </w:rPr>
        <w:t>would be</w:t>
      </w:r>
      <w:r w:rsidR="00D65290">
        <w:rPr>
          <w:rFonts w:ascii="Times New Roman" w:hAnsi="Times New Roman" w:cs="Times New Roman"/>
          <w:sz w:val="24"/>
          <w:szCs w:val="24"/>
        </w:rPr>
        <w:t xml:space="preserve"> appended by either of the parties to the agreement. </w:t>
      </w:r>
      <w:r w:rsidR="0085748F">
        <w:rPr>
          <w:rFonts w:ascii="Times New Roman" w:hAnsi="Times New Roman" w:cs="Times New Roman"/>
          <w:sz w:val="24"/>
          <w:szCs w:val="24"/>
        </w:rPr>
        <w:t>Due to the fact that the contract was not signed</w:t>
      </w:r>
      <w:r w:rsidR="00D65290">
        <w:rPr>
          <w:rFonts w:ascii="Times New Roman" w:hAnsi="Times New Roman" w:cs="Times New Roman"/>
          <w:sz w:val="24"/>
          <w:szCs w:val="24"/>
        </w:rPr>
        <w:t xml:space="preserve"> by the applicant</w:t>
      </w:r>
      <w:r w:rsidR="0085748F">
        <w:rPr>
          <w:rFonts w:ascii="Times New Roman" w:hAnsi="Times New Roman" w:cs="Times New Roman"/>
          <w:sz w:val="24"/>
          <w:szCs w:val="24"/>
        </w:rPr>
        <w:t xml:space="preserve">, it could not be deemed to be a valid agreement between the parties. </w:t>
      </w:r>
      <w:r w:rsidR="008225DE">
        <w:rPr>
          <w:rFonts w:ascii="Times New Roman" w:hAnsi="Times New Roman" w:cs="Times New Roman"/>
          <w:sz w:val="24"/>
          <w:szCs w:val="24"/>
        </w:rPr>
        <w:t>Ms.</w:t>
      </w:r>
      <w:r w:rsidR="00CA567D">
        <w:rPr>
          <w:rFonts w:ascii="Times New Roman" w:hAnsi="Times New Roman" w:cs="Times New Roman"/>
          <w:sz w:val="24"/>
          <w:szCs w:val="24"/>
        </w:rPr>
        <w:t xml:space="preserve"> </w:t>
      </w:r>
      <w:r w:rsidR="00CA567D" w:rsidRPr="00CA567D">
        <w:rPr>
          <w:rFonts w:ascii="Times New Roman" w:hAnsi="Times New Roman" w:cs="Times New Roman"/>
          <w:i/>
          <w:sz w:val="24"/>
          <w:szCs w:val="24"/>
        </w:rPr>
        <w:t>Mahuni</w:t>
      </w:r>
      <w:r w:rsidR="00CA567D">
        <w:rPr>
          <w:rFonts w:ascii="Times New Roman" w:hAnsi="Times New Roman" w:cs="Times New Roman"/>
          <w:sz w:val="24"/>
          <w:szCs w:val="24"/>
        </w:rPr>
        <w:t xml:space="preserve"> </w:t>
      </w:r>
      <w:r w:rsidR="000F2963">
        <w:rPr>
          <w:rFonts w:ascii="Times New Roman" w:hAnsi="Times New Roman" w:cs="Times New Roman"/>
          <w:sz w:val="24"/>
          <w:szCs w:val="24"/>
        </w:rPr>
        <w:t xml:space="preserve">further </w:t>
      </w:r>
      <w:r w:rsidR="00CA567D">
        <w:rPr>
          <w:rFonts w:ascii="Times New Roman" w:hAnsi="Times New Roman" w:cs="Times New Roman"/>
          <w:sz w:val="24"/>
          <w:szCs w:val="24"/>
        </w:rPr>
        <w:t>argued that t</w:t>
      </w:r>
      <w:r>
        <w:rPr>
          <w:rFonts w:ascii="Times New Roman" w:hAnsi="Times New Roman" w:cs="Times New Roman"/>
          <w:sz w:val="24"/>
          <w:szCs w:val="24"/>
        </w:rPr>
        <w:t>he arbitrator’s jurisdiction is founded on</w:t>
      </w:r>
      <w:r w:rsidR="0085748F">
        <w:rPr>
          <w:rFonts w:ascii="Times New Roman" w:hAnsi="Times New Roman" w:cs="Times New Roman"/>
          <w:sz w:val="24"/>
          <w:szCs w:val="24"/>
        </w:rPr>
        <w:t xml:space="preserve"> a valid arbitration agreement.</w:t>
      </w:r>
      <w:r w:rsidR="00D65290">
        <w:rPr>
          <w:rFonts w:ascii="Times New Roman" w:hAnsi="Times New Roman" w:cs="Times New Roman"/>
          <w:sz w:val="24"/>
          <w:szCs w:val="24"/>
        </w:rPr>
        <w:t xml:space="preserve"> </w:t>
      </w:r>
      <w:r w:rsidR="000F2963">
        <w:rPr>
          <w:rFonts w:ascii="Times New Roman" w:hAnsi="Times New Roman" w:cs="Times New Roman"/>
          <w:sz w:val="24"/>
          <w:szCs w:val="24"/>
        </w:rPr>
        <w:t>She contended that g</w:t>
      </w:r>
      <w:r w:rsidR="00D65290">
        <w:rPr>
          <w:rFonts w:ascii="Times New Roman" w:hAnsi="Times New Roman" w:cs="Times New Roman"/>
          <w:sz w:val="24"/>
          <w:szCs w:val="24"/>
        </w:rPr>
        <w:t>iven that the agreement</w:t>
      </w:r>
      <w:r w:rsidR="00CA567D">
        <w:rPr>
          <w:rFonts w:ascii="Times New Roman" w:hAnsi="Times New Roman" w:cs="Times New Roman"/>
          <w:sz w:val="24"/>
          <w:szCs w:val="24"/>
        </w:rPr>
        <w:t xml:space="preserve"> </w:t>
      </w:r>
      <w:r w:rsidR="00D65290">
        <w:rPr>
          <w:rFonts w:ascii="Times New Roman" w:hAnsi="Times New Roman" w:cs="Times New Roman"/>
          <w:sz w:val="24"/>
          <w:szCs w:val="24"/>
        </w:rPr>
        <w:t xml:space="preserve">only contained one </w:t>
      </w:r>
      <w:r w:rsidR="00D65290">
        <w:rPr>
          <w:rFonts w:ascii="Times New Roman" w:hAnsi="Times New Roman" w:cs="Times New Roman"/>
          <w:sz w:val="24"/>
          <w:szCs w:val="24"/>
        </w:rPr>
        <w:lastRenderedPageBreak/>
        <w:t xml:space="preserve">party’s signature, it was improper </w:t>
      </w:r>
      <w:r w:rsidR="00CA567D">
        <w:rPr>
          <w:rFonts w:ascii="Times New Roman" w:hAnsi="Times New Roman" w:cs="Times New Roman"/>
          <w:sz w:val="24"/>
          <w:szCs w:val="24"/>
        </w:rPr>
        <w:t xml:space="preserve">for the second respondent to find </w:t>
      </w:r>
      <w:r w:rsidR="00D65290">
        <w:rPr>
          <w:rFonts w:ascii="Times New Roman" w:hAnsi="Times New Roman" w:cs="Times New Roman"/>
          <w:sz w:val="24"/>
          <w:szCs w:val="24"/>
        </w:rPr>
        <w:t>that she had jurisdiction to deal with the dispute.</w:t>
      </w:r>
    </w:p>
    <w:p w14:paraId="507FF53A" w14:textId="4099F9F7" w:rsidR="000D1CD8" w:rsidRDefault="000D1CD8"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emphasized that the law is clear that arbitration proceedings are hinged on the consent of the parties. Once parties fail to agree, that should be the end of the matter. The applicant insisted that the </w:t>
      </w:r>
      <w:r w:rsidRPr="00BA7B48">
        <w:rPr>
          <w:rFonts w:ascii="Times New Roman" w:hAnsi="Times New Roman" w:cs="Times New Roman"/>
          <w:sz w:val="24"/>
          <w:szCs w:val="24"/>
        </w:rPr>
        <w:t xml:space="preserve">parties were engaged in </w:t>
      </w:r>
      <w:r>
        <w:rPr>
          <w:rFonts w:ascii="Times New Roman" w:hAnsi="Times New Roman" w:cs="Times New Roman"/>
          <w:sz w:val="24"/>
          <w:szCs w:val="24"/>
        </w:rPr>
        <w:t xml:space="preserve">ongoing </w:t>
      </w:r>
      <w:r w:rsidRPr="00BA7B48">
        <w:rPr>
          <w:rFonts w:ascii="Times New Roman" w:hAnsi="Times New Roman" w:cs="Times New Roman"/>
          <w:sz w:val="24"/>
          <w:szCs w:val="24"/>
        </w:rPr>
        <w:t>nego</w:t>
      </w:r>
      <w:r>
        <w:rPr>
          <w:rFonts w:ascii="Times New Roman" w:hAnsi="Times New Roman" w:cs="Times New Roman"/>
          <w:sz w:val="24"/>
          <w:szCs w:val="24"/>
        </w:rPr>
        <w:t>tiations and the contract had not been concluded</w:t>
      </w:r>
      <w:r w:rsidRPr="00BA7B48">
        <w:rPr>
          <w:rFonts w:ascii="Times New Roman" w:hAnsi="Times New Roman" w:cs="Times New Roman"/>
          <w:sz w:val="24"/>
          <w:szCs w:val="24"/>
        </w:rPr>
        <w:t>.</w:t>
      </w:r>
    </w:p>
    <w:p w14:paraId="3776CE66" w14:textId="73FF4F27" w:rsidR="00CA567D" w:rsidRDefault="008225DE"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Ms.</w:t>
      </w:r>
      <w:r w:rsidR="00CA567D">
        <w:rPr>
          <w:rFonts w:ascii="Times New Roman" w:hAnsi="Times New Roman" w:cs="Times New Roman"/>
          <w:sz w:val="24"/>
          <w:szCs w:val="24"/>
        </w:rPr>
        <w:t xml:space="preserve"> </w:t>
      </w:r>
      <w:r w:rsidR="00CA567D" w:rsidRPr="00CA567D">
        <w:rPr>
          <w:rFonts w:ascii="Times New Roman" w:hAnsi="Times New Roman" w:cs="Times New Roman"/>
          <w:i/>
          <w:sz w:val="24"/>
          <w:szCs w:val="24"/>
        </w:rPr>
        <w:t xml:space="preserve">Mahuni </w:t>
      </w:r>
      <w:r w:rsidR="00CA567D" w:rsidRPr="00CA567D">
        <w:rPr>
          <w:rFonts w:ascii="Times New Roman" w:hAnsi="Times New Roman" w:cs="Times New Roman"/>
          <w:sz w:val="24"/>
          <w:szCs w:val="24"/>
        </w:rPr>
        <w:t>also</w:t>
      </w:r>
      <w:r w:rsidR="00CA567D">
        <w:rPr>
          <w:rFonts w:ascii="Times New Roman" w:hAnsi="Times New Roman" w:cs="Times New Roman"/>
          <w:i/>
          <w:sz w:val="24"/>
          <w:szCs w:val="24"/>
        </w:rPr>
        <w:t xml:space="preserve"> </w:t>
      </w:r>
      <w:r w:rsidR="00CA567D">
        <w:rPr>
          <w:rFonts w:ascii="Times New Roman" w:hAnsi="Times New Roman" w:cs="Times New Roman"/>
          <w:sz w:val="24"/>
          <w:szCs w:val="24"/>
        </w:rPr>
        <w:t>maintained that the applicant had not waived its right to reply.</w:t>
      </w:r>
      <w:r w:rsidR="00400FA1">
        <w:rPr>
          <w:rFonts w:ascii="Times New Roman" w:hAnsi="Times New Roman" w:cs="Times New Roman"/>
          <w:sz w:val="24"/>
          <w:szCs w:val="24"/>
        </w:rPr>
        <w:t xml:space="preserve"> There was a change in </w:t>
      </w:r>
      <w:r w:rsidR="00CA567D">
        <w:rPr>
          <w:rFonts w:ascii="Times New Roman" w:hAnsi="Times New Roman" w:cs="Times New Roman"/>
          <w:sz w:val="24"/>
          <w:szCs w:val="24"/>
        </w:rPr>
        <w:t xml:space="preserve">submission dates which had been caused by the first respondent, but there was no further opportunity to reply. </w:t>
      </w:r>
    </w:p>
    <w:p w14:paraId="18A3AEB3" w14:textId="72B4DEC8" w:rsidR="00223F25" w:rsidRPr="00BA7B48" w:rsidRDefault="00CA567D"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w:t>
      </w:r>
      <w:r w:rsidR="008225DE">
        <w:rPr>
          <w:rFonts w:ascii="Times New Roman" w:hAnsi="Times New Roman" w:cs="Times New Roman"/>
          <w:sz w:val="24"/>
          <w:szCs w:val="24"/>
        </w:rPr>
        <w:t>Mr.</w:t>
      </w:r>
      <w:r w:rsidR="0085748F">
        <w:rPr>
          <w:rFonts w:ascii="Times New Roman" w:hAnsi="Times New Roman" w:cs="Times New Roman"/>
          <w:sz w:val="24"/>
          <w:szCs w:val="24"/>
        </w:rPr>
        <w:t xml:space="preserve"> </w:t>
      </w:r>
      <w:r w:rsidR="0085748F" w:rsidRPr="0085748F">
        <w:rPr>
          <w:rFonts w:ascii="Times New Roman" w:hAnsi="Times New Roman" w:cs="Times New Roman"/>
          <w:i/>
          <w:sz w:val="24"/>
          <w:szCs w:val="24"/>
        </w:rPr>
        <w:t>Ndoro</w:t>
      </w:r>
      <w:r>
        <w:rPr>
          <w:rFonts w:ascii="Times New Roman" w:hAnsi="Times New Roman" w:cs="Times New Roman"/>
          <w:sz w:val="24"/>
          <w:szCs w:val="24"/>
        </w:rPr>
        <w:t xml:space="preserve"> for</w:t>
      </w:r>
      <w:r w:rsidR="00BA7B48">
        <w:rPr>
          <w:rFonts w:ascii="Times New Roman" w:hAnsi="Times New Roman" w:cs="Times New Roman"/>
          <w:sz w:val="24"/>
          <w:szCs w:val="24"/>
        </w:rPr>
        <w:t xml:space="preserve"> the first respondent urged the</w:t>
      </w:r>
      <w:r>
        <w:rPr>
          <w:rFonts w:ascii="Times New Roman" w:hAnsi="Times New Roman" w:cs="Times New Roman"/>
          <w:sz w:val="24"/>
          <w:szCs w:val="24"/>
        </w:rPr>
        <w:t xml:space="preserve"> court</w:t>
      </w:r>
      <w:r w:rsidR="00BA7B48">
        <w:rPr>
          <w:rFonts w:ascii="Times New Roman" w:hAnsi="Times New Roman" w:cs="Times New Roman"/>
          <w:sz w:val="24"/>
          <w:szCs w:val="24"/>
        </w:rPr>
        <w:t>,</w:t>
      </w:r>
      <w:r>
        <w:rPr>
          <w:rFonts w:ascii="Times New Roman" w:hAnsi="Times New Roman" w:cs="Times New Roman"/>
          <w:sz w:val="24"/>
          <w:szCs w:val="24"/>
        </w:rPr>
        <w:t xml:space="preserve"> </w:t>
      </w:r>
      <w:r w:rsidR="00BA7B48">
        <w:rPr>
          <w:rFonts w:ascii="Times New Roman" w:hAnsi="Times New Roman" w:cs="Times New Roman"/>
          <w:sz w:val="24"/>
          <w:szCs w:val="24"/>
        </w:rPr>
        <w:t xml:space="preserve">in determining whether or not the unsigned agreement was binding on the parties, </w:t>
      </w:r>
      <w:r w:rsidRPr="00BA7B48">
        <w:rPr>
          <w:rFonts w:ascii="Times New Roman" w:hAnsi="Times New Roman" w:cs="Times New Roman"/>
          <w:sz w:val="24"/>
          <w:szCs w:val="24"/>
        </w:rPr>
        <w:t>to consider that services were rendered.</w:t>
      </w:r>
      <w:r w:rsidR="00D65290" w:rsidRPr="00BA7B48">
        <w:rPr>
          <w:rFonts w:ascii="Times New Roman" w:hAnsi="Times New Roman" w:cs="Times New Roman"/>
          <w:sz w:val="24"/>
          <w:szCs w:val="24"/>
        </w:rPr>
        <w:t xml:space="preserve"> </w:t>
      </w:r>
      <w:r w:rsidRPr="00BA7B48">
        <w:rPr>
          <w:rFonts w:ascii="Times New Roman" w:hAnsi="Times New Roman" w:cs="Times New Roman"/>
          <w:sz w:val="24"/>
          <w:szCs w:val="24"/>
        </w:rPr>
        <w:t>To this, t</w:t>
      </w:r>
      <w:r w:rsidR="0085748F" w:rsidRPr="00BA7B48">
        <w:rPr>
          <w:rFonts w:ascii="Times New Roman" w:hAnsi="Times New Roman" w:cs="Times New Roman"/>
          <w:sz w:val="24"/>
          <w:szCs w:val="24"/>
        </w:rPr>
        <w:t>he applicant argued that it could not be concluded that the services were being rendered on the basis</w:t>
      </w:r>
      <w:r w:rsidR="006F6430">
        <w:rPr>
          <w:rFonts w:ascii="Times New Roman" w:hAnsi="Times New Roman" w:cs="Times New Roman"/>
          <w:sz w:val="24"/>
          <w:szCs w:val="24"/>
        </w:rPr>
        <w:t xml:space="preserve"> of the unsigned agreement. </w:t>
      </w:r>
    </w:p>
    <w:p w14:paraId="66EA3AD8" w14:textId="77777777" w:rsidR="00FA707A" w:rsidRDefault="00FA707A" w:rsidP="00FA707A">
      <w:pPr>
        <w:pStyle w:val="ListParagraph"/>
        <w:spacing w:after="0" w:line="360" w:lineRule="auto"/>
        <w:ind w:left="360"/>
        <w:jc w:val="both"/>
        <w:rPr>
          <w:rFonts w:ascii="Times New Roman" w:hAnsi="Times New Roman" w:cs="Times New Roman"/>
          <w:sz w:val="24"/>
          <w:szCs w:val="24"/>
        </w:rPr>
      </w:pPr>
    </w:p>
    <w:p w14:paraId="0B607986" w14:textId="261E89E6" w:rsidR="00196B7B" w:rsidRPr="00196B7B" w:rsidRDefault="00FA707A" w:rsidP="00196B7B">
      <w:pPr>
        <w:pStyle w:val="ListParagraph"/>
        <w:spacing w:after="0" w:line="360" w:lineRule="auto"/>
        <w:ind w:left="360"/>
        <w:jc w:val="both"/>
        <w:rPr>
          <w:rFonts w:ascii="Times New Roman" w:hAnsi="Times New Roman" w:cs="Times New Roman"/>
          <w:b/>
          <w:sz w:val="24"/>
          <w:szCs w:val="24"/>
        </w:rPr>
      </w:pPr>
      <w:r w:rsidRPr="00FA707A">
        <w:rPr>
          <w:rFonts w:ascii="Times New Roman" w:hAnsi="Times New Roman" w:cs="Times New Roman"/>
          <w:b/>
          <w:sz w:val="24"/>
          <w:szCs w:val="24"/>
        </w:rPr>
        <w:t>Issues for determination</w:t>
      </w:r>
    </w:p>
    <w:p w14:paraId="22CB1127" w14:textId="77777777" w:rsidR="00B63FD7" w:rsidRDefault="00B63FD7" w:rsidP="00163951">
      <w:pPr>
        <w:pStyle w:val="ListParagraph"/>
        <w:numPr>
          <w:ilvl w:val="0"/>
          <w:numId w:val="12"/>
        </w:numPr>
        <w:spacing w:after="0" w:line="360" w:lineRule="auto"/>
        <w:ind w:left="450" w:hanging="450"/>
        <w:jc w:val="both"/>
        <w:rPr>
          <w:rFonts w:ascii="Times New Roman" w:hAnsi="Times New Roman" w:cs="Times New Roman"/>
          <w:sz w:val="24"/>
          <w:szCs w:val="24"/>
          <w:lang w:val="en-GB"/>
        </w:rPr>
      </w:pPr>
      <w:r>
        <w:rPr>
          <w:rFonts w:ascii="Times New Roman" w:hAnsi="Times New Roman" w:cs="Times New Roman"/>
          <w:sz w:val="24"/>
          <w:szCs w:val="24"/>
          <w:lang w:val="en-GB"/>
        </w:rPr>
        <w:t>In my view, two issues fall for determination in this matter namely:-</w:t>
      </w:r>
    </w:p>
    <w:p w14:paraId="421F456C" w14:textId="3AA85C72" w:rsidR="005705A6" w:rsidRPr="00B63FD7" w:rsidRDefault="00B63FD7" w:rsidP="005705A6">
      <w:pPr>
        <w:pStyle w:val="ListParagraph"/>
        <w:numPr>
          <w:ilvl w:val="0"/>
          <w:numId w:val="41"/>
        </w:numPr>
        <w:spacing w:after="0" w:line="360" w:lineRule="auto"/>
        <w:jc w:val="both"/>
        <w:rPr>
          <w:rFonts w:ascii="Times New Roman" w:hAnsi="Times New Roman" w:cs="Times New Roman"/>
          <w:b/>
          <w:sz w:val="24"/>
          <w:szCs w:val="24"/>
          <w:lang w:val="en-GB"/>
        </w:rPr>
      </w:pPr>
      <w:r w:rsidRPr="00B63FD7">
        <w:rPr>
          <w:rFonts w:ascii="Times New Roman" w:hAnsi="Times New Roman" w:cs="Times New Roman"/>
          <w:sz w:val="24"/>
          <w:szCs w:val="24"/>
          <w:lang w:val="en-GB"/>
        </w:rPr>
        <w:t xml:space="preserve">Whether or not the </w:t>
      </w:r>
      <w:r w:rsidR="005705A6" w:rsidRPr="00B63FD7">
        <w:rPr>
          <w:rFonts w:ascii="Times New Roman" w:hAnsi="Times New Roman" w:cs="Times New Roman"/>
          <w:sz w:val="24"/>
          <w:szCs w:val="24"/>
          <w:lang w:val="en-GB"/>
        </w:rPr>
        <w:t>second respondent had jurisdiction to deal with the dispute between the applicant and the first respondent</w:t>
      </w:r>
      <w:r>
        <w:rPr>
          <w:rFonts w:ascii="Times New Roman" w:hAnsi="Times New Roman" w:cs="Times New Roman"/>
          <w:sz w:val="24"/>
          <w:szCs w:val="24"/>
          <w:lang w:val="en-GB"/>
        </w:rPr>
        <w:t xml:space="preserve">; and </w:t>
      </w:r>
    </w:p>
    <w:p w14:paraId="0C9504E6" w14:textId="35B8034B" w:rsidR="00B63FD7" w:rsidRPr="00B63FD7" w:rsidRDefault="00B63FD7" w:rsidP="005705A6">
      <w:pPr>
        <w:pStyle w:val="ListParagraph"/>
        <w:numPr>
          <w:ilvl w:val="0"/>
          <w:numId w:val="41"/>
        </w:numPr>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Whether or not the applicant waived its right to file </w:t>
      </w:r>
      <w:r w:rsidR="00B97AEA">
        <w:rPr>
          <w:rFonts w:ascii="Times New Roman" w:hAnsi="Times New Roman" w:cs="Times New Roman"/>
          <w:sz w:val="24"/>
          <w:szCs w:val="24"/>
          <w:lang w:val="en-GB"/>
        </w:rPr>
        <w:t xml:space="preserve">any further submissions in relation to the preliminary point. </w:t>
      </w:r>
    </w:p>
    <w:p w14:paraId="79C0DB99" w14:textId="2C309C93" w:rsidR="00B97AEA" w:rsidRPr="00B97AEA" w:rsidRDefault="000F2963"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pass now </w:t>
      </w:r>
      <w:r w:rsidR="00B97AEA">
        <w:rPr>
          <w:rFonts w:ascii="Times New Roman" w:hAnsi="Times New Roman" w:cs="Times New Roman"/>
          <w:sz w:val="24"/>
          <w:szCs w:val="24"/>
        </w:rPr>
        <w:t xml:space="preserve">to deal with the highlighted issues </w:t>
      </w:r>
      <w:r>
        <w:rPr>
          <w:rFonts w:ascii="Times New Roman" w:hAnsi="Times New Roman" w:cs="Times New Roman"/>
          <w:sz w:val="24"/>
          <w:szCs w:val="24"/>
        </w:rPr>
        <w:t>arising in the matter.</w:t>
      </w:r>
      <w:r w:rsidR="00B97AEA">
        <w:rPr>
          <w:rFonts w:ascii="Times New Roman" w:hAnsi="Times New Roman" w:cs="Times New Roman"/>
          <w:sz w:val="24"/>
          <w:szCs w:val="24"/>
        </w:rPr>
        <w:t xml:space="preserve">  </w:t>
      </w:r>
    </w:p>
    <w:p w14:paraId="67EF5F39" w14:textId="77777777" w:rsidR="00B97AEA" w:rsidRDefault="00B97AEA" w:rsidP="00B97AEA">
      <w:pPr>
        <w:spacing w:after="0" w:line="360" w:lineRule="auto"/>
        <w:jc w:val="both"/>
        <w:rPr>
          <w:rFonts w:ascii="Times New Roman" w:hAnsi="Times New Roman" w:cs="Times New Roman"/>
          <w:sz w:val="24"/>
          <w:szCs w:val="24"/>
          <w:lang w:val="en-GB"/>
        </w:rPr>
      </w:pPr>
    </w:p>
    <w:p w14:paraId="29ADEAD7" w14:textId="56351C1D" w:rsidR="00B97AEA" w:rsidRPr="00B97AEA" w:rsidRDefault="00B97AEA" w:rsidP="00B97AEA">
      <w:pPr>
        <w:spacing w:after="0" w:line="360" w:lineRule="auto"/>
        <w:jc w:val="both"/>
        <w:rPr>
          <w:rFonts w:ascii="Times New Roman" w:hAnsi="Times New Roman" w:cs="Times New Roman"/>
          <w:b/>
          <w:sz w:val="24"/>
          <w:szCs w:val="24"/>
          <w:lang w:val="en-GB"/>
        </w:rPr>
      </w:pPr>
      <w:r w:rsidRPr="00B97AEA">
        <w:rPr>
          <w:rFonts w:ascii="Times New Roman" w:hAnsi="Times New Roman" w:cs="Times New Roman"/>
          <w:b/>
          <w:sz w:val="24"/>
          <w:szCs w:val="24"/>
          <w:lang w:val="en-GB"/>
        </w:rPr>
        <w:t>Whether or not the second respondent had jurisdiction to deal with the dispute between the applicant and the first respondent</w:t>
      </w:r>
    </w:p>
    <w:p w14:paraId="4D7334B5" w14:textId="4697B587" w:rsidR="00B97AEA" w:rsidRPr="00B97AEA" w:rsidRDefault="00E95315" w:rsidP="00163951">
      <w:pPr>
        <w:pStyle w:val="ListParagraph"/>
        <w:numPr>
          <w:ilvl w:val="0"/>
          <w:numId w:val="12"/>
        </w:numPr>
        <w:tabs>
          <w:tab w:val="left" w:pos="45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From the written and oral submissions by the parties, i</w:t>
      </w:r>
      <w:r w:rsidR="00B97AEA">
        <w:rPr>
          <w:rFonts w:ascii="Times New Roman" w:hAnsi="Times New Roman" w:cs="Times New Roman"/>
          <w:sz w:val="24"/>
          <w:szCs w:val="24"/>
        </w:rPr>
        <w:t>t is common cause that there was an unsigned contract between the applicant and the first respondent. It is also common cause that</w:t>
      </w:r>
      <w:r w:rsidR="000F2963">
        <w:rPr>
          <w:rFonts w:ascii="Times New Roman" w:hAnsi="Times New Roman" w:cs="Times New Roman"/>
          <w:sz w:val="24"/>
          <w:szCs w:val="24"/>
        </w:rPr>
        <w:t xml:space="preserve"> the unsigned agreement contained</w:t>
      </w:r>
      <w:r w:rsidR="00B97AEA">
        <w:rPr>
          <w:rFonts w:ascii="Times New Roman" w:hAnsi="Times New Roman" w:cs="Times New Roman"/>
          <w:sz w:val="24"/>
          <w:szCs w:val="24"/>
        </w:rPr>
        <w:t xml:space="preserve"> an arbitration clause. </w:t>
      </w:r>
      <w:r w:rsidR="000F2963">
        <w:rPr>
          <w:rFonts w:ascii="Times New Roman" w:hAnsi="Times New Roman" w:cs="Times New Roman"/>
          <w:sz w:val="24"/>
          <w:szCs w:val="24"/>
        </w:rPr>
        <w:t xml:space="preserve">In terms </w:t>
      </w:r>
      <w:r w:rsidR="00B97AEA">
        <w:rPr>
          <w:rFonts w:ascii="Times New Roman" w:hAnsi="Times New Roman" w:cs="Times New Roman"/>
          <w:sz w:val="24"/>
          <w:szCs w:val="24"/>
        </w:rPr>
        <w:t>of Arti</w:t>
      </w:r>
      <w:r w:rsidR="000F4D1A">
        <w:rPr>
          <w:rFonts w:ascii="Times New Roman" w:hAnsi="Times New Roman" w:cs="Times New Roman"/>
          <w:sz w:val="24"/>
          <w:szCs w:val="24"/>
        </w:rPr>
        <w:t xml:space="preserve">cle 7 (1) of the Model Law, the </w:t>
      </w:r>
      <w:r w:rsidR="00B97AEA">
        <w:rPr>
          <w:rFonts w:ascii="Times New Roman" w:hAnsi="Times New Roman" w:cs="Times New Roman"/>
          <w:sz w:val="24"/>
          <w:szCs w:val="24"/>
        </w:rPr>
        <w:t>ar</w:t>
      </w:r>
      <w:r w:rsidR="000F4D1A">
        <w:rPr>
          <w:rFonts w:ascii="Times New Roman" w:hAnsi="Times New Roman" w:cs="Times New Roman"/>
          <w:sz w:val="24"/>
          <w:szCs w:val="24"/>
        </w:rPr>
        <w:t>bitration clause in the</w:t>
      </w:r>
      <w:r w:rsidR="000D1CD8">
        <w:rPr>
          <w:rFonts w:ascii="Times New Roman" w:hAnsi="Times New Roman" w:cs="Times New Roman"/>
          <w:sz w:val="24"/>
          <w:szCs w:val="24"/>
        </w:rPr>
        <w:t xml:space="preserve"> </w:t>
      </w:r>
      <w:r w:rsidR="00B97AEA">
        <w:rPr>
          <w:rFonts w:ascii="Times New Roman" w:hAnsi="Times New Roman" w:cs="Times New Roman"/>
          <w:sz w:val="24"/>
          <w:szCs w:val="24"/>
        </w:rPr>
        <w:t xml:space="preserve">contract constitutes an arbitration agreement. </w:t>
      </w:r>
      <w:r w:rsidR="00B97AEA" w:rsidRPr="00B97AEA">
        <w:rPr>
          <w:rFonts w:ascii="Times New Roman" w:hAnsi="Times New Roman" w:cs="Times New Roman"/>
          <w:sz w:val="24"/>
          <w:szCs w:val="24"/>
        </w:rPr>
        <w:t>The point of departure between the parties is the val</w:t>
      </w:r>
      <w:r w:rsidR="00CA567D">
        <w:rPr>
          <w:rFonts w:ascii="Times New Roman" w:hAnsi="Times New Roman" w:cs="Times New Roman"/>
          <w:sz w:val="24"/>
          <w:szCs w:val="24"/>
        </w:rPr>
        <w:t xml:space="preserve">idity and binding nature of an </w:t>
      </w:r>
      <w:r w:rsidR="00B97AEA">
        <w:rPr>
          <w:rFonts w:ascii="Times New Roman" w:hAnsi="Times New Roman" w:cs="Times New Roman"/>
          <w:sz w:val="24"/>
          <w:szCs w:val="24"/>
        </w:rPr>
        <w:t xml:space="preserve">unsigned </w:t>
      </w:r>
      <w:r w:rsidR="00B97AEA" w:rsidRPr="00B97AEA">
        <w:rPr>
          <w:rFonts w:ascii="Times New Roman" w:hAnsi="Times New Roman" w:cs="Times New Roman"/>
          <w:sz w:val="24"/>
          <w:szCs w:val="24"/>
        </w:rPr>
        <w:t xml:space="preserve">agreement. </w:t>
      </w:r>
    </w:p>
    <w:p w14:paraId="63AF5AD3" w14:textId="5CA55B38" w:rsidR="00B97AEA" w:rsidRDefault="00481C68"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essential elements</w:t>
      </w:r>
      <w:r w:rsidR="00B97AEA">
        <w:rPr>
          <w:rFonts w:ascii="Times New Roman" w:hAnsi="Times New Roman" w:cs="Times New Roman"/>
          <w:sz w:val="24"/>
          <w:szCs w:val="24"/>
        </w:rPr>
        <w:t xml:space="preserve"> of an arbitration agreement are set out in Article 7 (2) of the Model Law in the following terms:-</w:t>
      </w:r>
    </w:p>
    <w:p w14:paraId="0E3B3E9B" w14:textId="77777777" w:rsidR="00163951" w:rsidRDefault="00163951" w:rsidP="00481C68">
      <w:pPr>
        <w:autoSpaceDE w:val="0"/>
        <w:autoSpaceDN w:val="0"/>
        <w:adjustRightInd w:val="0"/>
        <w:spacing w:after="0" w:line="240" w:lineRule="auto"/>
        <w:ind w:left="1440"/>
        <w:jc w:val="both"/>
        <w:rPr>
          <w:rFonts w:ascii="Times New Roman" w:hAnsi="Times New Roman" w:cs="Times New Roman"/>
          <w:szCs w:val="21"/>
          <w:lang w:val="en-ZW"/>
        </w:rPr>
      </w:pPr>
      <w:r>
        <w:rPr>
          <w:rFonts w:ascii="Times New Roman" w:hAnsi="Times New Roman" w:cs="Times New Roman"/>
          <w:szCs w:val="21"/>
          <w:lang w:val="en-ZW"/>
        </w:rPr>
        <w:lastRenderedPageBreak/>
        <w:t>“</w:t>
      </w:r>
      <w:r w:rsidR="00B97AEA" w:rsidRPr="00B97AEA">
        <w:rPr>
          <w:rFonts w:ascii="Times New Roman" w:hAnsi="Times New Roman" w:cs="Times New Roman"/>
          <w:szCs w:val="21"/>
          <w:lang w:val="en-ZW"/>
        </w:rPr>
        <w:t>(2) The arbitration agreement shall be in writing. An agreement is in writing if it is contained in a document</w:t>
      </w:r>
      <w:r w:rsidR="00B97AEA">
        <w:rPr>
          <w:rFonts w:ascii="Times New Roman" w:hAnsi="Times New Roman" w:cs="Times New Roman"/>
          <w:szCs w:val="21"/>
          <w:lang w:val="en-ZW"/>
        </w:rPr>
        <w:t xml:space="preserve"> </w:t>
      </w:r>
      <w:r w:rsidR="00B97AEA" w:rsidRPr="00B97AEA">
        <w:rPr>
          <w:rFonts w:ascii="Times New Roman" w:hAnsi="Times New Roman" w:cs="Times New Roman"/>
          <w:szCs w:val="21"/>
          <w:lang w:val="en-ZW"/>
        </w:rPr>
        <w:t>signed by the parties or in an exchange of letters, telex, telegrams or other m</w:t>
      </w:r>
      <w:r w:rsidR="00B97AEA">
        <w:rPr>
          <w:rFonts w:ascii="Times New Roman" w:hAnsi="Times New Roman" w:cs="Times New Roman"/>
          <w:szCs w:val="21"/>
          <w:lang w:val="en-ZW"/>
        </w:rPr>
        <w:t xml:space="preserve">eans of telecommunication which </w:t>
      </w:r>
      <w:r w:rsidR="00B97AEA" w:rsidRPr="00B97AEA">
        <w:rPr>
          <w:rFonts w:ascii="Times New Roman" w:hAnsi="Times New Roman" w:cs="Times New Roman"/>
          <w:szCs w:val="21"/>
          <w:lang w:val="en-ZW"/>
        </w:rPr>
        <w:t>provide a record of the agreement, or in an exchange of statements of claim and defence in which the existence of an agreement is alleged by one party and not denied by another. The reference in a contract to a docume</w:t>
      </w:r>
      <w:r w:rsidR="00B97AEA">
        <w:rPr>
          <w:rFonts w:ascii="Times New Roman" w:hAnsi="Times New Roman" w:cs="Times New Roman"/>
          <w:szCs w:val="21"/>
          <w:lang w:val="en-ZW"/>
        </w:rPr>
        <w:t xml:space="preserve">nt </w:t>
      </w:r>
      <w:r w:rsidR="00B97AEA" w:rsidRPr="00B97AEA">
        <w:rPr>
          <w:rFonts w:ascii="Times New Roman" w:hAnsi="Times New Roman" w:cs="Times New Roman"/>
          <w:szCs w:val="21"/>
          <w:lang w:val="en-ZW"/>
        </w:rPr>
        <w:t>containing an arbitration clause constitutes an arbitration agreement provided that the contract is in writing and the reference is such as to make that clause part of the contract</w:t>
      </w:r>
      <w:r w:rsidR="00B97AEA">
        <w:rPr>
          <w:rFonts w:ascii="Times New Roman" w:hAnsi="Times New Roman" w:cs="Times New Roman"/>
          <w:szCs w:val="21"/>
          <w:lang w:val="en-ZW"/>
        </w:rPr>
        <w:t>.</w:t>
      </w:r>
      <w:r>
        <w:rPr>
          <w:rFonts w:ascii="Times New Roman" w:hAnsi="Times New Roman" w:cs="Times New Roman"/>
          <w:szCs w:val="21"/>
          <w:lang w:val="en-ZW"/>
        </w:rPr>
        <w:t>”</w:t>
      </w:r>
    </w:p>
    <w:p w14:paraId="2A51FC6B" w14:textId="775EE319" w:rsidR="00B97AEA" w:rsidRPr="00B97AEA" w:rsidRDefault="00B97AEA" w:rsidP="00481C68">
      <w:pPr>
        <w:autoSpaceDE w:val="0"/>
        <w:autoSpaceDN w:val="0"/>
        <w:adjustRightInd w:val="0"/>
        <w:spacing w:after="0" w:line="240" w:lineRule="auto"/>
        <w:ind w:left="1440"/>
        <w:jc w:val="both"/>
        <w:rPr>
          <w:rFonts w:ascii="Times New Roman" w:hAnsi="Times New Roman" w:cs="Times New Roman"/>
          <w:szCs w:val="21"/>
          <w:lang w:val="en-ZW"/>
        </w:rPr>
      </w:pPr>
      <w:r>
        <w:rPr>
          <w:rFonts w:ascii="Times New Roman" w:hAnsi="Times New Roman" w:cs="Times New Roman"/>
          <w:szCs w:val="21"/>
          <w:lang w:val="en-ZW"/>
        </w:rPr>
        <w:t xml:space="preserve"> </w:t>
      </w:r>
    </w:p>
    <w:p w14:paraId="7F027DB7" w14:textId="7B1036C9" w:rsidR="00B97AEA" w:rsidRDefault="008D7E31"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to the test to be applied to determine if the writing requirement in Article 7 (2) has been satisfied, I am guided by the words of </w:t>
      </w:r>
      <w:r w:rsidR="005B4DB7" w:rsidRPr="005B4DB7">
        <w:rPr>
          <w:rFonts w:ascii="Times New Roman" w:hAnsi="Times New Roman" w:cs="Times New Roman"/>
          <w:smallCaps/>
          <w:sz w:val="24"/>
          <w:szCs w:val="24"/>
        </w:rPr>
        <w:t>charewa</w:t>
      </w:r>
      <w:r w:rsidR="005B4DB7">
        <w:rPr>
          <w:rFonts w:ascii="Times New Roman" w:hAnsi="Times New Roman" w:cs="Times New Roman"/>
          <w:sz w:val="24"/>
          <w:szCs w:val="24"/>
        </w:rPr>
        <w:t xml:space="preserve"> </w:t>
      </w:r>
      <w:r>
        <w:rPr>
          <w:rFonts w:ascii="Times New Roman" w:hAnsi="Times New Roman" w:cs="Times New Roman"/>
          <w:sz w:val="24"/>
          <w:szCs w:val="24"/>
        </w:rPr>
        <w:t xml:space="preserve">J  </w:t>
      </w:r>
      <w:r w:rsidR="00400FA1">
        <w:rPr>
          <w:rFonts w:ascii="Times New Roman" w:hAnsi="Times New Roman" w:cs="Times New Roman"/>
          <w:sz w:val="24"/>
          <w:szCs w:val="24"/>
        </w:rPr>
        <w:t xml:space="preserve">in the </w:t>
      </w:r>
      <w:r w:rsidR="00A12FE2">
        <w:rPr>
          <w:rFonts w:ascii="Times New Roman" w:hAnsi="Times New Roman" w:cs="Times New Roman"/>
          <w:sz w:val="24"/>
          <w:szCs w:val="24"/>
        </w:rPr>
        <w:t xml:space="preserve">case of </w:t>
      </w:r>
      <w:r w:rsidR="00A12FE2" w:rsidRPr="00A12FE2">
        <w:rPr>
          <w:rFonts w:ascii="Times New Roman" w:hAnsi="Times New Roman" w:cs="Times New Roman"/>
          <w:i/>
          <w:sz w:val="24"/>
          <w:szCs w:val="24"/>
        </w:rPr>
        <w:t xml:space="preserve">Telone (Pvt) Ltd </w:t>
      </w:r>
      <w:r w:rsidR="00A12FE2" w:rsidRPr="00A12FE2">
        <w:rPr>
          <w:rFonts w:ascii="Times New Roman" w:hAnsi="Times New Roman" w:cs="Times New Roman"/>
          <w:sz w:val="24"/>
          <w:szCs w:val="24"/>
        </w:rPr>
        <w:t>v</w:t>
      </w:r>
      <w:r w:rsidR="00A12FE2" w:rsidRPr="00A12FE2">
        <w:rPr>
          <w:rFonts w:ascii="Times New Roman" w:hAnsi="Times New Roman" w:cs="Times New Roman"/>
          <w:i/>
          <w:sz w:val="24"/>
          <w:szCs w:val="24"/>
        </w:rPr>
        <w:t xml:space="preserve"> Capitol Insurance Brokers (Pvt) Ltd</w:t>
      </w:r>
      <w:r w:rsidR="00A12FE2">
        <w:rPr>
          <w:rFonts w:ascii="Times New Roman" w:hAnsi="Times New Roman" w:cs="Times New Roman"/>
          <w:sz w:val="24"/>
          <w:szCs w:val="24"/>
        </w:rPr>
        <w:t xml:space="preserve"> </w:t>
      </w:r>
      <w:r w:rsidR="000D1CD8">
        <w:rPr>
          <w:rFonts w:ascii="Times New Roman" w:hAnsi="Times New Roman" w:cs="Times New Roman"/>
          <w:sz w:val="24"/>
          <w:szCs w:val="24"/>
        </w:rPr>
        <w:t xml:space="preserve">2016 (1) ZLR 169 (H) at p. 175 C-E </w:t>
      </w:r>
      <w:r>
        <w:rPr>
          <w:rFonts w:ascii="Times New Roman" w:hAnsi="Times New Roman" w:cs="Times New Roman"/>
          <w:sz w:val="24"/>
          <w:szCs w:val="24"/>
        </w:rPr>
        <w:t>where she noted that</w:t>
      </w:r>
      <w:r w:rsidR="00A12FE2">
        <w:rPr>
          <w:rFonts w:ascii="Times New Roman" w:hAnsi="Times New Roman" w:cs="Times New Roman"/>
          <w:sz w:val="24"/>
          <w:szCs w:val="24"/>
        </w:rPr>
        <w:t>:-</w:t>
      </w:r>
    </w:p>
    <w:p w14:paraId="3955BABA" w14:textId="6B1F51D9" w:rsidR="00A12FE2" w:rsidRPr="00A12FE2" w:rsidRDefault="00A12FE2" w:rsidP="00A12FE2">
      <w:pPr>
        <w:spacing w:after="0" w:line="240" w:lineRule="auto"/>
        <w:ind w:left="1440"/>
        <w:jc w:val="both"/>
        <w:rPr>
          <w:rFonts w:ascii="Times New Roman" w:hAnsi="Times New Roman" w:cs="Times New Roman"/>
          <w:szCs w:val="24"/>
        </w:rPr>
      </w:pPr>
      <w:r w:rsidRPr="00A12FE2">
        <w:rPr>
          <w:rFonts w:ascii="Times New Roman" w:hAnsi="Times New Roman" w:cs="Times New Roman"/>
          <w:szCs w:val="24"/>
        </w:rPr>
        <w:t xml:space="preserve">“The commentary in the </w:t>
      </w:r>
      <w:r w:rsidR="000D1CD8">
        <w:rPr>
          <w:rFonts w:ascii="Times New Roman" w:hAnsi="Times New Roman" w:cs="Times New Roman"/>
          <w:szCs w:val="24"/>
        </w:rPr>
        <w:t xml:space="preserve">I A </w:t>
      </w:r>
      <w:r w:rsidR="000D1CD8" w:rsidRPr="000D1CD8">
        <w:rPr>
          <w:rFonts w:ascii="Times New Roman" w:hAnsi="Times New Roman" w:cs="Times New Roman"/>
          <w:szCs w:val="24"/>
        </w:rPr>
        <w:t>Donovan</w:t>
      </w:r>
      <w:r w:rsidR="000D1CD8">
        <w:rPr>
          <w:rFonts w:ascii="Times New Roman" w:hAnsi="Times New Roman" w:cs="Times New Roman"/>
          <w:i/>
          <w:szCs w:val="24"/>
        </w:rPr>
        <w:t xml:space="preserve"> et al</w:t>
      </w:r>
      <w:r w:rsidR="000D1CD8">
        <w:rPr>
          <w:rStyle w:val="FootnoteReference"/>
          <w:rFonts w:ascii="Times New Roman" w:hAnsi="Times New Roman" w:cs="Times New Roman"/>
          <w:i/>
          <w:szCs w:val="24"/>
        </w:rPr>
        <w:footnoteReference w:id="1"/>
      </w:r>
      <w:r w:rsidRPr="00A12FE2">
        <w:rPr>
          <w:rFonts w:ascii="Times New Roman" w:hAnsi="Times New Roman" w:cs="Times New Roman"/>
          <w:szCs w:val="24"/>
        </w:rPr>
        <w:t>, at p 5-12</w:t>
      </w:r>
      <w:r w:rsidRPr="00A12FE2">
        <w:rPr>
          <w:rFonts w:ascii="Times New Roman" w:hAnsi="Times New Roman" w:cs="Times New Roman"/>
          <w:b/>
          <w:szCs w:val="24"/>
        </w:rPr>
        <w:t xml:space="preserve"> </w:t>
      </w:r>
      <w:r w:rsidRPr="00A12FE2">
        <w:rPr>
          <w:rFonts w:ascii="Times New Roman" w:hAnsi="Times New Roman" w:cs="Times New Roman"/>
          <w:szCs w:val="24"/>
        </w:rPr>
        <w:t>observed, correctly, in my view, that the writing requirement provided under Article 7(2) can be met in one of four ways which I restate as follows:</w:t>
      </w:r>
    </w:p>
    <w:p w14:paraId="28E94EA2" w14:textId="681697A1" w:rsidR="00A12FE2" w:rsidRPr="00A12FE2" w:rsidRDefault="00A12FE2" w:rsidP="00A12FE2">
      <w:pPr>
        <w:pStyle w:val="ListParagraph"/>
        <w:numPr>
          <w:ilvl w:val="0"/>
          <w:numId w:val="42"/>
        </w:numPr>
        <w:spacing w:after="0" w:line="240" w:lineRule="auto"/>
        <w:ind w:left="2520"/>
        <w:jc w:val="both"/>
        <w:rPr>
          <w:rFonts w:ascii="Times New Roman" w:hAnsi="Times New Roman" w:cs="Times New Roman"/>
          <w:szCs w:val="24"/>
        </w:rPr>
      </w:pPr>
      <w:r w:rsidRPr="00A12FE2">
        <w:rPr>
          <w:rFonts w:ascii="Times New Roman" w:hAnsi="Times New Roman" w:cs="Times New Roman"/>
          <w:szCs w:val="24"/>
        </w:rPr>
        <w:t>agreement in a document signed by the parties</w:t>
      </w:r>
      <w:r w:rsidR="000D1CD8">
        <w:rPr>
          <w:rFonts w:ascii="Times New Roman" w:hAnsi="Times New Roman" w:cs="Times New Roman"/>
          <w:szCs w:val="24"/>
        </w:rPr>
        <w:t>;</w:t>
      </w:r>
    </w:p>
    <w:p w14:paraId="197A6742" w14:textId="45C3E882" w:rsidR="00A12FE2" w:rsidRPr="00A12FE2" w:rsidRDefault="00A12FE2" w:rsidP="00A12FE2">
      <w:pPr>
        <w:pStyle w:val="ListParagraph"/>
        <w:numPr>
          <w:ilvl w:val="0"/>
          <w:numId w:val="42"/>
        </w:numPr>
        <w:spacing w:after="0" w:line="240" w:lineRule="auto"/>
        <w:ind w:left="2520"/>
        <w:jc w:val="both"/>
        <w:rPr>
          <w:rFonts w:ascii="Times New Roman" w:hAnsi="Times New Roman" w:cs="Times New Roman"/>
          <w:szCs w:val="24"/>
        </w:rPr>
      </w:pPr>
      <w:r w:rsidRPr="00A12FE2">
        <w:rPr>
          <w:rFonts w:ascii="Times New Roman" w:hAnsi="Times New Roman" w:cs="Times New Roman"/>
          <w:szCs w:val="24"/>
        </w:rPr>
        <w:t>exchange of letters, telex, telegrams or other means of communication which provide a record of agreement</w:t>
      </w:r>
      <w:r w:rsidR="000D1CD8">
        <w:rPr>
          <w:rFonts w:ascii="Times New Roman" w:hAnsi="Times New Roman" w:cs="Times New Roman"/>
          <w:szCs w:val="24"/>
        </w:rPr>
        <w:t>;</w:t>
      </w:r>
    </w:p>
    <w:p w14:paraId="07D8109E" w14:textId="77777777" w:rsidR="00A12FE2" w:rsidRPr="00A12FE2" w:rsidRDefault="00A12FE2" w:rsidP="00A12FE2">
      <w:pPr>
        <w:pStyle w:val="ListParagraph"/>
        <w:numPr>
          <w:ilvl w:val="0"/>
          <w:numId w:val="42"/>
        </w:numPr>
        <w:spacing w:after="0" w:line="240" w:lineRule="auto"/>
        <w:ind w:left="2520"/>
        <w:jc w:val="both"/>
        <w:rPr>
          <w:rFonts w:ascii="Times New Roman" w:hAnsi="Times New Roman" w:cs="Times New Roman"/>
          <w:szCs w:val="24"/>
        </w:rPr>
      </w:pPr>
      <w:r w:rsidRPr="00A12FE2">
        <w:rPr>
          <w:rFonts w:ascii="Times New Roman" w:hAnsi="Times New Roman" w:cs="Times New Roman"/>
          <w:szCs w:val="24"/>
        </w:rPr>
        <w:t>exchange of statements of claim and defence alleging the existence of an agreement which is not denied by the other party; and, fourthly</w:t>
      </w:r>
    </w:p>
    <w:p w14:paraId="07023560" w14:textId="6F56981E" w:rsidR="00A12FE2" w:rsidRPr="00A12FE2" w:rsidRDefault="000D1CD8" w:rsidP="00A12FE2">
      <w:pPr>
        <w:pStyle w:val="ListParagraph"/>
        <w:numPr>
          <w:ilvl w:val="0"/>
          <w:numId w:val="42"/>
        </w:numPr>
        <w:spacing w:after="0" w:line="240" w:lineRule="auto"/>
        <w:ind w:left="2520"/>
        <w:jc w:val="both"/>
        <w:rPr>
          <w:rFonts w:ascii="Times New Roman" w:hAnsi="Times New Roman" w:cs="Times New Roman"/>
          <w:szCs w:val="24"/>
        </w:rPr>
      </w:pPr>
      <w:r>
        <w:rPr>
          <w:rFonts w:ascii="Times New Roman" w:hAnsi="Times New Roman" w:cs="Times New Roman"/>
          <w:szCs w:val="24"/>
        </w:rPr>
        <w:t>r</w:t>
      </w:r>
      <w:r w:rsidR="00A12FE2" w:rsidRPr="00A12FE2">
        <w:rPr>
          <w:rFonts w:ascii="Times New Roman" w:hAnsi="Times New Roman" w:cs="Times New Roman"/>
          <w:szCs w:val="24"/>
        </w:rPr>
        <w:t>eference in a contract to a document containing an arbitration agreement so long as the agreement is in writing and the reference makes it a part of the contract.</w:t>
      </w:r>
    </w:p>
    <w:p w14:paraId="41E86F58" w14:textId="7677DD39" w:rsidR="00A12FE2" w:rsidRDefault="00A12FE2" w:rsidP="00481C68">
      <w:pPr>
        <w:spacing w:after="0" w:line="240" w:lineRule="auto"/>
        <w:ind w:left="1440" w:firstLine="360"/>
        <w:jc w:val="both"/>
        <w:rPr>
          <w:rFonts w:ascii="Times New Roman" w:hAnsi="Times New Roman" w:cs="Times New Roman"/>
          <w:sz w:val="24"/>
          <w:szCs w:val="24"/>
        </w:rPr>
      </w:pPr>
      <w:r w:rsidRPr="00A12FE2">
        <w:rPr>
          <w:rFonts w:ascii="Times New Roman" w:hAnsi="Times New Roman" w:cs="Times New Roman"/>
          <w:szCs w:val="24"/>
        </w:rPr>
        <w:t>Consequently, I am of the firm view that the correct position is that Art 7(2) recognises that an arbitration clause may be presumed to exist in the absence of a written and signed arbitral clause where an undoubted exchange of letters, faxes documents or other communication provides a record of an agreement to arbitrate.”</w:t>
      </w:r>
      <w:r>
        <w:rPr>
          <w:rFonts w:ascii="Times New Roman" w:hAnsi="Times New Roman" w:cs="Times New Roman"/>
          <w:szCs w:val="24"/>
        </w:rPr>
        <w:t xml:space="preserve"> </w:t>
      </w:r>
    </w:p>
    <w:p w14:paraId="3C1EF481" w14:textId="77777777" w:rsidR="008D7E31" w:rsidRPr="00481C68" w:rsidRDefault="008D7E31" w:rsidP="00481C68">
      <w:pPr>
        <w:spacing w:after="0" w:line="240" w:lineRule="auto"/>
        <w:ind w:left="1440" w:firstLine="360"/>
        <w:jc w:val="both"/>
        <w:rPr>
          <w:rFonts w:ascii="Times New Roman" w:hAnsi="Times New Roman" w:cs="Times New Roman"/>
          <w:sz w:val="24"/>
          <w:szCs w:val="24"/>
        </w:rPr>
      </w:pPr>
    </w:p>
    <w:p w14:paraId="4C582770" w14:textId="1A396D85" w:rsidR="000306CA" w:rsidRPr="00A00900" w:rsidRDefault="00400FA1"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On appeal</w:t>
      </w:r>
      <w:r w:rsidR="000306CA">
        <w:rPr>
          <w:rFonts w:ascii="Times New Roman" w:hAnsi="Times New Roman" w:cs="Times New Roman"/>
          <w:sz w:val="24"/>
          <w:szCs w:val="24"/>
        </w:rPr>
        <w:t>, the Supreme Court</w:t>
      </w:r>
      <w:r w:rsidR="000306C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expressed much the same thought</w:t>
      </w:r>
      <w:r w:rsidR="000306CA">
        <w:rPr>
          <w:rFonts w:ascii="Times New Roman" w:hAnsi="Times New Roman" w:cs="Times New Roman"/>
          <w:sz w:val="24"/>
          <w:szCs w:val="24"/>
        </w:rPr>
        <w:t>:-</w:t>
      </w:r>
    </w:p>
    <w:p w14:paraId="6CEDC6DB" w14:textId="7C83584E" w:rsidR="000306CA" w:rsidRDefault="008D7E31" w:rsidP="000306CA">
      <w:pPr>
        <w:pStyle w:val="ListParagraph"/>
        <w:spacing w:line="240" w:lineRule="auto"/>
        <w:ind w:left="1440"/>
        <w:jc w:val="both"/>
        <w:rPr>
          <w:rFonts w:ascii="Times New Roman" w:hAnsi="Times New Roman" w:cs="Times New Roman"/>
          <w:sz w:val="24"/>
          <w:szCs w:val="24"/>
          <w:lang w:val="en-GB"/>
        </w:rPr>
      </w:pPr>
      <w:r>
        <w:rPr>
          <w:rFonts w:ascii="Times New Roman" w:hAnsi="Times New Roman" w:cs="Times New Roman"/>
          <w:szCs w:val="24"/>
          <w:lang w:val="en-ZW"/>
        </w:rPr>
        <w:t>“</w:t>
      </w:r>
      <w:r w:rsidR="000306CA" w:rsidRPr="00A00900">
        <w:rPr>
          <w:rFonts w:ascii="Times New Roman" w:hAnsi="Times New Roman" w:cs="Times New Roman"/>
          <w:szCs w:val="24"/>
          <w:lang w:val="en-ZW"/>
        </w:rPr>
        <w:t xml:space="preserve">In making a determination that the parties had agreed to refer any dispute between them to arbitration, the court </w:t>
      </w:r>
      <w:r w:rsidR="000306CA" w:rsidRPr="00A00900">
        <w:rPr>
          <w:rFonts w:ascii="Times New Roman" w:hAnsi="Times New Roman" w:cs="Times New Roman"/>
          <w:i/>
          <w:szCs w:val="24"/>
          <w:lang w:val="en-ZW"/>
        </w:rPr>
        <w:t>a quo</w:t>
      </w:r>
      <w:r w:rsidR="000306CA" w:rsidRPr="00A00900">
        <w:rPr>
          <w:rFonts w:ascii="Times New Roman" w:hAnsi="Times New Roman" w:cs="Times New Roman"/>
          <w:szCs w:val="24"/>
          <w:lang w:val="en-ZW"/>
        </w:rPr>
        <w:t xml:space="preserve"> made reference to Article 7 (2) of the Arbitration Act outlined above. As already stated the</w:t>
      </w:r>
      <w:r w:rsidR="000306CA" w:rsidRPr="00A00900">
        <w:rPr>
          <w:rFonts w:ascii="Times New Roman" w:hAnsi="Times New Roman" w:cs="Times New Roman"/>
          <w:szCs w:val="24"/>
          <w:lang w:val="en-GB"/>
        </w:rPr>
        <w:t xml:space="preserve"> provision makes it clear that a court can accept that there was an arbitration agreement if a statement to that effect is contained in an agreement signed by the parties, or recorded in an exchange of letters, telex, telegrams or other means of communication which provide a record of the agreement or in an exchange of statements of claim or defence in which it is alleged by one party and not denied by the other.</w:t>
      </w:r>
      <w:r>
        <w:rPr>
          <w:rFonts w:ascii="Times New Roman" w:hAnsi="Times New Roman" w:cs="Times New Roman"/>
          <w:szCs w:val="24"/>
          <w:lang w:val="en-GB"/>
        </w:rPr>
        <w:t>”</w:t>
      </w:r>
      <w:r w:rsidR="000306CA" w:rsidRPr="00A00900">
        <w:rPr>
          <w:rFonts w:ascii="Times New Roman" w:hAnsi="Times New Roman" w:cs="Times New Roman"/>
          <w:szCs w:val="24"/>
          <w:lang w:val="en-GB"/>
        </w:rPr>
        <w:t xml:space="preserve"> </w:t>
      </w:r>
      <w:r w:rsidR="000306CA">
        <w:rPr>
          <w:rFonts w:ascii="Times New Roman" w:hAnsi="Times New Roman" w:cs="Times New Roman"/>
          <w:sz w:val="24"/>
          <w:szCs w:val="24"/>
          <w:lang w:val="en-GB"/>
        </w:rPr>
        <w:t>(At p15 of the cyclostyled judgment)</w:t>
      </w:r>
      <w:r w:rsidR="00163951">
        <w:rPr>
          <w:rFonts w:ascii="Times New Roman" w:hAnsi="Times New Roman" w:cs="Times New Roman"/>
          <w:sz w:val="24"/>
          <w:szCs w:val="24"/>
          <w:lang w:val="en-GB"/>
        </w:rPr>
        <w:t>”</w:t>
      </w:r>
    </w:p>
    <w:p w14:paraId="78E8D4D5" w14:textId="77777777" w:rsidR="000306CA" w:rsidRPr="00A00900" w:rsidRDefault="000306CA" w:rsidP="000306CA">
      <w:pPr>
        <w:pStyle w:val="ListParagraph"/>
        <w:spacing w:line="240" w:lineRule="auto"/>
        <w:ind w:left="1440"/>
        <w:jc w:val="both"/>
        <w:rPr>
          <w:rFonts w:ascii="Times New Roman" w:hAnsi="Times New Roman" w:cs="Times New Roman"/>
          <w:sz w:val="24"/>
          <w:szCs w:val="24"/>
          <w:lang w:val="en-GB"/>
        </w:rPr>
      </w:pPr>
    </w:p>
    <w:p w14:paraId="57D96186" w14:textId="77777777" w:rsidR="009D237C" w:rsidRDefault="006F6430"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sidRPr="00730161">
        <w:rPr>
          <w:rFonts w:ascii="Times New Roman" w:hAnsi="Times New Roman" w:cs="Times New Roman"/>
          <w:sz w:val="24"/>
          <w:szCs w:val="24"/>
        </w:rPr>
        <w:t xml:space="preserve">It is the applicant’s contention that the key point is whether there is a record of the agreement that falls within the statutory provisions listed in the </w:t>
      </w:r>
      <w:r w:rsidRPr="00730161">
        <w:rPr>
          <w:rFonts w:ascii="Times New Roman" w:hAnsi="Times New Roman" w:cs="Times New Roman"/>
          <w:i/>
          <w:sz w:val="24"/>
          <w:szCs w:val="24"/>
        </w:rPr>
        <w:t>Telone</w:t>
      </w:r>
      <w:r w:rsidRPr="00730161">
        <w:rPr>
          <w:rFonts w:ascii="Times New Roman" w:hAnsi="Times New Roman" w:cs="Times New Roman"/>
          <w:sz w:val="24"/>
          <w:szCs w:val="24"/>
        </w:rPr>
        <w:t xml:space="preserve"> case</w:t>
      </w:r>
      <w:r w:rsidR="00481C68" w:rsidRPr="00730161">
        <w:rPr>
          <w:rFonts w:ascii="Times New Roman" w:hAnsi="Times New Roman" w:cs="Times New Roman"/>
          <w:sz w:val="24"/>
          <w:szCs w:val="24"/>
        </w:rPr>
        <w:t xml:space="preserve"> </w:t>
      </w:r>
      <w:r w:rsidR="00481C68" w:rsidRPr="00730161">
        <w:rPr>
          <w:rFonts w:ascii="Times New Roman" w:hAnsi="Times New Roman" w:cs="Times New Roman"/>
          <w:i/>
          <w:sz w:val="24"/>
          <w:szCs w:val="24"/>
        </w:rPr>
        <w:t>supra</w:t>
      </w:r>
      <w:r w:rsidRPr="00730161">
        <w:rPr>
          <w:rFonts w:ascii="Times New Roman" w:hAnsi="Times New Roman" w:cs="Times New Roman"/>
          <w:sz w:val="24"/>
          <w:szCs w:val="24"/>
        </w:rPr>
        <w:t xml:space="preserve">. The applicant further contends that the absence of a signed agreement by the applicant means the first statutory requirement of a signed agreement is not satisfied. </w:t>
      </w:r>
      <w:r w:rsidR="00730161" w:rsidRPr="00730161">
        <w:rPr>
          <w:rFonts w:ascii="Times New Roman" w:hAnsi="Times New Roman" w:cs="Times New Roman"/>
          <w:sz w:val="24"/>
          <w:szCs w:val="24"/>
        </w:rPr>
        <w:t xml:space="preserve">The applicant relies on the decision of this </w:t>
      </w:r>
      <w:r w:rsidR="00730161" w:rsidRPr="00730161">
        <w:rPr>
          <w:rFonts w:ascii="Times New Roman" w:hAnsi="Times New Roman" w:cs="Times New Roman"/>
          <w:sz w:val="24"/>
          <w:szCs w:val="24"/>
        </w:rPr>
        <w:lastRenderedPageBreak/>
        <w:t xml:space="preserve">court in </w:t>
      </w:r>
      <w:r w:rsidR="00730161" w:rsidRPr="00730161">
        <w:rPr>
          <w:rFonts w:ascii="Times New Roman" w:hAnsi="Times New Roman" w:cs="Times New Roman"/>
          <w:i/>
          <w:sz w:val="24"/>
          <w:szCs w:val="24"/>
        </w:rPr>
        <w:t xml:space="preserve">Olcraft (Private) Limited t/a Flora Unlimited </w:t>
      </w:r>
      <w:r w:rsidR="00730161" w:rsidRPr="00730161">
        <w:rPr>
          <w:rFonts w:ascii="Times New Roman" w:hAnsi="Times New Roman" w:cs="Times New Roman"/>
          <w:sz w:val="24"/>
          <w:szCs w:val="24"/>
        </w:rPr>
        <w:t>v</w:t>
      </w:r>
      <w:r w:rsidR="00730161" w:rsidRPr="00730161">
        <w:rPr>
          <w:rFonts w:ascii="Times New Roman" w:hAnsi="Times New Roman" w:cs="Times New Roman"/>
          <w:i/>
          <w:sz w:val="24"/>
          <w:szCs w:val="24"/>
        </w:rPr>
        <w:t xml:space="preserve"> FC Platinum</w:t>
      </w:r>
      <w:r w:rsidR="00730161" w:rsidRPr="00730161">
        <w:rPr>
          <w:rFonts w:ascii="Times New Roman" w:hAnsi="Times New Roman" w:cs="Times New Roman"/>
          <w:sz w:val="24"/>
          <w:szCs w:val="24"/>
        </w:rPr>
        <w:t xml:space="preserve"> HH529/15 as authority that the Arbitration Act [</w:t>
      </w:r>
      <w:r w:rsidR="00730161" w:rsidRPr="00730161">
        <w:rPr>
          <w:rFonts w:ascii="Times New Roman" w:hAnsi="Times New Roman" w:cs="Times New Roman"/>
          <w:i/>
          <w:sz w:val="24"/>
          <w:szCs w:val="24"/>
        </w:rPr>
        <w:t>Chapter 7:15</w:t>
      </w:r>
      <w:r w:rsidR="00730161" w:rsidRPr="00730161">
        <w:rPr>
          <w:rFonts w:ascii="Times New Roman" w:hAnsi="Times New Roman" w:cs="Times New Roman"/>
          <w:sz w:val="24"/>
          <w:szCs w:val="24"/>
        </w:rPr>
        <w:t xml:space="preserve">] makes it mandatory for the arbitration agreement to be in writing. </w:t>
      </w:r>
    </w:p>
    <w:p w14:paraId="441B6815" w14:textId="3686346F" w:rsidR="00730161" w:rsidRPr="001442A9" w:rsidRDefault="009D237C"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w:t>
      </w:r>
      <w:r w:rsidRPr="009D237C">
        <w:rPr>
          <w:rFonts w:ascii="Times New Roman" w:hAnsi="Times New Roman" w:cs="Times New Roman"/>
          <w:i/>
          <w:sz w:val="24"/>
          <w:szCs w:val="24"/>
        </w:rPr>
        <w:t>Telone</w:t>
      </w:r>
      <w:r>
        <w:rPr>
          <w:rFonts w:ascii="Times New Roman" w:hAnsi="Times New Roman" w:cs="Times New Roman"/>
          <w:sz w:val="24"/>
          <w:szCs w:val="24"/>
        </w:rPr>
        <w:t xml:space="preserve"> case </w:t>
      </w:r>
      <w:r w:rsidRPr="009D237C">
        <w:rPr>
          <w:rFonts w:ascii="Times New Roman" w:hAnsi="Times New Roman" w:cs="Times New Roman"/>
          <w:i/>
          <w:sz w:val="24"/>
          <w:szCs w:val="24"/>
        </w:rPr>
        <w:t>supra</w:t>
      </w:r>
      <w:r>
        <w:rPr>
          <w:rFonts w:ascii="Times New Roman" w:hAnsi="Times New Roman" w:cs="Times New Roman"/>
          <w:sz w:val="24"/>
          <w:szCs w:val="24"/>
        </w:rPr>
        <w:t xml:space="preserve"> has already settled the position that there are four standalone instances which can be resorted to in testing whether writing requirement in Article 7 (2) has been satisfied. In any event, the applicant’s reliance on the </w:t>
      </w:r>
      <w:r w:rsidRPr="00730161">
        <w:rPr>
          <w:rFonts w:ascii="Times New Roman" w:hAnsi="Times New Roman" w:cs="Times New Roman"/>
          <w:i/>
          <w:sz w:val="24"/>
          <w:szCs w:val="24"/>
        </w:rPr>
        <w:t xml:space="preserve">Olcraft </w:t>
      </w:r>
      <w:r>
        <w:rPr>
          <w:rFonts w:ascii="Times New Roman" w:hAnsi="Times New Roman" w:cs="Times New Roman"/>
          <w:sz w:val="24"/>
          <w:szCs w:val="24"/>
        </w:rPr>
        <w:t xml:space="preserve">case </w:t>
      </w:r>
      <w:r w:rsidRPr="00730161">
        <w:rPr>
          <w:rFonts w:ascii="Times New Roman" w:hAnsi="Times New Roman" w:cs="Times New Roman"/>
          <w:i/>
          <w:sz w:val="24"/>
          <w:szCs w:val="24"/>
        </w:rPr>
        <w:t>supra</w:t>
      </w:r>
      <w:r w:rsidR="000D1CD8">
        <w:rPr>
          <w:rFonts w:ascii="Times New Roman" w:hAnsi="Times New Roman" w:cs="Times New Roman"/>
          <w:sz w:val="24"/>
          <w:szCs w:val="24"/>
        </w:rPr>
        <w:t xml:space="preserve"> does not take its </w:t>
      </w:r>
      <w:r>
        <w:rPr>
          <w:rFonts w:ascii="Times New Roman" w:hAnsi="Times New Roman" w:cs="Times New Roman"/>
          <w:sz w:val="24"/>
          <w:szCs w:val="24"/>
        </w:rPr>
        <w:t xml:space="preserve">case any further because it is common cause that the arbitration agreement in the present case is in writing. The issue of whether or not the agreement was in writing does not fall for determination before this court. The real issue is whether the unsigned agreement constitutes a valid agreement.  </w:t>
      </w:r>
    </w:p>
    <w:p w14:paraId="3A4E5343" w14:textId="431AE272" w:rsidR="006F6430" w:rsidRPr="00730161" w:rsidRDefault="006F6430"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sidRPr="00730161">
        <w:rPr>
          <w:rFonts w:ascii="Times New Roman" w:hAnsi="Times New Roman" w:cs="Times New Roman"/>
          <w:sz w:val="24"/>
          <w:szCs w:val="24"/>
        </w:rPr>
        <w:t>The applicant’s further a</w:t>
      </w:r>
      <w:r w:rsidR="00AB63DE">
        <w:rPr>
          <w:rFonts w:ascii="Times New Roman" w:hAnsi="Times New Roman" w:cs="Times New Roman"/>
          <w:sz w:val="24"/>
          <w:szCs w:val="24"/>
        </w:rPr>
        <w:t>rgument is that because there was</w:t>
      </w:r>
      <w:r w:rsidRPr="00730161">
        <w:rPr>
          <w:rFonts w:ascii="Times New Roman" w:hAnsi="Times New Roman" w:cs="Times New Roman"/>
          <w:sz w:val="24"/>
          <w:szCs w:val="24"/>
        </w:rPr>
        <w:t xml:space="preserve"> no exchange of letters, telex, telegrams or other means of communication which provide a record of the agreement, the second rung of the alternative requirement to prove the existence of an arbitration agreement is not satisfied. Additionally, the applicant submits that the pleadings do not show an acceptance of an arbitration clause, which negates the possibility of satisfying the third requirement.</w:t>
      </w:r>
      <w:r w:rsidR="00730161" w:rsidRPr="00730161">
        <w:rPr>
          <w:rFonts w:ascii="Times New Roman" w:hAnsi="Times New Roman" w:cs="Times New Roman"/>
          <w:sz w:val="24"/>
          <w:szCs w:val="24"/>
        </w:rPr>
        <w:t xml:space="preserve"> </w:t>
      </w:r>
      <w:r w:rsidR="00730161">
        <w:rPr>
          <w:rFonts w:ascii="Times New Roman" w:hAnsi="Times New Roman" w:cs="Times New Roman"/>
          <w:sz w:val="24"/>
          <w:szCs w:val="24"/>
        </w:rPr>
        <w:t xml:space="preserve"> </w:t>
      </w:r>
      <w:r w:rsidR="00713C94" w:rsidRPr="00730161">
        <w:rPr>
          <w:rFonts w:ascii="Times New Roman" w:hAnsi="Times New Roman" w:cs="Times New Roman"/>
          <w:sz w:val="24"/>
          <w:szCs w:val="24"/>
        </w:rPr>
        <w:t xml:space="preserve">I hold a different view. </w:t>
      </w:r>
    </w:p>
    <w:p w14:paraId="4F2B43C1" w14:textId="6E771AC4" w:rsidR="00E61AF5" w:rsidRDefault="00713C94"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concluding that there was an arbitration agreement between the parties, the second respondent reasoned that:-</w:t>
      </w:r>
    </w:p>
    <w:p w14:paraId="454F9A74" w14:textId="7897E582"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“The first question to ask is whether there was an agreement between the parties which confers jurisdiction on the arbitrator. In Paragraph 6 to its Plea, Respondent states as follows:</w:t>
      </w:r>
    </w:p>
    <w:p w14:paraId="06DA6CE6" w14:textId="380D522B" w:rsidR="00E61AF5" w:rsidRPr="00E61AF5" w:rsidRDefault="00E61AF5" w:rsidP="00E61AF5">
      <w:pPr>
        <w:pStyle w:val="ListParagraph"/>
        <w:spacing w:after="0" w:line="240" w:lineRule="auto"/>
        <w:ind w:left="2160"/>
        <w:jc w:val="both"/>
        <w:rPr>
          <w:rFonts w:ascii="Times New Roman" w:hAnsi="Times New Roman" w:cs="Times New Roman"/>
          <w:sz w:val="20"/>
          <w:szCs w:val="24"/>
        </w:rPr>
      </w:pPr>
      <w:r w:rsidRPr="00E61AF5">
        <w:rPr>
          <w:rFonts w:ascii="Times New Roman" w:hAnsi="Times New Roman" w:cs="Times New Roman"/>
          <w:sz w:val="20"/>
          <w:szCs w:val="24"/>
        </w:rPr>
        <w:t>''It is further submitted that there is an arbitration agreement for the defined work. In terms of the addendum as both parties did not sign the agreement as has been pleaded….”</w:t>
      </w:r>
    </w:p>
    <w:p w14:paraId="2A6B4B0B" w14:textId="25EC4A14"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 xml:space="preserve">The Respondent alludes to an unsigned agreement and absence of an addendum for the defined work. I must hasten to say that if a party wishes that its matter be decided on the papers, it is important that it provides all the relevant documentary evidence to support its case. Respondent's Plea to jurisdiction is fraught with references to legislation and case law without the necessary facts to support the assertion that there was no arbitration agreement between the parties. The only facts disclosed by the Respondent are contained in Paragraph 6 to their Plea quoted above. A reading of Paragraph 6 to Respondent's Plea suggests that there was indeed an agreement between the parties </w:t>
      </w:r>
      <w:r>
        <w:rPr>
          <w:rFonts w:ascii="Times New Roman" w:hAnsi="Times New Roman" w:cs="Times New Roman"/>
          <w:szCs w:val="24"/>
        </w:rPr>
        <w:t>which agreement was not signed.</w:t>
      </w:r>
    </w:p>
    <w:p w14:paraId="74514533" w14:textId="77777777" w:rsidR="00E61AF5" w:rsidRPr="00E61AF5" w:rsidRDefault="00E61AF5" w:rsidP="00E61AF5">
      <w:pPr>
        <w:pStyle w:val="ListParagraph"/>
        <w:spacing w:after="0" w:line="240" w:lineRule="auto"/>
        <w:ind w:left="1440"/>
        <w:jc w:val="both"/>
        <w:rPr>
          <w:rFonts w:ascii="Times New Roman" w:hAnsi="Times New Roman" w:cs="Times New Roman"/>
          <w:szCs w:val="24"/>
        </w:rPr>
      </w:pPr>
    </w:p>
    <w:p w14:paraId="7E43E335" w14:textId="1D8E23E3"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 xml:space="preserve">The Respondent also makes reference to an addendum for defined works. The Respondent did not attach a copy of the unsigned agreement nor the addendum. In the matter of </w:t>
      </w:r>
      <w:r w:rsidRPr="00481C68">
        <w:rPr>
          <w:rFonts w:ascii="Times New Roman" w:hAnsi="Times New Roman" w:cs="Times New Roman"/>
          <w:i/>
          <w:szCs w:val="24"/>
        </w:rPr>
        <w:t xml:space="preserve">Zimbabwe </w:t>
      </w:r>
      <w:r w:rsidR="00481C68" w:rsidRPr="00481C68">
        <w:rPr>
          <w:rFonts w:ascii="Times New Roman" w:hAnsi="Times New Roman" w:cs="Times New Roman"/>
          <w:i/>
          <w:szCs w:val="24"/>
        </w:rPr>
        <w:t>Revenue</w:t>
      </w:r>
      <w:r w:rsidRPr="00481C68">
        <w:rPr>
          <w:rFonts w:ascii="Times New Roman" w:hAnsi="Times New Roman" w:cs="Times New Roman"/>
          <w:i/>
          <w:szCs w:val="24"/>
        </w:rPr>
        <w:t xml:space="preserve"> Authority </w:t>
      </w:r>
      <w:r w:rsidRPr="00481C68">
        <w:rPr>
          <w:rFonts w:ascii="Times New Roman" w:hAnsi="Times New Roman" w:cs="Times New Roman"/>
          <w:szCs w:val="24"/>
        </w:rPr>
        <w:t>v</w:t>
      </w:r>
      <w:r w:rsidRPr="00481C68">
        <w:rPr>
          <w:rFonts w:ascii="Times New Roman" w:hAnsi="Times New Roman" w:cs="Times New Roman"/>
          <w:i/>
          <w:szCs w:val="24"/>
        </w:rPr>
        <w:t xml:space="preserve"> Amandiz Architects (Pvt) Ltd &amp; James McComish N.O</w:t>
      </w:r>
      <w:r w:rsidRPr="00E61AF5">
        <w:rPr>
          <w:rFonts w:ascii="Times New Roman" w:hAnsi="Times New Roman" w:cs="Times New Roman"/>
          <w:szCs w:val="24"/>
        </w:rPr>
        <w:t xml:space="preserve"> HH657/23 the Honourable Mhuri J had this to say when considering similar facts where the applicant had filed an application in terms of Article 16 challenging the jurisdiction of an arbitrator:</w:t>
      </w:r>
    </w:p>
    <w:p w14:paraId="05A4FB1F" w14:textId="60A23C4E" w:rsidR="00E61AF5" w:rsidRPr="00163951" w:rsidRDefault="00E61AF5" w:rsidP="00E61AF5">
      <w:pPr>
        <w:pStyle w:val="ListParagraph"/>
        <w:spacing w:after="0" w:line="240" w:lineRule="auto"/>
        <w:ind w:left="2160"/>
        <w:jc w:val="both"/>
        <w:rPr>
          <w:rFonts w:ascii="Times New Roman" w:hAnsi="Times New Roman" w:cs="Times New Roman"/>
        </w:rPr>
      </w:pPr>
      <w:r w:rsidRPr="00163951">
        <w:rPr>
          <w:rFonts w:ascii="Times New Roman" w:hAnsi="Times New Roman" w:cs="Times New Roman"/>
        </w:rPr>
        <w:lastRenderedPageBreak/>
        <w:t xml:space="preserve">"Addendum as the word clearly states, is an additional document added to a document or a contract setting out extra terms as what happened in </w:t>
      </w:r>
      <w:r w:rsidRPr="00163951">
        <w:rPr>
          <w:rFonts w:ascii="Times New Roman" w:hAnsi="Times New Roman" w:cs="Times New Roman"/>
          <w:i/>
        </w:rPr>
        <w:t>casu</w:t>
      </w:r>
      <w:r w:rsidRPr="00163951">
        <w:rPr>
          <w:rFonts w:ascii="Times New Roman" w:hAnsi="Times New Roman" w:cs="Times New Roman"/>
        </w:rPr>
        <w:t xml:space="preserve">. It must be signed by both parties to the main contract for it to have a binding effect.  In </w:t>
      </w:r>
      <w:r w:rsidRPr="00163951">
        <w:rPr>
          <w:rFonts w:ascii="Times New Roman" w:hAnsi="Times New Roman" w:cs="Times New Roman"/>
          <w:i/>
        </w:rPr>
        <w:t>casu</w:t>
      </w:r>
      <w:r w:rsidRPr="00163951">
        <w:rPr>
          <w:rFonts w:ascii="Times New Roman" w:hAnsi="Times New Roman" w:cs="Times New Roman"/>
        </w:rPr>
        <w:t>, the addendum was signed only by one party. The memorandum of Agreement was between applicant and first respondent. The addendum equally was between applicant and first respondent.</w:t>
      </w:r>
      <w:r w:rsidR="00163951">
        <w:rPr>
          <w:rFonts w:ascii="Times New Roman" w:hAnsi="Times New Roman" w:cs="Times New Roman"/>
        </w:rPr>
        <w:t>”</w:t>
      </w:r>
    </w:p>
    <w:p w14:paraId="74E295F0" w14:textId="77777777" w:rsidR="00E61AF5" w:rsidRDefault="00E61AF5" w:rsidP="00E61AF5">
      <w:pPr>
        <w:pStyle w:val="ListParagraph"/>
        <w:spacing w:after="0" w:line="240" w:lineRule="auto"/>
        <w:ind w:left="1440"/>
        <w:jc w:val="both"/>
        <w:rPr>
          <w:rFonts w:ascii="Times New Roman" w:hAnsi="Times New Roman" w:cs="Times New Roman"/>
          <w:szCs w:val="24"/>
        </w:rPr>
      </w:pPr>
    </w:p>
    <w:p w14:paraId="25427DD9" w14:textId="339F0CA1"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What is clear from Respondent'</w:t>
      </w:r>
      <w:r>
        <w:rPr>
          <w:rFonts w:ascii="Times New Roman" w:hAnsi="Times New Roman" w:cs="Times New Roman"/>
          <w:szCs w:val="24"/>
        </w:rPr>
        <w:t>s</w:t>
      </w:r>
      <w:r w:rsidRPr="00E61AF5">
        <w:rPr>
          <w:rFonts w:ascii="Times New Roman" w:hAnsi="Times New Roman" w:cs="Times New Roman"/>
          <w:szCs w:val="24"/>
        </w:rPr>
        <w:t xml:space="preserve"> Plea is that:</w:t>
      </w:r>
    </w:p>
    <w:p w14:paraId="02E2C068" w14:textId="448279A6"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1. There was/is a</w:t>
      </w:r>
      <w:r>
        <w:rPr>
          <w:rFonts w:ascii="Times New Roman" w:hAnsi="Times New Roman" w:cs="Times New Roman"/>
          <w:szCs w:val="24"/>
        </w:rPr>
        <w:t>n agreement between the parties.</w:t>
      </w:r>
    </w:p>
    <w:p w14:paraId="4FFC0FB3" w14:textId="71CCF7FA"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2. The agreement is</w:t>
      </w:r>
      <w:r>
        <w:rPr>
          <w:rFonts w:ascii="Times New Roman" w:hAnsi="Times New Roman" w:cs="Times New Roman"/>
          <w:szCs w:val="24"/>
        </w:rPr>
        <w:t xml:space="preserve"> not signed.</w:t>
      </w:r>
    </w:p>
    <w:p w14:paraId="13F32F88" w14:textId="77777777"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3. There is an addendum to the unsigned agreement for defined work.</w:t>
      </w:r>
    </w:p>
    <w:p w14:paraId="3DE96269" w14:textId="15D9BE86" w:rsidR="00E61AF5" w:rsidRPr="00E61AF5" w:rsidRDefault="00E61AF5" w:rsidP="00E61AF5">
      <w:pPr>
        <w:pStyle w:val="ListParagraph"/>
        <w:spacing w:after="0" w:line="240" w:lineRule="auto"/>
        <w:ind w:left="1440"/>
        <w:jc w:val="both"/>
        <w:rPr>
          <w:rFonts w:ascii="Times New Roman" w:hAnsi="Times New Roman" w:cs="Times New Roman"/>
          <w:szCs w:val="24"/>
        </w:rPr>
      </w:pPr>
      <w:r w:rsidRPr="00E61AF5">
        <w:rPr>
          <w:rFonts w:ascii="Times New Roman" w:hAnsi="Times New Roman" w:cs="Times New Roman"/>
          <w:szCs w:val="24"/>
        </w:rPr>
        <w:t>4. The Respondent does not deny the fact that the unsigned agreement contained an arbitration clause or agreement.”</w:t>
      </w:r>
    </w:p>
    <w:p w14:paraId="715C28E9" w14:textId="7DDC992D" w:rsidR="00713C94" w:rsidRPr="00730161" w:rsidRDefault="00713C94" w:rsidP="00730161">
      <w:pPr>
        <w:spacing w:after="0" w:line="360" w:lineRule="auto"/>
        <w:jc w:val="both"/>
        <w:rPr>
          <w:rFonts w:ascii="Times New Roman" w:hAnsi="Times New Roman" w:cs="Times New Roman"/>
          <w:sz w:val="24"/>
          <w:szCs w:val="24"/>
        </w:rPr>
      </w:pPr>
    </w:p>
    <w:p w14:paraId="1868696F" w14:textId="77777777" w:rsidR="00E61AF5" w:rsidRDefault="00E61AF5"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sidRPr="00E61AF5">
        <w:rPr>
          <w:rFonts w:ascii="Times New Roman" w:hAnsi="Times New Roman" w:cs="Times New Roman"/>
          <w:sz w:val="24"/>
          <w:szCs w:val="24"/>
        </w:rPr>
        <w:t xml:space="preserve">In my opinion, the second respondent’s reasoning </w:t>
      </w:r>
      <w:r>
        <w:rPr>
          <w:rFonts w:ascii="Times New Roman" w:hAnsi="Times New Roman" w:cs="Times New Roman"/>
          <w:sz w:val="24"/>
          <w:szCs w:val="24"/>
        </w:rPr>
        <w:t>cannot be faulted.</w:t>
      </w:r>
      <w:r w:rsidRPr="00E61AF5">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13C94" w:rsidRPr="00E61AF5">
        <w:rPr>
          <w:rFonts w:ascii="Times New Roman" w:hAnsi="Times New Roman" w:cs="Times New Roman"/>
          <w:sz w:val="24"/>
          <w:szCs w:val="24"/>
        </w:rPr>
        <w:t>p</w:t>
      </w:r>
      <w:r w:rsidRPr="00E61AF5">
        <w:rPr>
          <w:rFonts w:ascii="Times New Roman" w:hAnsi="Times New Roman" w:cs="Times New Roman"/>
          <w:sz w:val="24"/>
          <w:szCs w:val="24"/>
        </w:rPr>
        <w:t xml:space="preserve">roceedings </w:t>
      </w:r>
      <w:r w:rsidR="00713C94" w:rsidRPr="00E61AF5">
        <w:rPr>
          <w:rFonts w:ascii="Times New Roman" w:hAnsi="Times New Roman" w:cs="Times New Roman"/>
          <w:sz w:val="24"/>
          <w:szCs w:val="24"/>
        </w:rPr>
        <w:t xml:space="preserve">before </w:t>
      </w:r>
      <w:r w:rsidRPr="00E61AF5">
        <w:rPr>
          <w:rFonts w:ascii="Times New Roman" w:hAnsi="Times New Roman" w:cs="Times New Roman"/>
          <w:sz w:val="24"/>
          <w:szCs w:val="24"/>
        </w:rPr>
        <w:t xml:space="preserve">her </w:t>
      </w:r>
      <w:r w:rsidR="00713C94" w:rsidRPr="00E61AF5">
        <w:rPr>
          <w:rFonts w:ascii="Times New Roman" w:hAnsi="Times New Roman" w:cs="Times New Roman"/>
          <w:sz w:val="24"/>
          <w:szCs w:val="24"/>
        </w:rPr>
        <w:t>show</w:t>
      </w:r>
      <w:r w:rsidRPr="00E61AF5">
        <w:rPr>
          <w:rFonts w:ascii="Times New Roman" w:hAnsi="Times New Roman" w:cs="Times New Roman"/>
          <w:sz w:val="24"/>
          <w:szCs w:val="24"/>
        </w:rPr>
        <w:t>ed</w:t>
      </w:r>
      <w:r w:rsidR="00713C94" w:rsidRPr="00E61AF5">
        <w:rPr>
          <w:rFonts w:ascii="Times New Roman" w:hAnsi="Times New Roman" w:cs="Times New Roman"/>
          <w:sz w:val="24"/>
          <w:szCs w:val="24"/>
        </w:rPr>
        <w:t xml:space="preserve"> that the applicant d</w:t>
      </w:r>
      <w:r w:rsidRPr="00E61AF5">
        <w:rPr>
          <w:rFonts w:ascii="Times New Roman" w:hAnsi="Times New Roman" w:cs="Times New Roman"/>
          <w:sz w:val="24"/>
          <w:szCs w:val="24"/>
        </w:rPr>
        <w:t>id</w:t>
      </w:r>
      <w:r w:rsidR="00713C94" w:rsidRPr="00E61AF5">
        <w:rPr>
          <w:rFonts w:ascii="Times New Roman" w:hAnsi="Times New Roman" w:cs="Times New Roman"/>
          <w:sz w:val="24"/>
          <w:szCs w:val="24"/>
        </w:rPr>
        <w:t xml:space="preserve"> not deny that th</w:t>
      </w:r>
      <w:r w:rsidRPr="00E61AF5">
        <w:rPr>
          <w:rFonts w:ascii="Times New Roman" w:hAnsi="Times New Roman" w:cs="Times New Roman"/>
          <w:sz w:val="24"/>
          <w:szCs w:val="24"/>
        </w:rPr>
        <w:t xml:space="preserve">e </w:t>
      </w:r>
      <w:r w:rsidR="00713C94" w:rsidRPr="00E61AF5">
        <w:rPr>
          <w:rFonts w:ascii="Times New Roman" w:hAnsi="Times New Roman" w:cs="Times New Roman"/>
          <w:sz w:val="24"/>
          <w:szCs w:val="24"/>
        </w:rPr>
        <w:t xml:space="preserve">contract </w:t>
      </w:r>
      <w:r w:rsidRPr="00E61AF5">
        <w:rPr>
          <w:rFonts w:ascii="Times New Roman" w:hAnsi="Times New Roman" w:cs="Times New Roman"/>
          <w:sz w:val="24"/>
          <w:szCs w:val="24"/>
        </w:rPr>
        <w:t xml:space="preserve">contained an arbitration clause. </w:t>
      </w:r>
      <w:r>
        <w:rPr>
          <w:rFonts w:ascii="Times New Roman" w:hAnsi="Times New Roman" w:cs="Times New Roman"/>
          <w:sz w:val="24"/>
          <w:szCs w:val="24"/>
        </w:rPr>
        <w:t>The applicant also did not deny that the contract was</w:t>
      </w:r>
      <w:r w:rsidR="006F6430" w:rsidRPr="00E61AF5">
        <w:rPr>
          <w:rFonts w:ascii="Times New Roman" w:hAnsi="Times New Roman" w:cs="Times New Roman"/>
          <w:sz w:val="24"/>
          <w:szCs w:val="24"/>
        </w:rPr>
        <w:t xml:space="preserve"> in writing. </w:t>
      </w:r>
      <w:r w:rsidRPr="00E61AF5">
        <w:rPr>
          <w:rFonts w:ascii="Times New Roman" w:hAnsi="Times New Roman" w:cs="Times New Roman"/>
          <w:sz w:val="24"/>
          <w:szCs w:val="24"/>
        </w:rPr>
        <w:t xml:space="preserve">The issue was on the fact that the contract was not signed. </w:t>
      </w:r>
    </w:p>
    <w:p w14:paraId="26ADA6F3" w14:textId="0E56AC33" w:rsidR="00E61AF5" w:rsidRPr="009D237C" w:rsidRDefault="00E61AF5"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sidRPr="00E61AF5">
        <w:rPr>
          <w:rFonts w:ascii="Times New Roman" w:hAnsi="Times New Roman" w:cs="Times New Roman"/>
          <w:sz w:val="24"/>
          <w:szCs w:val="24"/>
        </w:rPr>
        <w:t xml:space="preserve">This is the </w:t>
      </w:r>
      <w:r>
        <w:rPr>
          <w:rFonts w:ascii="Times New Roman" w:hAnsi="Times New Roman" w:cs="Times New Roman"/>
          <w:sz w:val="24"/>
          <w:szCs w:val="24"/>
        </w:rPr>
        <w:t xml:space="preserve">same </w:t>
      </w:r>
      <w:r w:rsidRPr="00E61AF5">
        <w:rPr>
          <w:rFonts w:ascii="Times New Roman" w:hAnsi="Times New Roman" w:cs="Times New Roman"/>
          <w:sz w:val="24"/>
          <w:szCs w:val="24"/>
        </w:rPr>
        <w:t xml:space="preserve">argument that the applicant has maintained throughout the current proceedings. </w:t>
      </w:r>
      <w:r w:rsidR="00AB63DE">
        <w:rPr>
          <w:rFonts w:ascii="Times New Roman" w:hAnsi="Times New Roman" w:cs="Times New Roman"/>
          <w:sz w:val="24"/>
          <w:szCs w:val="24"/>
        </w:rPr>
        <w:t>I h</w:t>
      </w:r>
      <w:r w:rsidR="009D237C">
        <w:rPr>
          <w:rFonts w:ascii="Times New Roman" w:hAnsi="Times New Roman" w:cs="Times New Roman"/>
          <w:sz w:val="24"/>
          <w:szCs w:val="24"/>
        </w:rPr>
        <w:t>ave already alluded to the fact that t</w:t>
      </w:r>
      <w:r w:rsidRPr="009D237C">
        <w:rPr>
          <w:rFonts w:ascii="Times New Roman" w:hAnsi="Times New Roman" w:cs="Times New Roman"/>
          <w:sz w:val="24"/>
          <w:szCs w:val="24"/>
        </w:rPr>
        <w:t xml:space="preserve">he issue before the court does not relate to the existence of the arbitration </w:t>
      </w:r>
      <w:r w:rsidR="00481C68" w:rsidRPr="009D237C">
        <w:rPr>
          <w:rFonts w:ascii="Times New Roman" w:hAnsi="Times New Roman" w:cs="Times New Roman"/>
          <w:sz w:val="24"/>
          <w:szCs w:val="24"/>
        </w:rPr>
        <w:t>agreement,</w:t>
      </w:r>
      <w:r w:rsidRPr="009D237C">
        <w:rPr>
          <w:rFonts w:ascii="Times New Roman" w:hAnsi="Times New Roman" w:cs="Times New Roman"/>
          <w:sz w:val="24"/>
          <w:szCs w:val="24"/>
        </w:rPr>
        <w:t xml:space="preserve"> </w:t>
      </w:r>
      <w:r w:rsidR="009D237C">
        <w:rPr>
          <w:rFonts w:ascii="Times New Roman" w:hAnsi="Times New Roman" w:cs="Times New Roman"/>
          <w:sz w:val="24"/>
          <w:szCs w:val="24"/>
        </w:rPr>
        <w:t xml:space="preserve">as </w:t>
      </w:r>
      <w:r w:rsidRPr="009D237C">
        <w:rPr>
          <w:rFonts w:ascii="Times New Roman" w:hAnsi="Times New Roman" w:cs="Times New Roman"/>
          <w:sz w:val="24"/>
          <w:szCs w:val="24"/>
        </w:rPr>
        <w:t xml:space="preserve">this is </w:t>
      </w:r>
      <w:r w:rsidR="009D237C">
        <w:rPr>
          <w:rFonts w:ascii="Times New Roman" w:hAnsi="Times New Roman" w:cs="Times New Roman"/>
          <w:sz w:val="24"/>
          <w:szCs w:val="24"/>
        </w:rPr>
        <w:t xml:space="preserve">common cause. The issue </w:t>
      </w:r>
      <w:r w:rsidRPr="009D237C">
        <w:rPr>
          <w:rFonts w:ascii="Times New Roman" w:hAnsi="Times New Roman" w:cs="Times New Roman"/>
          <w:sz w:val="24"/>
          <w:szCs w:val="24"/>
        </w:rPr>
        <w:t>relates</w:t>
      </w:r>
      <w:r w:rsidR="00481C68" w:rsidRPr="009D237C">
        <w:rPr>
          <w:rFonts w:ascii="Times New Roman" w:hAnsi="Times New Roman" w:cs="Times New Roman"/>
          <w:sz w:val="24"/>
          <w:szCs w:val="24"/>
        </w:rPr>
        <w:t xml:space="preserve"> to the validity thereof by virtue of </w:t>
      </w:r>
      <w:r w:rsidR="009D237C">
        <w:rPr>
          <w:rFonts w:ascii="Times New Roman" w:hAnsi="Times New Roman" w:cs="Times New Roman"/>
          <w:sz w:val="24"/>
          <w:szCs w:val="24"/>
        </w:rPr>
        <w:t xml:space="preserve">the contract </w:t>
      </w:r>
      <w:r w:rsidR="00481C68" w:rsidRPr="009D237C">
        <w:rPr>
          <w:rFonts w:ascii="Times New Roman" w:hAnsi="Times New Roman" w:cs="Times New Roman"/>
          <w:sz w:val="24"/>
          <w:szCs w:val="24"/>
        </w:rPr>
        <w:t xml:space="preserve">not having been signed by both parties. </w:t>
      </w:r>
    </w:p>
    <w:p w14:paraId="3067F534" w14:textId="561A397F" w:rsidR="00E61AF5" w:rsidRDefault="00692245" w:rsidP="00163951">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approaching this issue, courts in this jurisdiction have traditionally followed that:- </w:t>
      </w:r>
    </w:p>
    <w:p w14:paraId="47081D6C" w14:textId="21CD169B" w:rsidR="0008577B" w:rsidRPr="0008577B" w:rsidRDefault="00692245" w:rsidP="0008577B">
      <w:pPr>
        <w:pStyle w:val="ListParagraph"/>
        <w:spacing w:after="0" w:line="240" w:lineRule="auto"/>
        <w:ind w:left="1440"/>
        <w:jc w:val="both"/>
        <w:rPr>
          <w:rFonts w:ascii="Times New Roman" w:hAnsi="Times New Roman" w:cs="Times New Roman"/>
        </w:rPr>
      </w:pPr>
      <w:r>
        <w:rPr>
          <w:rFonts w:ascii="Times New Roman" w:hAnsi="Times New Roman" w:cs="Times New Roman"/>
        </w:rPr>
        <w:t>“</w:t>
      </w:r>
      <w:r w:rsidR="0008577B" w:rsidRPr="0008577B">
        <w:rPr>
          <w:rFonts w:ascii="Times New Roman" w:hAnsi="Times New Roman" w:cs="Times New Roman"/>
        </w:rPr>
        <w:t xml:space="preserve">It may also be noted that the fact that a contractual document was not signed by a party does not necessarily imply that no contract was concluded. The validity of an unsigned contract was considered in </w:t>
      </w:r>
      <w:r w:rsidR="0008577B" w:rsidRPr="0008577B">
        <w:rPr>
          <w:rFonts w:ascii="Times New Roman" w:hAnsi="Times New Roman" w:cs="Times New Roman"/>
          <w:i/>
        </w:rPr>
        <w:t xml:space="preserve">Afritrade International Limited </w:t>
      </w:r>
      <w:r w:rsidR="0008577B" w:rsidRPr="0008577B">
        <w:rPr>
          <w:rFonts w:ascii="Times New Roman" w:hAnsi="Times New Roman" w:cs="Times New Roman"/>
        </w:rPr>
        <w:t>v</w:t>
      </w:r>
      <w:r w:rsidR="0008577B" w:rsidRPr="0008577B">
        <w:rPr>
          <w:rFonts w:ascii="Times New Roman" w:hAnsi="Times New Roman" w:cs="Times New Roman"/>
          <w:i/>
        </w:rPr>
        <w:t xml:space="preserve"> Zimbabwe Revenue Authority</w:t>
      </w:r>
      <w:r w:rsidR="0008577B" w:rsidRPr="0008577B">
        <w:rPr>
          <w:rFonts w:ascii="Times New Roman" w:hAnsi="Times New Roman" w:cs="Times New Roman"/>
        </w:rPr>
        <w:t xml:space="preserve"> SC 3/21 on p 11 and this Court aptly stated as follows: </w:t>
      </w:r>
    </w:p>
    <w:p w14:paraId="539E3349" w14:textId="08955453" w:rsidR="00692245" w:rsidRPr="00041CBE" w:rsidRDefault="0008577B" w:rsidP="00692245">
      <w:pPr>
        <w:pStyle w:val="ListParagraph"/>
        <w:spacing w:after="0" w:line="240" w:lineRule="auto"/>
        <w:ind w:left="2160"/>
        <w:jc w:val="both"/>
        <w:rPr>
          <w:rFonts w:ascii="Times New Roman" w:hAnsi="Times New Roman" w:cs="Times New Roman"/>
        </w:rPr>
      </w:pPr>
      <w:r w:rsidRPr="00041CBE">
        <w:rPr>
          <w:rFonts w:ascii="Times New Roman" w:hAnsi="Times New Roman" w:cs="Times New Roman"/>
        </w:rPr>
        <w:t xml:space="preserve"> “In principle, an unsigned agreement cannot ordinarily be relied upon as creating a valid and binding contract. However, the surrounding circumstances, including prior dealings between the parties concerned, may give rise to the </w:t>
      </w:r>
      <w:r w:rsidRPr="00041CBE">
        <w:rPr>
          <w:rFonts w:ascii="Times New Roman" w:hAnsi="Times New Roman" w:cs="Times New Roman"/>
          <w:i/>
        </w:rPr>
        <w:t>prima facie</w:t>
      </w:r>
      <w:r w:rsidRPr="00041CBE">
        <w:rPr>
          <w:rFonts w:ascii="Times New Roman" w:hAnsi="Times New Roman" w:cs="Times New Roman"/>
        </w:rPr>
        <w:t xml:space="preserve"> presumption that the terms and conditions embodied in an unsigned agreement represent the true intention of the parties. The burden then shifts to the party disputing the authenticity of the agreement to show that it was not intended to be binding.” (</w:t>
      </w:r>
      <w:r w:rsidR="008225DE" w:rsidRPr="00041CBE">
        <w:rPr>
          <w:rFonts w:ascii="Times New Roman" w:hAnsi="Times New Roman" w:cs="Times New Roman"/>
        </w:rPr>
        <w:t>Emphasis</w:t>
      </w:r>
      <w:r w:rsidRPr="00041CBE">
        <w:rPr>
          <w:rFonts w:ascii="Times New Roman" w:hAnsi="Times New Roman" w:cs="Times New Roman"/>
        </w:rPr>
        <w:t xml:space="preserve"> added). </w:t>
      </w:r>
    </w:p>
    <w:p w14:paraId="3A10E5D0" w14:textId="77777777" w:rsidR="0008577B" w:rsidRPr="0008577B" w:rsidRDefault="0008577B" w:rsidP="0008577B">
      <w:pPr>
        <w:pStyle w:val="ListParagraph"/>
        <w:spacing w:after="0" w:line="240" w:lineRule="auto"/>
        <w:ind w:left="1440"/>
        <w:jc w:val="both"/>
        <w:rPr>
          <w:rFonts w:ascii="Times New Roman" w:hAnsi="Times New Roman" w:cs="Times New Roman"/>
        </w:rPr>
      </w:pPr>
    </w:p>
    <w:p w14:paraId="6AF30A58" w14:textId="636824F2" w:rsidR="0008577B" w:rsidRDefault="0008577B" w:rsidP="0008577B">
      <w:pPr>
        <w:pStyle w:val="ListParagraph"/>
        <w:spacing w:after="0" w:line="240" w:lineRule="auto"/>
        <w:ind w:left="1440"/>
        <w:jc w:val="both"/>
        <w:rPr>
          <w:rFonts w:ascii="Times New Roman" w:hAnsi="Times New Roman" w:cs="Times New Roman"/>
        </w:rPr>
      </w:pPr>
      <w:r w:rsidRPr="0008577B">
        <w:rPr>
          <w:rFonts w:ascii="Times New Roman" w:hAnsi="Times New Roman" w:cs="Times New Roman"/>
        </w:rPr>
        <w:t xml:space="preserve">See also </w:t>
      </w:r>
      <w:r w:rsidRPr="0008577B">
        <w:rPr>
          <w:rFonts w:ascii="Times New Roman" w:hAnsi="Times New Roman" w:cs="Times New Roman"/>
          <w:i/>
        </w:rPr>
        <w:t xml:space="preserve">Associated Printing &amp; Packaging (Pvt) Ltd &amp; Ors </w:t>
      </w:r>
      <w:r w:rsidRPr="0008577B">
        <w:rPr>
          <w:rFonts w:ascii="Times New Roman" w:hAnsi="Times New Roman" w:cs="Times New Roman"/>
        </w:rPr>
        <w:t>v</w:t>
      </w:r>
      <w:r w:rsidRPr="0008577B">
        <w:rPr>
          <w:rFonts w:ascii="Times New Roman" w:hAnsi="Times New Roman" w:cs="Times New Roman"/>
          <w:i/>
        </w:rPr>
        <w:t xml:space="preserve"> Lavin &amp; Anor</w:t>
      </w:r>
      <w:r w:rsidRPr="0008577B">
        <w:rPr>
          <w:rFonts w:ascii="Times New Roman" w:hAnsi="Times New Roman" w:cs="Times New Roman"/>
        </w:rPr>
        <w:t xml:space="preserve"> 1996(1) ZLR 82(S) at 87B-D.</w:t>
      </w:r>
      <w:r>
        <w:rPr>
          <w:rFonts w:ascii="Times New Roman" w:hAnsi="Times New Roman" w:cs="Times New Roman"/>
        </w:rPr>
        <w:t>”</w:t>
      </w:r>
    </w:p>
    <w:p w14:paraId="2CC92AEB" w14:textId="77777777" w:rsidR="00692245" w:rsidRDefault="00692245" w:rsidP="0008577B">
      <w:pPr>
        <w:pStyle w:val="ListParagraph"/>
        <w:spacing w:after="0" w:line="240" w:lineRule="auto"/>
        <w:ind w:left="1440"/>
        <w:jc w:val="both"/>
        <w:rPr>
          <w:rFonts w:ascii="Times New Roman" w:hAnsi="Times New Roman" w:cs="Times New Roman"/>
        </w:rPr>
      </w:pPr>
    </w:p>
    <w:p w14:paraId="3C8032B1" w14:textId="70E7DBDF" w:rsidR="00692245" w:rsidRPr="00692245" w:rsidRDefault="00692245" w:rsidP="0008577B">
      <w:pPr>
        <w:pStyle w:val="ListParagraph"/>
        <w:spacing w:after="0" w:line="240" w:lineRule="auto"/>
        <w:ind w:left="1440"/>
        <w:jc w:val="both"/>
        <w:rPr>
          <w:rFonts w:ascii="Times New Roman" w:hAnsi="Times New Roman" w:cs="Times New Roman"/>
          <w:sz w:val="28"/>
          <w:szCs w:val="24"/>
        </w:rPr>
      </w:pPr>
      <w:r w:rsidRPr="00692245">
        <w:rPr>
          <w:rFonts w:ascii="Times New Roman" w:hAnsi="Times New Roman" w:cs="Times New Roman"/>
          <w:sz w:val="24"/>
        </w:rPr>
        <w:t>(</w:t>
      </w:r>
      <w:r w:rsidRPr="00692245">
        <w:rPr>
          <w:rFonts w:ascii="Times New Roman" w:hAnsi="Times New Roman" w:cs="Times New Roman"/>
          <w:i/>
          <w:sz w:val="24"/>
        </w:rPr>
        <w:t xml:space="preserve">Rainbow Tourism Group Limited </w:t>
      </w:r>
      <w:r w:rsidRPr="00692245">
        <w:rPr>
          <w:rFonts w:ascii="Times New Roman" w:hAnsi="Times New Roman" w:cs="Times New Roman"/>
          <w:sz w:val="24"/>
        </w:rPr>
        <w:t>v</w:t>
      </w:r>
      <w:r w:rsidRPr="00692245">
        <w:rPr>
          <w:rFonts w:ascii="Times New Roman" w:hAnsi="Times New Roman" w:cs="Times New Roman"/>
          <w:i/>
          <w:sz w:val="24"/>
        </w:rPr>
        <w:t xml:space="preserve"> Nyaruwata</w:t>
      </w:r>
      <w:r w:rsidRPr="00692245">
        <w:rPr>
          <w:rFonts w:ascii="Times New Roman" w:hAnsi="Times New Roman" w:cs="Times New Roman"/>
          <w:sz w:val="24"/>
        </w:rPr>
        <w:t xml:space="preserve"> SC 87/24</w:t>
      </w:r>
      <w:r w:rsidR="000D1CD8">
        <w:rPr>
          <w:rFonts w:ascii="Times New Roman" w:hAnsi="Times New Roman" w:cs="Times New Roman"/>
          <w:sz w:val="24"/>
        </w:rPr>
        <w:t xml:space="preserve"> at p.17</w:t>
      </w:r>
      <w:r w:rsidRPr="00692245">
        <w:rPr>
          <w:rFonts w:ascii="Times New Roman" w:hAnsi="Times New Roman" w:cs="Times New Roman"/>
          <w:sz w:val="24"/>
        </w:rPr>
        <w:t>)</w:t>
      </w:r>
      <w:r>
        <w:rPr>
          <w:rFonts w:ascii="Times New Roman" w:hAnsi="Times New Roman" w:cs="Times New Roman"/>
          <w:sz w:val="24"/>
        </w:rPr>
        <w:t xml:space="preserve">. </w:t>
      </w:r>
    </w:p>
    <w:p w14:paraId="32E2A813" w14:textId="5A92C945" w:rsidR="000B5445" w:rsidRDefault="000B5445"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seems to me that this is the same approach when it comes to an unsigned arbitration agreement. Peter Ramsden comments in </w:t>
      </w:r>
      <w:r w:rsidRPr="00A00900">
        <w:rPr>
          <w:rFonts w:ascii="Times New Roman" w:hAnsi="Times New Roman" w:cs="Times New Roman"/>
          <w:i/>
          <w:sz w:val="24"/>
          <w:szCs w:val="24"/>
        </w:rPr>
        <w:t>The Law of Arbitration, South Africa</w:t>
      </w:r>
      <w:r>
        <w:rPr>
          <w:rFonts w:ascii="Times New Roman" w:hAnsi="Times New Roman" w:cs="Times New Roman"/>
          <w:i/>
          <w:sz w:val="24"/>
          <w:szCs w:val="24"/>
        </w:rPr>
        <w:t>n</w:t>
      </w:r>
      <w:r w:rsidRPr="00A00900">
        <w:rPr>
          <w:rFonts w:ascii="Times New Roman" w:hAnsi="Times New Roman" w:cs="Times New Roman"/>
          <w:i/>
          <w:sz w:val="24"/>
          <w:szCs w:val="24"/>
        </w:rPr>
        <w:t xml:space="preserve"> and International Arbitration</w:t>
      </w:r>
      <w:r>
        <w:rPr>
          <w:rFonts w:ascii="Times New Roman" w:hAnsi="Times New Roman" w:cs="Times New Roman"/>
          <w:sz w:val="24"/>
          <w:szCs w:val="24"/>
        </w:rPr>
        <w:t xml:space="preserve"> (2</w:t>
      </w:r>
      <w:r w:rsidRPr="009D237C">
        <w:rPr>
          <w:rFonts w:ascii="Times New Roman" w:hAnsi="Times New Roman" w:cs="Times New Roman"/>
          <w:sz w:val="24"/>
          <w:szCs w:val="24"/>
          <w:vertAlign w:val="superscript"/>
        </w:rPr>
        <w:t>nd</w:t>
      </w:r>
      <w:r>
        <w:rPr>
          <w:rFonts w:ascii="Times New Roman" w:hAnsi="Times New Roman" w:cs="Times New Roman"/>
          <w:sz w:val="24"/>
          <w:szCs w:val="24"/>
        </w:rPr>
        <w:t xml:space="preserve">  edn, 2018 Juta) that:- </w:t>
      </w:r>
    </w:p>
    <w:p w14:paraId="3C56BBA4" w14:textId="43AD4A2A" w:rsidR="000B5445" w:rsidRDefault="000D1CD8" w:rsidP="000B5445">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Cs w:val="24"/>
        </w:rPr>
        <w:lastRenderedPageBreak/>
        <w:t>“</w:t>
      </w:r>
      <w:r w:rsidR="000B5445" w:rsidRPr="00A00900">
        <w:rPr>
          <w:rFonts w:ascii="Times New Roman" w:hAnsi="Times New Roman" w:cs="Times New Roman"/>
          <w:szCs w:val="24"/>
        </w:rPr>
        <w:t>….a document can constitute an agreement in writing even though it is only signed by one party or by neither party. The test is whether the parties deliberately intended to record their agreement in writing and whether it can be shown that the document so produced constitutes the agreement between them. It would be sufficient proof if the parties have adopted and acted on their agreement</w:t>
      </w:r>
      <w:r w:rsidR="000B5445">
        <w:rPr>
          <w:rFonts w:ascii="Times New Roman" w:hAnsi="Times New Roman" w:cs="Times New Roman"/>
          <w:sz w:val="24"/>
          <w:szCs w:val="24"/>
        </w:rPr>
        <w:t>.</w:t>
      </w:r>
      <w:r>
        <w:rPr>
          <w:rFonts w:ascii="Times New Roman" w:hAnsi="Times New Roman" w:cs="Times New Roman"/>
          <w:sz w:val="24"/>
          <w:szCs w:val="24"/>
        </w:rPr>
        <w:t>”</w:t>
      </w:r>
      <w:r w:rsidR="000B5445">
        <w:rPr>
          <w:rFonts w:ascii="Times New Roman" w:hAnsi="Times New Roman" w:cs="Times New Roman"/>
          <w:sz w:val="24"/>
          <w:szCs w:val="24"/>
        </w:rPr>
        <w:t xml:space="preserve"> (At p</w:t>
      </w:r>
      <w:r>
        <w:rPr>
          <w:rFonts w:ascii="Times New Roman" w:hAnsi="Times New Roman" w:cs="Times New Roman"/>
          <w:sz w:val="24"/>
          <w:szCs w:val="24"/>
        </w:rPr>
        <w:t>.</w:t>
      </w:r>
      <w:r w:rsidR="000B5445">
        <w:rPr>
          <w:rFonts w:ascii="Times New Roman" w:hAnsi="Times New Roman" w:cs="Times New Roman"/>
          <w:sz w:val="24"/>
          <w:szCs w:val="24"/>
        </w:rPr>
        <w:t xml:space="preserve">47-48) </w:t>
      </w:r>
    </w:p>
    <w:p w14:paraId="4C403109" w14:textId="77777777" w:rsidR="000B5445" w:rsidRDefault="000B5445" w:rsidP="000B5445">
      <w:pPr>
        <w:pStyle w:val="ListParagraph"/>
        <w:spacing w:after="0" w:line="240" w:lineRule="auto"/>
        <w:ind w:left="1440"/>
        <w:jc w:val="both"/>
        <w:rPr>
          <w:rFonts w:ascii="Times New Roman" w:hAnsi="Times New Roman" w:cs="Times New Roman"/>
          <w:sz w:val="24"/>
          <w:szCs w:val="24"/>
        </w:rPr>
      </w:pPr>
    </w:p>
    <w:p w14:paraId="2CCFBA02" w14:textId="77777777" w:rsidR="000B5445" w:rsidRDefault="000B5445" w:rsidP="000B5445">
      <w:pPr>
        <w:spacing w:after="0" w:line="240" w:lineRule="auto"/>
        <w:jc w:val="both"/>
        <w:rPr>
          <w:rFonts w:ascii="Times New Roman" w:hAnsi="Times New Roman" w:cs="Times New Roman"/>
          <w:sz w:val="24"/>
          <w:szCs w:val="24"/>
        </w:rPr>
      </w:pPr>
      <w:r w:rsidRPr="000B5445">
        <w:rPr>
          <w:rFonts w:ascii="Times New Roman" w:hAnsi="Times New Roman" w:cs="Times New Roman"/>
          <w:sz w:val="24"/>
          <w:szCs w:val="24"/>
        </w:rPr>
        <w:t xml:space="preserve">See also </w:t>
      </w:r>
      <w:r w:rsidRPr="000B5445">
        <w:rPr>
          <w:rFonts w:ascii="Times New Roman" w:hAnsi="Times New Roman" w:cs="Times New Roman"/>
          <w:i/>
          <w:sz w:val="24"/>
          <w:szCs w:val="24"/>
        </w:rPr>
        <w:t xml:space="preserve">Zimbabwe Revenue Authority </w:t>
      </w:r>
      <w:r w:rsidRPr="000B5445">
        <w:rPr>
          <w:rFonts w:ascii="Times New Roman" w:hAnsi="Times New Roman" w:cs="Times New Roman"/>
          <w:sz w:val="24"/>
          <w:szCs w:val="24"/>
        </w:rPr>
        <w:t>v</w:t>
      </w:r>
      <w:r w:rsidRPr="000B5445">
        <w:rPr>
          <w:rFonts w:ascii="Times New Roman" w:hAnsi="Times New Roman" w:cs="Times New Roman"/>
          <w:i/>
          <w:sz w:val="24"/>
          <w:szCs w:val="24"/>
        </w:rPr>
        <w:t xml:space="preserve"> Amandiz Architects (Pvt) Ltd &amp; Anor</w:t>
      </w:r>
      <w:r w:rsidRPr="000B5445">
        <w:rPr>
          <w:rFonts w:ascii="Times New Roman" w:hAnsi="Times New Roman" w:cs="Times New Roman"/>
          <w:sz w:val="24"/>
          <w:szCs w:val="24"/>
        </w:rPr>
        <w:t xml:space="preserve"> HH657/23. </w:t>
      </w:r>
    </w:p>
    <w:p w14:paraId="55A5FF5C" w14:textId="381FB964" w:rsidR="000B5445" w:rsidRPr="000B5445" w:rsidRDefault="000B5445" w:rsidP="000B5445">
      <w:pPr>
        <w:spacing w:after="0" w:line="240" w:lineRule="auto"/>
        <w:jc w:val="both"/>
        <w:rPr>
          <w:rFonts w:ascii="Times New Roman" w:hAnsi="Times New Roman" w:cs="Times New Roman"/>
          <w:sz w:val="24"/>
          <w:szCs w:val="24"/>
        </w:rPr>
      </w:pPr>
      <w:r w:rsidRPr="000B5445">
        <w:rPr>
          <w:rFonts w:ascii="Times New Roman" w:hAnsi="Times New Roman" w:cs="Times New Roman"/>
          <w:sz w:val="24"/>
          <w:szCs w:val="24"/>
        </w:rPr>
        <w:t xml:space="preserve"> </w:t>
      </w:r>
    </w:p>
    <w:p w14:paraId="7D224054" w14:textId="0A669A64" w:rsidR="00467DB6" w:rsidRDefault="0008577B"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the absence of a party’s signature on a contract does not </w:t>
      </w:r>
      <w:r w:rsidRPr="0008577B">
        <w:rPr>
          <w:rFonts w:ascii="Times New Roman" w:hAnsi="Times New Roman" w:cs="Times New Roman"/>
          <w:i/>
          <w:sz w:val="24"/>
          <w:szCs w:val="24"/>
        </w:rPr>
        <w:t>per se</w:t>
      </w:r>
      <w:r>
        <w:rPr>
          <w:rFonts w:ascii="Times New Roman" w:hAnsi="Times New Roman" w:cs="Times New Roman"/>
          <w:sz w:val="24"/>
          <w:szCs w:val="24"/>
        </w:rPr>
        <w:t xml:space="preserve"> </w:t>
      </w:r>
      <w:r w:rsidR="00467DB6">
        <w:rPr>
          <w:rFonts w:ascii="Times New Roman" w:hAnsi="Times New Roman" w:cs="Times New Roman"/>
          <w:sz w:val="24"/>
          <w:szCs w:val="24"/>
        </w:rPr>
        <w:t>invalidate a contract, neither does it automatically lead to a conclusion that no contract was concluded</w:t>
      </w:r>
      <w:r>
        <w:rPr>
          <w:rFonts w:ascii="Times New Roman" w:hAnsi="Times New Roman" w:cs="Times New Roman"/>
          <w:sz w:val="24"/>
          <w:szCs w:val="24"/>
        </w:rPr>
        <w:t xml:space="preserve">. </w:t>
      </w:r>
      <w:r w:rsidR="001442A9">
        <w:rPr>
          <w:rFonts w:ascii="Times New Roman" w:hAnsi="Times New Roman" w:cs="Times New Roman"/>
          <w:sz w:val="24"/>
          <w:szCs w:val="24"/>
        </w:rPr>
        <w:t>T</w:t>
      </w:r>
      <w:r>
        <w:rPr>
          <w:rFonts w:ascii="Times New Roman" w:hAnsi="Times New Roman" w:cs="Times New Roman"/>
          <w:sz w:val="24"/>
          <w:szCs w:val="24"/>
        </w:rPr>
        <w:t xml:space="preserve">he argument that </w:t>
      </w:r>
      <w:r w:rsidR="00467DB6">
        <w:rPr>
          <w:rFonts w:ascii="Times New Roman" w:hAnsi="Times New Roman" w:cs="Times New Roman"/>
          <w:sz w:val="24"/>
          <w:szCs w:val="24"/>
        </w:rPr>
        <w:t xml:space="preserve">because the contract was </w:t>
      </w:r>
      <w:r w:rsidR="007B7462">
        <w:rPr>
          <w:rFonts w:ascii="Times New Roman" w:hAnsi="Times New Roman" w:cs="Times New Roman"/>
          <w:sz w:val="24"/>
          <w:szCs w:val="24"/>
        </w:rPr>
        <w:t xml:space="preserve">only signed by the respondent </w:t>
      </w:r>
      <w:r w:rsidR="00467DB6">
        <w:rPr>
          <w:rFonts w:ascii="Times New Roman" w:hAnsi="Times New Roman" w:cs="Times New Roman"/>
          <w:sz w:val="24"/>
          <w:szCs w:val="24"/>
        </w:rPr>
        <w:t xml:space="preserve">means that </w:t>
      </w:r>
      <w:r>
        <w:rPr>
          <w:rFonts w:ascii="Times New Roman" w:hAnsi="Times New Roman" w:cs="Times New Roman"/>
          <w:sz w:val="24"/>
          <w:szCs w:val="24"/>
        </w:rPr>
        <w:t>there is no valid contract between the parties does not find support in the law.  The position of the law is that a court seized with an unsigned contract is required to go further and look at the surrounding circumstances, including the prior dealings of the parties</w:t>
      </w:r>
      <w:r w:rsidR="007B7462">
        <w:rPr>
          <w:rFonts w:ascii="Times New Roman" w:hAnsi="Times New Roman" w:cs="Times New Roman"/>
          <w:sz w:val="24"/>
          <w:szCs w:val="24"/>
        </w:rPr>
        <w:t>,</w:t>
      </w:r>
      <w:r>
        <w:rPr>
          <w:rFonts w:ascii="Times New Roman" w:hAnsi="Times New Roman" w:cs="Times New Roman"/>
          <w:sz w:val="24"/>
          <w:szCs w:val="24"/>
        </w:rPr>
        <w:t xml:space="preserve"> in order to ascertain the true intention of the parties. </w:t>
      </w:r>
      <w:r w:rsidR="00467DB6">
        <w:rPr>
          <w:rFonts w:ascii="Times New Roman" w:hAnsi="Times New Roman" w:cs="Times New Roman"/>
          <w:sz w:val="24"/>
          <w:szCs w:val="24"/>
        </w:rPr>
        <w:t xml:space="preserve">The surrounding circumstances can attest to </w:t>
      </w:r>
      <w:r w:rsidR="000B5445">
        <w:rPr>
          <w:rFonts w:ascii="Times New Roman" w:hAnsi="Times New Roman" w:cs="Times New Roman"/>
          <w:sz w:val="24"/>
          <w:szCs w:val="24"/>
        </w:rPr>
        <w:t xml:space="preserve">the existence of </w:t>
      </w:r>
      <w:r w:rsidR="00467DB6">
        <w:rPr>
          <w:rFonts w:ascii="Times New Roman" w:hAnsi="Times New Roman" w:cs="Times New Roman"/>
          <w:sz w:val="24"/>
          <w:szCs w:val="24"/>
        </w:rPr>
        <w:t xml:space="preserve">a valid contract, provided that all the necessary attributes of a contract are proved. </w:t>
      </w:r>
      <w:r w:rsidR="000D1CD8">
        <w:rPr>
          <w:rFonts w:ascii="Times New Roman" w:hAnsi="Times New Roman" w:cs="Times New Roman"/>
          <w:sz w:val="24"/>
          <w:szCs w:val="24"/>
        </w:rPr>
        <w:t>The same applies to an arbitration agreement.</w:t>
      </w:r>
    </w:p>
    <w:p w14:paraId="301EB178" w14:textId="70BF9D2B" w:rsidR="00467DB6" w:rsidRDefault="00467DB6"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of who bears the onus of proving an allegation that a contract was not intended to be binding is settled. Once the prior dealings of the parties and the surrounding circumstances create a </w:t>
      </w:r>
      <w:r w:rsidRPr="00467DB6">
        <w:rPr>
          <w:rFonts w:ascii="Times New Roman" w:hAnsi="Times New Roman" w:cs="Times New Roman"/>
          <w:i/>
          <w:sz w:val="24"/>
          <w:szCs w:val="24"/>
        </w:rPr>
        <w:t>prima facie</w:t>
      </w:r>
      <w:r>
        <w:rPr>
          <w:rFonts w:ascii="Times New Roman" w:hAnsi="Times New Roman" w:cs="Times New Roman"/>
          <w:sz w:val="24"/>
          <w:szCs w:val="24"/>
        </w:rPr>
        <w:t xml:space="preserve"> presumption that the terms and conditions embodied in the unsigned agreement represent the true intention of the parties, the onus to prove that the contract is not authentic then </w:t>
      </w:r>
      <w:r w:rsidR="0008577B">
        <w:rPr>
          <w:rFonts w:ascii="Times New Roman" w:hAnsi="Times New Roman" w:cs="Times New Roman"/>
          <w:sz w:val="24"/>
          <w:szCs w:val="24"/>
        </w:rPr>
        <w:t>sh</w:t>
      </w:r>
      <w:r>
        <w:rPr>
          <w:rFonts w:ascii="Times New Roman" w:hAnsi="Times New Roman" w:cs="Times New Roman"/>
          <w:sz w:val="24"/>
          <w:szCs w:val="24"/>
        </w:rPr>
        <w:t>ifts to the party who disputes its authenticity</w:t>
      </w:r>
      <w:r w:rsidR="0008577B">
        <w:rPr>
          <w:rFonts w:ascii="Times New Roman" w:hAnsi="Times New Roman" w:cs="Times New Roman"/>
          <w:sz w:val="24"/>
          <w:szCs w:val="24"/>
        </w:rPr>
        <w:t>.</w:t>
      </w:r>
      <w:r w:rsidR="0008577B" w:rsidRPr="000306CA">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467DB6">
        <w:rPr>
          <w:rFonts w:ascii="Times New Roman" w:hAnsi="Times New Roman" w:cs="Times New Roman"/>
          <w:i/>
          <w:sz w:val="24"/>
          <w:szCs w:val="24"/>
        </w:rPr>
        <w:t>casu</w:t>
      </w:r>
      <w:r>
        <w:rPr>
          <w:rFonts w:ascii="Times New Roman" w:hAnsi="Times New Roman" w:cs="Times New Roman"/>
          <w:sz w:val="24"/>
          <w:szCs w:val="24"/>
        </w:rPr>
        <w:t>, the onus that the contract was not intend</w:t>
      </w:r>
      <w:r w:rsidR="000B5445">
        <w:rPr>
          <w:rFonts w:ascii="Times New Roman" w:hAnsi="Times New Roman" w:cs="Times New Roman"/>
          <w:sz w:val="24"/>
          <w:szCs w:val="24"/>
        </w:rPr>
        <w:t>ed to be binding therefore fell</w:t>
      </w:r>
      <w:r>
        <w:rPr>
          <w:rFonts w:ascii="Times New Roman" w:hAnsi="Times New Roman" w:cs="Times New Roman"/>
          <w:sz w:val="24"/>
          <w:szCs w:val="24"/>
        </w:rPr>
        <w:t xml:space="preserve"> on the applicant. I find the argument that the onus rested on the respondents </w:t>
      </w:r>
      <w:r w:rsidR="0086215C">
        <w:rPr>
          <w:rFonts w:ascii="Times New Roman" w:hAnsi="Times New Roman" w:cs="Times New Roman"/>
          <w:sz w:val="24"/>
          <w:szCs w:val="24"/>
        </w:rPr>
        <w:t xml:space="preserve">to prove the existence of the agreement </w:t>
      </w:r>
      <w:r>
        <w:rPr>
          <w:rFonts w:ascii="Times New Roman" w:hAnsi="Times New Roman" w:cs="Times New Roman"/>
          <w:sz w:val="24"/>
          <w:szCs w:val="24"/>
        </w:rPr>
        <w:t xml:space="preserve">misplaced because firstly, it is not in dispute that there was an agreement. </w:t>
      </w:r>
      <w:r w:rsidR="0086215C">
        <w:rPr>
          <w:rFonts w:ascii="Times New Roman" w:hAnsi="Times New Roman" w:cs="Times New Roman"/>
          <w:sz w:val="24"/>
          <w:szCs w:val="24"/>
        </w:rPr>
        <w:t xml:space="preserve">Secondly, it </w:t>
      </w:r>
      <w:r>
        <w:rPr>
          <w:rFonts w:ascii="Times New Roman" w:hAnsi="Times New Roman" w:cs="Times New Roman"/>
          <w:sz w:val="24"/>
          <w:szCs w:val="24"/>
        </w:rPr>
        <w:t>is</w:t>
      </w:r>
      <w:r w:rsidR="0086215C">
        <w:rPr>
          <w:rFonts w:ascii="Times New Roman" w:hAnsi="Times New Roman" w:cs="Times New Roman"/>
          <w:sz w:val="24"/>
          <w:szCs w:val="24"/>
        </w:rPr>
        <w:t xml:space="preserve"> </w:t>
      </w:r>
      <w:r>
        <w:rPr>
          <w:rFonts w:ascii="Times New Roman" w:hAnsi="Times New Roman" w:cs="Times New Roman"/>
          <w:sz w:val="24"/>
          <w:szCs w:val="24"/>
        </w:rPr>
        <w:t xml:space="preserve">not in dispute that </w:t>
      </w:r>
      <w:r w:rsidR="007B7462">
        <w:rPr>
          <w:rFonts w:ascii="Times New Roman" w:hAnsi="Times New Roman" w:cs="Times New Roman"/>
          <w:sz w:val="24"/>
          <w:szCs w:val="24"/>
        </w:rPr>
        <w:t xml:space="preserve">the </w:t>
      </w:r>
      <w:r>
        <w:rPr>
          <w:rFonts w:ascii="Times New Roman" w:hAnsi="Times New Roman" w:cs="Times New Roman"/>
          <w:sz w:val="24"/>
          <w:szCs w:val="24"/>
        </w:rPr>
        <w:t>agreement contained an arbitration clause. Further, the submission by the respondent that the agreeme</w:t>
      </w:r>
      <w:r w:rsidR="007B7462">
        <w:rPr>
          <w:rFonts w:ascii="Times New Roman" w:hAnsi="Times New Roman" w:cs="Times New Roman"/>
          <w:sz w:val="24"/>
          <w:szCs w:val="24"/>
        </w:rPr>
        <w:t>nt was signed by the respondent</w:t>
      </w:r>
      <w:r>
        <w:rPr>
          <w:rFonts w:ascii="Times New Roman" w:hAnsi="Times New Roman" w:cs="Times New Roman"/>
          <w:sz w:val="24"/>
          <w:szCs w:val="24"/>
        </w:rPr>
        <w:t xml:space="preserve"> and transmitted to the applicant for its signature has not been controverted. </w:t>
      </w:r>
    </w:p>
    <w:p w14:paraId="05086781" w14:textId="7288A102" w:rsidR="000B5445" w:rsidRDefault="0086215C"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 critically, the </w:t>
      </w:r>
      <w:r w:rsidR="00467DB6">
        <w:rPr>
          <w:rFonts w:ascii="Times New Roman" w:hAnsi="Times New Roman" w:cs="Times New Roman"/>
          <w:sz w:val="24"/>
          <w:szCs w:val="24"/>
        </w:rPr>
        <w:t>applicant accepts that some services were rendered to</w:t>
      </w:r>
      <w:r>
        <w:rPr>
          <w:rFonts w:ascii="Times New Roman" w:hAnsi="Times New Roman" w:cs="Times New Roman"/>
          <w:sz w:val="24"/>
          <w:szCs w:val="24"/>
        </w:rPr>
        <w:t xml:space="preserve"> it by the respondent. The applicant argues that those services were rendered outside the scope of the agreement because </w:t>
      </w:r>
      <w:r w:rsidR="00467DB6">
        <w:rPr>
          <w:rFonts w:ascii="Times New Roman" w:hAnsi="Times New Roman" w:cs="Times New Roman"/>
          <w:sz w:val="24"/>
          <w:szCs w:val="24"/>
        </w:rPr>
        <w:t>the agreement was still under negotiation. The applicant however does not state the scope within which the services were rendered.</w:t>
      </w:r>
      <w:r w:rsidR="000B5445">
        <w:rPr>
          <w:rFonts w:ascii="Times New Roman" w:hAnsi="Times New Roman" w:cs="Times New Roman"/>
          <w:sz w:val="24"/>
          <w:szCs w:val="24"/>
        </w:rPr>
        <w:t xml:space="preserve"> </w:t>
      </w:r>
    </w:p>
    <w:p w14:paraId="23EC32E6" w14:textId="5C66CA19" w:rsidR="000B5445" w:rsidRDefault="000B5445" w:rsidP="00041CBE">
      <w:pPr>
        <w:pStyle w:val="ListParagraph"/>
        <w:numPr>
          <w:ilvl w:val="0"/>
          <w:numId w:val="12"/>
        </w:numPr>
        <w:tabs>
          <w:tab w:val="left" w:pos="360"/>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inescapable conclusion is that although the applicant did not sign the contract, the external manifestations of the minds of the parties through the rendering of services </w:t>
      </w:r>
      <w:r w:rsidR="007B7462">
        <w:rPr>
          <w:rFonts w:ascii="Times New Roman" w:hAnsi="Times New Roman" w:cs="Times New Roman"/>
          <w:sz w:val="24"/>
          <w:szCs w:val="24"/>
        </w:rPr>
        <w:t xml:space="preserve">lean in favour of a </w:t>
      </w:r>
      <w:r w:rsidR="007B7462">
        <w:rPr>
          <w:rFonts w:ascii="Times New Roman" w:hAnsi="Times New Roman" w:cs="Times New Roman"/>
          <w:sz w:val="24"/>
          <w:szCs w:val="24"/>
        </w:rPr>
        <w:lastRenderedPageBreak/>
        <w:t xml:space="preserve">finding that </w:t>
      </w:r>
      <w:r>
        <w:rPr>
          <w:rFonts w:ascii="Times New Roman" w:hAnsi="Times New Roman" w:cs="Times New Roman"/>
          <w:sz w:val="24"/>
          <w:szCs w:val="24"/>
        </w:rPr>
        <w:t xml:space="preserve">there was a valid contract between the parties. </w:t>
      </w:r>
      <w:r w:rsidR="00CF7E5E">
        <w:rPr>
          <w:rFonts w:ascii="Times New Roman" w:hAnsi="Times New Roman" w:cs="Times New Roman"/>
          <w:sz w:val="24"/>
          <w:szCs w:val="24"/>
        </w:rPr>
        <w:t>There is no merit in the argument that the parties were still negotiating the contract</w:t>
      </w:r>
      <w:r w:rsidR="007B7462">
        <w:rPr>
          <w:rFonts w:ascii="Times New Roman" w:hAnsi="Times New Roman" w:cs="Times New Roman"/>
          <w:sz w:val="24"/>
          <w:szCs w:val="24"/>
        </w:rPr>
        <w:t>.  T</w:t>
      </w:r>
      <w:r w:rsidR="00CF7E5E">
        <w:rPr>
          <w:rFonts w:ascii="Times New Roman" w:hAnsi="Times New Roman" w:cs="Times New Roman"/>
          <w:sz w:val="24"/>
          <w:szCs w:val="24"/>
        </w:rPr>
        <w:t>he applicant conceded that the respondent rendered services.</w:t>
      </w:r>
      <w:r w:rsidR="007B7462">
        <w:rPr>
          <w:rFonts w:ascii="Times New Roman" w:hAnsi="Times New Roman" w:cs="Times New Roman"/>
          <w:sz w:val="24"/>
          <w:szCs w:val="24"/>
        </w:rPr>
        <w:t xml:space="preserve"> However, it does not explain under what circumstances those services were being rendered. </w:t>
      </w:r>
      <w:r w:rsidR="00CF7E5E">
        <w:rPr>
          <w:rFonts w:ascii="Times New Roman" w:hAnsi="Times New Roman" w:cs="Times New Roman"/>
          <w:sz w:val="24"/>
          <w:szCs w:val="24"/>
        </w:rPr>
        <w:t xml:space="preserve">In the absence of an explanation of the circumstances surrounding how the respondent ended up rendering services in terms of a contract which was under negotiation, I am not inclined to accept the applicant’s submission that the services were rendered outside the scope of the agreement. I did not hear the applicant to argue that there was another agreement besides the disputed agreement empowering the respondent to render the services it did. I find it inconceivable that the respondent would just come and render services out of the blue, without any explanation on the basis upon which an external supplier could just do so. </w:t>
      </w:r>
    </w:p>
    <w:p w14:paraId="696D67C4" w14:textId="3CAE4AF5" w:rsidR="00CF7E5E" w:rsidRDefault="00CF7E5E" w:rsidP="00041CBE">
      <w:pPr>
        <w:pStyle w:val="ListParagraph"/>
        <w:numPr>
          <w:ilvl w:val="0"/>
          <w:numId w:val="12"/>
        </w:numPr>
        <w:tabs>
          <w:tab w:val="left" w:pos="45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Two allegations which warrant comment arose in the papers and during argument. Firstly, it was the issue that </w:t>
      </w:r>
      <w:r>
        <w:rPr>
          <w:rFonts w:ascii="Times New Roman" w:hAnsi="Times New Roman" w:cs="Times New Roman"/>
          <w:sz w:val="24"/>
          <w:szCs w:val="24"/>
          <w:lang w:val="en-ZW"/>
        </w:rPr>
        <w:t>the applicant</w:t>
      </w:r>
      <w:r w:rsidRPr="00CF7E5E">
        <w:rPr>
          <w:rFonts w:ascii="Times New Roman" w:hAnsi="Times New Roman" w:cs="Times New Roman"/>
          <w:sz w:val="24"/>
          <w:szCs w:val="24"/>
          <w:lang w:val="en-ZW"/>
        </w:rPr>
        <w:t xml:space="preserve"> is a procuring entity, so it is subject to the Public</w:t>
      </w:r>
      <w:r>
        <w:rPr>
          <w:rFonts w:ascii="Times New Roman" w:hAnsi="Times New Roman" w:cs="Times New Roman"/>
          <w:sz w:val="24"/>
          <w:szCs w:val="24"/>
          <w:lang w:val="en-ZW"/>
        </w:rPr>
        <w:t xml:space="preserve"> </w:t>
      </w:r>
      <w:r w:rsidRPr="00CF7E5E">
        <w:rPr>
          <w:rFonts w:ascii="Times New Roman" w:hAnsi="Times New Roman" w:cs="Times New Roman"/>
          <w:sz w:val="24"/>
          <w:szCs w:val="24"/>
          <w:lang w:val="en-ZW"/>
        </w:rPr>
        <w:t>Procurement and Disposal of Public Assets Act</w:t>
      </w:r>
      <w:r w:rsidR="002744C6">
        <w:rPr>
          <w:rFonts w:ascii="Times New Roman" w:hAnsi="Times New Roman" w:cs="Times New Roman"/>
          <w:sz w:val="24"/>
          <w:szCs w:val="24"/>
          <w:lang w:val="en-ZW"/>
        </w:rPr>
        <w:t xml:space="preserve"> [</w:t>
      </w:r>
      <w:r w:rsidR="002744C6" w:rsidRPr="002744C6">
        <w:rPr>
          <w:rFonts w:ascii="Times New Roman" w:hAnsi="Times New Roman" w:cs="Times New Roman"/>
          <w:i/>
          <w:sz w:val="24"/>
          <w:szCs w:val="24"/>
          <w:lang w:val="en-ZW"/>
        </w:rPr>
        <w:t>Chapter 22:23</w:t>
      </w:r>
      <w:r w:rsidR="002744C6">
        <w:rPr>
          <w:rFonts w:ascii="Times New Roman" w:hAnsi="Times New Roman" w:cs="Times New Roman"/>
          <w:sz w:val="24"/>
          <w:szCs w:val="24"/>
          <w:lang w:val="en-ZW"/>
        </w:rPr>
        <w:t>]</w:t>
      </w:r>
      <w:r>
        <w:rPr>
          <w:rFonts w:ascii="Times New Roman" w:hAnsi="Times New Roman" w:cs="Times New Roman"/>
          <w:sz w:val="24"/>
          <w:szCs w:val="24"/>
          <w:lang w:val="en-ZW"/>
        </w:rPr>
        <w:t>. The applicant’s argument is that the second respondent’s findings contradict the</w:t>
      </w:r>
      <w:r w:rsidRPr="00CF7E5E">
        <w:rPr>
          <w:rFonts w:ascii="Times New Roman" w:hAnsi="Times New Roman" w:cs="Times New Roman"/>
          <w:sz w:val="24"/>
          <w:szCs w:val="24"/>
          <w:lang w:val="en-ZW"/>
        </w:rPr>
        <w:t xml:space="preserve"> </w:t>
      </w:r>
      <w:r w:rsidR="002744C6">
        <w:rPr>
          <w:rFonts w:ascii="Times New Roman" w:hAnsi="Times New Roman" w:cs="Times New Roman"/>
          <w:sz w:val="24"/>
          <w:szCs w:val="24"/>
          <w:lang w:val="en-ZW"/>
        </w:rPr>
        <w:t xml:space="preserve">said statute. </w:t>
      </w:r>
      <w:r>
        <w:rPr>
          <w:rFonts w:ascii="Times New Roman" w:hAnsi="Times New Roman" w:cs="Times New Roman"/>
          <w:sz w:val="24"/>
          <w:szCs w:val="24"/>
          <w:lang w:val="en-ZW"/>
        </w:rPr>
        <w:t xml:space="preserve">How </w:t>
      </w:r>
      <w:r w:rsidR="007B7462">
        <w:rPr>
          <w:rFonts w:ascii="Times New Roman" w:hAnsi="Times New Roman" w:cs="Times New Roman"/>
          <w:sz w:val="24"/>
          <w:szCs w:val="24"/>
          <w:lang w:val="en-ZW"/>
        </w:rPr>
        <w:t>this is so, the applicant did not state, neither did</w:t>
      </w:r>
      <w:r>
        <w:rPr>
          <w:rFonts w:ascii="Times New Roman" w:hAnsi="Times New Roman" w:cs="Times New Roman"/>
          <w:sz w:val="24"/>
          <w:szCs w:val="24"/>
          <w:lang w:val="en-ZW"/>
        </w:rPr>
        <w:t xml:space="preserve"> it state the specific provisions offended by the se</w:t>
      </w:r>
      <w:r w:rsidR="007B7462">
        <w:rPr>
          <w:rFonts w:ascii="Times New Roman" w:hAnsi="Times New Roman" w:cs="Times New Roman"/>
          <w:sz w:val="24"/>
          <w:szCs w:val="24"/>
          <w:lang w:val="en-ZW"/>
        </w:rPr>
        <w:t xml:space="preserve">cond respondent’s findings. The conclusion I have reached is that this </w:t>
      </w:r>
      <w:r>
        <w:rPr>
          <w:rFonts w:ascii="Times New Roman" w:hAnsi="Times New Roman" w:cs="Times New Roman"/>
          <w:sz w:val="24"/>
          <w:szCs w:val="24"/>
          <w:lang w:val="en-ZW"/>
        </w:rPr>
        <w:t xml:space="preserve">argument </w:t>
      </w:r>
      <w:r w:rsidR="007B7462">
        <w:rPr>
          <w:rFonts w:ascii="Times New Roman" w:hAnsi="Times New Roman" w:cs="Times New Roman"/>
          <w:sz w:val="24"/>
          <w:szCs w:val="24"/>
          <w:lang w:val="en-ZW"/>
        </w:rPr>
        <w:t xml:space="preserve">was made as a matter of course. It was not </w:t>
      </w:r>
      <w:r>
        <w:rPr>
          <w:rFonts w:ascii="Times New Roman" w:hAnsi="Times New Roman" w:cs="Times New Roman"/>
          <w:sz w:val="24"/>
          <w:szCs w:val="24"/>
          <w:lang w:val="en-ZW"/>
        </w:rPr>
        <w:t xml:space="preserve">substantiated and </w:t>
      </w:r>
      <w:r w:rsidR="007B7462">
        <w:rPr>
          <w:rFonts w:ascii="Times New Roman" w:hAnsi="Times New Roman" w:cs="Times New Roman"/>
          <w:sz w:val="24"/>
          <w:szCs w:val="24"/>
          <w:lang w:val="en-ZW"/>
        </w:rPr>
        <w:t>did</w:t>
      </w:r>
      <w:r w:rsidR="00506FEA">
        <w:rPr>
          <w:rFonts w:ascii="Times New Roman" w:hAnsi="Times New Roman" w:cs="Times New Roman"/>
          <w:sz w:val="24"/>
          <w:szCs w:val="24"/>
          <w:lang w:val="en-ZW"/>
        </w:rPr>
        <w:t xml:space="preserve"> not </w:t>
      </w:r>
      <w:r w:rsidR="00162B1E">
        <w:rPr>
          <w:rFonts w:ascii="Times New Roman" w:hAnsi="Times New Roman" w:cs="Times New Roman"/>
          <w:sz w:val="24"/>
          <w:szCs w:val="24"/>
          <w:lang w:val="en-ZW"/>
        </w:rPr>
        <w:t xml:space="preserve">in any way </w:t>
      </w:r>
      <w:r w:rsidR="002744C6">
        <w:rPr>
          <w:rFonts w:ascii="Times New Roman" w:hAnsi="Times New Roman" w:cs="Times New Roman"/>
          <w:sz w:val="24"/>
          <w:szCs w:val="24"/>
          <w:lang w:val="en-ZW"/>
        </w:rPr>
        <w:t xml:space="preserve">assist to </w:t>
      </w:r>
      <w:r w:rsidR="00162B1E">
        <w:rPr>
          <w:rFonts w:ascii="Times New Roman" w:hAnsi="Times New Roman" w:cs="Times New Roman"/>
          <w:sz w:val="24"/>
          <w:szCs w:val="24"/>
          <w:lang w:val="en-ZW"/>
        </w:rPr>
        <w:t>address the applicant’s application before this court</w:t>
      </w:r>
      <w:r w:rsidR="00506FEA">
        <w:rPr>
          <w:rFonts w:ascii="Times New Roman" w:hAnsi="Times New Roman" w:cs="Times New Roman"/>
          <w:sz w:val="24"/>
          <w:szCs w:val="24"/>
          <w:lang w:val="en-ZW"/>
        </w:rPr>
        <w:t>.</w:t>
      </w:r>
      <w:r>
        <w:rPr>
          <w:rFonts w:ascii="Times New Roman" w:hAnsi="Times New Roman" w:cs="Times New Roman"/>
          <w:sz w:val="24"/>
          <w:szCs w:val="24"/>
          <w:lang w:val="en-ZW"/>
        </w:rPr>
        <w:t xml:space="preserve"> </w:t>
      </w:r>
    </w:p>
    <w:p w14:paraId="1EDF88A1" w14:textId="1D301384" w:rsidR="00162B1E" w:rsidRPr="00716743" w:rsidRDefault="00162B1E"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sidRPr="00716743">
        <w:rPr>
          <w:rFonts w:ascii="Times New Roman" w:hAnsi="Times New Roman" w:cs="Times New Roman"/>
          <w:sz w:val="24"/>
          <w:szCs w:val="24"/>
          <w:lang w:val="en-ZW"/>
        </w:rPr>
        <w:t>The second allegation</w:t>
      </w:r>
      <w:r w:rsidR="00CF7E5E" w:rsidRPr="00716743">
        <w:rPr>
          <w:rFonts w:ascii="Times New Roman" w:hAnsi="Times New Roman" w:cs="Times New Roman"/>
          <w:sz w:val="24"/>
          <w:szCs w:val="24"/>
          <w:lang w:val="en-ZW"/>
        </w:rPr>
        <w:t xml:space="preserve"> was that the second respondent </w:t>
      </w:r>
      <w:r w:rsidRPr="00716743">
        <w:rPr>
          <w:rFonts w:ascii="Times New Roman" w:hAnsi="Times New Roman" w:cs="Times New Roman"/>
          <w:sz w:val="24"/>
          <w:szCs w:val="24"/>
        </w:rPr>
        <w:t xml:space="preserve">rendered services which were not up to the expected standard. </w:t>
      </w:r>
      <w:r w:rsidR="00CF7E5E" w:rsidRPr="00716743">
        <w:rPr>
          <w:rFonts w:ascii="Times New Roman" w:hAnsi="Times New Roman" w:cs="Times New Roman"/>
          <w:sz w:val="24"/>
          <w:szCs w:val="24"/>
          <w:lang w:val="en-ZW"/>
        </w:rPr>
        <w:t xml:space="preserve">This cannot be a ground for arguing that the contract was invalid. The applicant’s relief </w:t>
      </w:r>
      <w:r w:rsidR="00EA4188" w:rsidRPr="00716743">
        <w:rPr>
          <w:rFonts w:ascii="Times New Roman" w:hAnsi="Times New Roman" w:cs="Times New Roman"/>
          <w:sz w:val="24"/>
          <w:szCs w:val="24"/>
          <w:lang w:val="en-ZW"/>
        </w:rPr>
        <w:t>would lie</w:t>
      </w:r>
      <w:r w:rsidR="00CF7E5E" w:rsidRPr="00716743">
        <w:rPr>
          <w:rFonts w:ascii="Times New Roman" w:hAnsi="Times New Roman" w:cs="Times New Roman"/>
          <w:sz w:val="24"/>
          <w:szCs w:val="24"/>
          <w:lang w:val="en-ZW"/>
        </w:rPr>
        <w:t xml:space="preserve"> elsewhere. </w:t>
      </w:r>
      <w:r w:rsidR="00EA4188" w:rsidRPr="00716743">
        <w:rPr>
          <w:rFonts w:ascii="Times New Roman" w:hAnsi="Times New Roman" w:cs="Times New Roman"/>
          <w:sz w:val="24"/>
          <w:szCs w:val="24"/>
          <w:lang w:val="en-ZW"/>
        </w:rPr>
        <w:t>This is not the question the court is being called upon to decide and</w:t>
      </w:r>
      <w:r w:rsidR="00716743" w:rsidRPr="00716743">
        <w:rPr>
          <w:rFonts w:ascii="Times New Roman" w:hAnsi="Times New Roman" w:cs="Times New Roman"/>
          <w:sz w:val="24"/>
          <w:szCs w:val="24"/>
          <w:lang w:val="en-ZW"/>
        </w:rPr>
        <w:t xml:space="preserve"> is of no consequence to the current proceedings. </w:t>
      </w:r>
      <w:r w:rsidR="00EA4188" w:rsidRPr="00716743">
        <w:rPr>
          <w:rFonts w:ascii="Times New Roman" w:hAnsi="Times New Roman" w:cs="Times New Roman"/>
          <w:sz w:val="24"/>
          <w:szCs w:val="24"/>
          <w:lang w:val="en-ZW"/>
        </w:rPr>
        <w:t xml:space="preserve"> </w:t>
      </w:r>
    </w:p>
    <w:p w14:paraId="5869808D" w14:textId="77777777" w:rsidR="00716743" w:rsidRPr="00716743" w:rsidRDefault="00716743" w:rsidP="00716743">
      <w:pPr>
        <w:pStyle w:val="ListParagraph"/>
        <w:spacing w:after="0" w:line="360" w:lineRule="auto"/>
        <w:ind w:left="360"/>
        <w:jc w:val="both"/>
        <w:rPr>
          <w:rFonts w:ascii="Times New Roman" w:hAnsi="Times New Roman" w:cs="Times New Roman"/>
          <w:sz w:val="24"/>
          <w:szCs w:val="24"/>
        </w:rPr>
      </w:pPr>
    </w:p>
    <w:p w14:paraId="56ED51A3" w14:textId="2B1AF0C2" w:rsidR="00CF7E5E" w:rsidRPr="00CF7E5E" w:rsidRDefault="00CF7E5E" w:rsidP="00CF7E5E">
      <w:pPr>
        <w:spacing w:after="0" w:line="360" w:lineRule="auto"/>
        <w:jc w:val="both"/>
        <w:rPr>
          <w:rFonts w:ascii="Times New Roman" w:hAnsi="Times New Roman" w:cs="Times New Roman"/>
          <w:b/>
          <w:sz w:val="24"/>
          <w:szCs w:val="24"/>
        </w:rPr>
      </w:pPr>
      <w:r w:rsidRPr="00CF7E5E">
        <w:rPr>
          <w:rFonts w:ascii="Times New Roman" w:hAnsi="Times New Roman" w:cs="Times New Roman"/>
          <w:b/>
          <w:sz w:val="24"/>
          <w:szCs w:val="24"/>
        </w:rPr>
        <w:t>Whether or not the applicant waived its right to file any further submissions in relation to the preliminary point.</w:t>
      </w:r>
    </w:p>
    <w:p w14:paraId="4E469193" w14:textId="4F824A0C" w:rsidR="00A00900" w:rsidRDefault="00EA4188" w:rsidP="00041CBE">
      <w:pPr>
        <w:pStyle w:val="ListParagraph"/>
        <w:numPr>
          <w:ilvl w:val="0"/>
          <w:numId w:val="12"/>
        </w:numPr>
        <w:tabs>
          <w:tab w:val="left" w:pos="360"/>
          <w:tab w:val="left" w:pos="450"/>
        </w:tabs>
        <w:spacing w:after="0" w:line="360" w:lineRule="auto"/>
        <w:jc w:val="both"/>
        <w:rPr>
          <w:rFonts w:ascii="Times New Roman" w:hAnsi="Times New Roman" w:cs="Times New Roman"/>
          <w:sz w:val="24"/>
          <w:szCs w:val="24"/>
        </w:rPr>
      </w:pPr>
      <w:r w:rsidRPr="00EA4188">
        <w:rPr>
          <w:rFonts w:ascii="Times New Roman" w:hAnsi="Times New Roman" w:cs="Times New Roman"/>
          <w:sz w:val="24"/>
          <w:szCs w:val="24"/>
        </w:rPr>
        <w:t>T</w:t>
      </w:r>
      <w:r w:rsidR="00CF7E5E" w:rsidRPr="00EA4188">
        <w:rPr>
          <w:rFonts w:ascii="Times New Roman" w:hAnsi="Times New Roman" w:cs="Times New Roman"/>
          <w:sz w:val="24"/>
          <w:szCs w:val="24"/>
        </w:rPr>
        <w:t>he second iss</w:t>
      </w:r>
      <w:r w:rsidRPr="00EA4188">
        <w:rPr>
          <w:rFonts w:ascii="Times New Roman" w:hAnsi="Times New Roman" w:cs="Times New Roman"/>
          <w:sz w:val="24"/>
          <w:szCs w:val="24"/>
        </w:rPr>
        <w:t xml:space="preserve">ue taken by the applicant </w:t>
      </w:r>
      <w:r w:rsidR="00CF7E5E" w:rsidRPr="00EA4188">
        <w:rPr>
          <w:rFonts w:ascii="Times New Roman" w:hAnsi="Times New Roman" w:cs="Times New Roman"/>
          <w:sz w:val="24"/>
          <w:szCs w:val="24"/>
        </w:rPr>
        <w:t>relates to the finding by the second respondent that the applicant waived its right to file any further submission</w:t>
      </w:r>
      <w:r w:rsidR="002744C6">
        <w:rPr>
          <w:rFonts w:ascii="Times New Roman" w:hAnsi="Times New Roman" w:cs="Times New Roman"/>
          <w:sz w:val="24"/>
          <w:szCs w:val="24"/>
        </w:rPr>
        <w:t>s</w:t>
      </w:r>
      <w:r w:rsidR="00CF7E5E" w:rsidRPr="00EA4188">
        <w:rPr>
          <w:rFonts w:ascii="Times New Roman" w:hAnsi="Times New Roman" w:cs="Times New Roman"/>
          <w:sz w:val="24"/>
          <w:szCs w:val="24"/>
        </w:rPr>
        <w:t xml:space="preserve"> in relation to the preliminary point. </w:t>
      </w:r>
      <w:r w:rsidRPr="00EA4188">
        <w:rPr>
          <w:rFonts w:ascii="Times New Roman" w:hAnsi="Times New Roman" w:cs="Times New Roman"/>
          <w:sz w:val="24"/>
          <w:szCs w:val="24"/>
        </w:rPr>
        <w:t>The applicant argues that it was never given the opportunity to rebut the existence of the agreement because i</w:t>
      </w:r>
      <w:r w:rsidR="002744C6">
        <w:rPr>
          <w:rFonts w:ascii="Times New Roman" w:hAnsi="Times New Roman" w:cs="Times New Roman"/>
          <w:sz w:val="24"/>
          <w:szCs w:val="24"/>
        </w:rPr>
        <w:t xml:space="preserve">t was never afforded a chance </w:t>
      </w:r>
      <w:r w:rsidRPr="00EA4188">
        <w:rPr>
          <w:rFonts w:ascii="Times New Roman" w:hAnsi="Times New Roman" w:cs="Times New Roman"/>
          <w:sz w:val="24"/>
          <w:szCs w:val="24"/>
        </w:rPr>
        <w:t xml:space="preserve">to file its reply with the arbitrator. The </w:t>
      </w:r>
      <w:r w:rsidRPr="00EA4188">
        <w:rPr>
          <w:rFonts w:ascii="Times New Roman" w:hAnsi="Times New Roman" w:cs="Times New Roman"/>
          <w:sz w:val="24"/>
          <w:szCs w:val="24"/>
        </w:rPr>
        <w:lastRenderedPageBreak/>
        <w:t>applicant accuses the second respondent of simply making a finding that the applicant had waived this right without any basis for doing so.</w:t>
      </w:r>
    </w:p>
    <w:p w14:paraId="2A4AD71D" w14:textId="61978072" w:rsidR="00EA4188" w:rsidRDefault="00F13F78"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A4188">
        <w:rPr>
          <w:rFonts w:ascii="Times New Roman" w:hAnsi="Times New Roman" w:cs="Times New Roman"/>
          <w:sz w:val="24"/>
          <w:szCs w:val="24"/>
        </w:rPr>
        <w:t>second respondent</w:t>
      </w:r>
      <w:r>
        <w:rPr>
          <w:rFonts w:ascii="Times New Roman" w:hAnsi="Times New Roman" w:cs="Times New Roman"/>
          <w:sz w:val="24"/>
          <w:szCs w:val="24"/>
        </w:rPr>
        <w:t>’s ruling filed of record states that she gave certain directions to govern the filing of pleadings on the preliminary point. It further states that the applicant waived its right to file any further submissions regarding the preliminary point. However, the first respondent</w:t>
      </w:r>
      <w:r w:rsidR="000D1CD8">
        <w:rPr>
          <w:rFonts w:ascii="Times New Roman" w:hAnsi="Times New Roman" w:cs="Times New Roman"/>
          <w:sz w:val="24"/>
          <w:szCs w:val="24"/>
        </w:rPr>
        <w:t>,</w:t>
      </w:r>
      <w:r>
        <w:rPr>
          <w:rFonts w:ascii="Times New Roman" w:hAnsi="Times New Roman" w:cs="Times New Roman"/>
          <w:sz w:val="24"/>
          <w:szCs w:val="24"/>
        </w:rPr>
        <w:t xml:space="preserve"> who was the claimant in the arbitral proceedings</w:t>
      </w:r>
      <w:r w:rsidR="000D1CD8">
        <w:rPr>
          <w:rFonts w:ascii="Times New Roman" w:hAnsi="Times New Roman" w:cs="Times New Roman"/>
          <w:sz w:val="24"/>
          <w:szCs w:val="24"/>
        </w:rPr>
        <w:t>,</w:t>
      </w:r>
      <w:r>
        <w:rPr>
          <w:rFonts w:ascii="Times New Roman" w:hAnsi="Times New Roman" w:cs="Times New Roman"/>
          <w:sz w:val="24"/>
          <w:szCs w:val="24"/>
        </w:rPr>
        <w:t xml:space="preserve"> did not file its papers as directed. The applicant then wrote to the second respondent bringing to her attention the failure by the first respondent to comply with the directi</w:t>
      </w:r>
      <w:r w:rsidR="00A979D6">
        <w:rPr>
          <w:rFonts w:ascii="Times New Roman" w:hAnsi="Times New Roman" w:cs="Times New Roman"/>
          <w:sz w:val="24"/>
          <w:szCs w:val="24"/>
        </w:rPr>
        <w:t>ves she had given. The second respondent</w:t>
      </w:r>
      <w:r>
        <w:rPr>
          <w:rFonts w:ascii="Times New Roman" w:hAnsi="Times New Roman" w:cs="Times New Roman"/>
          <w:sz w:val="24"/>
          <w:szCs w:val="24"/>
        </w:rPr>
        <w:t xml:space="preserve"> issued further directives via email, setting new timelines within which pleadings were supposed to be filed and a ruling on the preliminary point made. The ruling would be handed down on or before 28 May 2024.  </w:t>
      </w:r>
    </w:p>
    <w:p w14:paraId="38375157" w14:textId="4BC033BC" w:rsidR="00716743" w:rsidRDefault="00F13F78"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legal practitioners responded to this email on 18 April 2024, simply stating that they had noted the </w:t>
      </w:r>
      <w:r w:rsidR="002744C6">
        <w:rPr>
          <w:rFonts w:ascii="Times New Roman" w:hAnsi="Times New Roman" w:cs="Times New Roman"/>
          <w:sz w:val="24"/>
          <w:szCs w:val="24"/>
        </w:rPr>
        <w:t>‘</w:t>
      </w:r>
      <w:r>
        <w:rPr>
          <w:rFonts w:ascii="Times New Roman" w:hAnsi="Times New Roman" w:cs="Times New Roman"/>
          <w:sz w:val="24"/>
          <w:szCs w:val="24"/>
        </w:rPr>
        <w:t>new time table of filing of pleadings</w:t>
      </w:r>
      <w:r w:rsidR="002744C6">
        <w:rPr>
          <w:rFonts w:ascii="Times New Roman" w:hAnsi="Times New Roman" w:cs="Times New Roman"/>
          <w:sz w:val="24"/>
          <w:szCs w:val="24"/>
        </w:rPr>
        <w:t>’</w:t>
      </w:r>
      <w:r>
        <w:rPr>
          <w:rFonts w:ascii="Times New Roman" w:hAnsi="Times New Roman" w:cs="Times New Roman"/>
          <w:sz w:val="24"/>
          <w:szCs w:val="24"/>
        </w:rPr>
        <w:t>. The applicant did not indicate that</w:t>
      </w:r>
      <w:r w:rsidR="00716743">
        <w:rPr>
          <w:rFonts w:ascii="Times New Roman" w:hAnsi="Times New Roman" w:cs="Times New Roman"/>
          <w:sz w:val="24"/>
          <w:szCs w:val="24"/>
        </w:rPr>
        <w:t xml:space="preserve"> it wanted to file any reply</w:t>
      </w:r>
      <w:r>
        <w:rPr>
          <w:rFonts w:ascii="Times New Roman" w:hAnsi="Times New Roman" w:cs="Times New Roman"/>
          <w:sz w:val="24"/>
          <w:szCs w:val="24"/>
        </w:rPr>
        <w:t>. Nothing has been placed before the court to show that the applicant was barred from indicating that it needed to file a replic</w:t>
      </w:r>
      <w:r w:rsidR="00A979D6">
        <w:rPr>
          <w:rFonts w:ascii="Times New Roman" w:hAnsi="Times New Roman" w:cs="Times New Roman"/>
          <w:sz w:val="24"/>
          <w:szCs w:val="24"/>
        </w:rPr>
        <w:t xml:space="preserve">ation on the preliminary point. Neither has the applicant given any reason why the second respondent would state that the applicant had waived its right to file any further submissions when it did not. If the applicant had indeed not waived its right to reply when the first deadline was given, it surely ought to have corrected the </w:t>
      </w:r>
      <w:r w:rsidR="00716743">
        <w:rPr>
          <w:rFonts w:ascii="Times New Roman" w:hAnsi="Times New Roman" w:cs="Times New Roman"/>
          <w:sz w:val="24"/>
          <w:szCs w:val="24"/>
        </w:rPr>
        <w:t>‘</w:t>
      </w:r>
      <w:r w:rsidR="00A979D6">
        <w:rPr>
          <w:rFonts w:ascii="Times New Roman" w:hAnsi="Times New Roman" w:cs="Times New Roman"/>
          <w:sz w:val="24"/>
          <w:szCs w:val="24"/>
        </w:rPr>
        <w:t>misco</w:t>
      </w:r>
      <w:r w:rsidR="00716743">
        <w:rPr>
          <w:rFonts w:ascii="Times New Roman" w:hAnsi="Times New Roman" w:cs="Times New Roman"/>
          <w:sz w:val="24"/>
          <w:szCs w:val="24"/>
        </w:rPr>
        <w:t>nception’</w:t>
      </w:r>
      <w:r w:rsidR="00A979D6">
        <w:rPr>
          <w:rFonts w:ascii="Times New Roman" w:hAnsi="Times New Roman" w:cs="Times New Roman"/>
          <w:sz w:val="24"/>
          <w:szCs w:val="24"/>
        </w:rPr>
        <w:t xml:space="preserve"> when new timelines were set and the second respondent </w:t>
      </w:r>
      <w:r w:rsidR="00716743">
        <w:rPr>
          <w:rFonts w:ascii="Times New Roman" w:hAnsi="Times New Roman" w:cs="Times New Roman"/>
          <w:sz w:val="24"/>
          <w:szCs w:val="24"/>
        </w:rPr>
        <w:t>had not made provision for</w:t>
      </w:r>
      <w:r w:rsidR="00A979D6">
        <w:rPr>
          <w:rFonts w:ascii="Times New Roman" w:hAnsi="Times New Roman" w:cs="Times New Roman"/>
          <w:sz w:val="24"/>
          <w:szCs w:val="24"/>
        </w:rPr>
        <w:t xml:space="preserve"> the deadline for filing the replication. The applicant did not do that, and instead opted to note the timelines. </w:t>
      </w:r>
    </w:p>
    <w:p w14:paraId="48BE8744" w14:textId="3D0F135A" w:rsidR="00716743" w:rsidRDefault="00716743" w:rsidP="00041CBE">
      <w:pPr>
        <w:pStyle w:val="ListParagraph"/>
        <w:numPr>
          <w:ilvl w:val="0"/>
          <w:numId w:val="12"/>
        </w:num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may well be that the applicant had mental reservations on the ‘omission’ of the deadline within which to file its replication on the preliminary point, but as long as such mental reservations were not communicated, one cannot argue that it did not waive its right. Adjudged from the outward manifestations of the applicant’s conduct pursuant to the email, it is plainly consistent with the finding of the second respondent that the applicant waived its right to file a replication on the preliminary point. It can properly be inferred from the applicant’s response to the email that it </w:t>
      </w:r>
      <w:r w:rsidR="001F0C6F">
        <w:rPr>
          <w:rFonts w:ascii="Times New Roman" w:hAnsi="Times New Roman" w:cs="Times New Roman"/>
          <w:sz w:val="24"/>
          <w:szCs w:val="24"/>
        </w:rPr>
        <w:t xml:space="preserve">acquiesced to </w:t>
      </w:r>
      <w:r>
        <w:rPr>
          <w:rFonts w:ascii="Times New Roman" w:hAnsi="Times New Roman" w:cs="Times New Roman"/>
          <w:sz w:val="24"/>
          <w:szCs w:val="24"/>
        </w:rPr>
        <w:t>the directives given by the second respondent.</w:t>
      </w:r>
      <w:r w:rsidR="001F0C6F">
        <w:rPr>
          <w:rFonts w:ascii="Times New Roman" w:hAnsi="Times New Roman" w:cs="Times New Roman"/>
          <w:sz w:val="24"/>
          <w:szCs w:val="24"/>
        </w:rPr>
        <w:t xml:space="preserve"> (See </w:t>
      </w:r>
      <w:r w:rsidR="001F0C6F" w:rsidRPr="001F0C6F">
        <w:rPr>
          <w:rFonts w:ascii="Times New Roman" w:hAnsi="Times New Roman" w:cs="Times New Roman"/>
          <w:i/>
          <w:sz w:val="24"/>
          <w:szCs w:val="24"/>
        </w:rPr>
        <w:t xml:space="preserve">Chidziva &amp; Ors </w:t>
      </w:r>
      <w:r w:rsidR="001F0C6F" w:rsidRPr="001F0C6F">
        <w:rPr>
          <w:rFonts w:ascii="Times New Roman" w:hAnsi="Times New Roman" w:cs="Times New Roman"/>
          <w:sz w:val="24"/>
          <w:szCs w:val="24"/>
        </w:rPr>
        <w:t>v</w:t>
      </w:r>
      <w:r w:rsidR="001F0C6F" w:rsidRPr="001F0C6F">
        <w:rPr>
          <w:rFonts w:ascii="Times New Roman" w:hAnsi="Times New Roman" w:cs="Times New Roman"/>
          <w:i/>
          <w:sz w:val="24"/>
          <w:szCs w:val="24"/>
        </w:rPr>
        <w:t xml:space="preserve"> Zimbabwe &amp; Steel Co. Ltd</w:t>
      </w:r>
      <w:r w:rsidR="001F0C6F">
        <w:rPr>
          <w:rFonts w:ascii="Times New Roman" w:hAnsi="Times New Roman" w:cs="Times New Roman"/>
          <w:sz w:val="24"/>
          <w:szCs w:val="24"/>
        </w:rPr>
        <w:t xml:space="preserve"> 1997 (2) ZLR 368 (S), </w:t>
      </w:r>
      <w:r w:rsidR="001F0C6F" w:rsidRPr="001F0C6F">
        <w:rPr>
          <w:rFonts w:ascii="Times New Roman" w:hAnsi="Times New Roman" w:cs="Times New Roman"/>
          <w:i/>
          <w:sz w:val="24"/>
          <w:szCs w:val="24"/>
        </w:rPr>
        <w:t xml:space="preserve">Barclays Bank of Zimbabwe Ltd </w:t>
      </w:r>
      <w:r w:rsidR="001F0C6F" w:rsidRPr="001F0C6F">
        <w:rPr>
          <w:rFonts w:ascii="Times New Roman" w:hAnsi="Times New Roman" w:cs="Times New Roman"/>
          <w:sz w:val="24"/>
          <w:szCs w:val="24"/>
        </w:rPr>
        <w:t xml:space="preserve">v </w:t>
      </w:r>
      <w:r w:rsidR="001F0C6F" w:rsidRPr="001F0C6F">
        <w:rPr>
          <w:rFonts w:ascii="Times New Roman" w:hAnsi="Times New Roman" w:cs="Times New Roman"/>
          <w:i/>
          <w:sz w:val="24"/>
          <w:szCs w:val="24"/>
        </w:rPr>
        <w:t>Binga Products (Pvt) (Ltd)</w:t>
      </w:r>
      <w:r w:rsidR="001F0C6F">
        <w:rPr>
          <w:rFonts w:ascii="Times New Roman" w:hAnsi="Times New Roman" w:cs="Times New Roman"/>
          <w:sz w:val="24"/>
          <w:szCs w:val="24"/>
        </w:rPr>
        <w:t xml:space="preserve"> 1985 (3) SA 1041 (ZS) &amp; </w:t>
      </w:r>
      <w:r w:rsidR="001F0C6F" w:rsidRPr="001F0C6F">
        <w:rPr>
          <w:rFonts w:ascii="Times New Roman" w:hAnsi="Times New Roman" w:cs="Times New Roman"/>
          <w:i/>
          <w:sz w:val="24"/>
          <w:szCs w:val="24"/>
        </w:rPr>
        <w:t xml:space="preserve">Nyemba NO </w:t>
      </w:r>
      <w:r w:rsidR="001F0C6F" w:rsidRPr="001F0C6F">
        <w:rPr>
          <w:rFonts w:ascii="Times New Roman" w:hAnsi="Times New Roman" w:cs="Times New Roman"/>
          <w:sz w:val="24"/>
          <w:szCs w:val="24"/>
        </w:rPr>
        <w:t>v</w:t>
      </w:r>
      <w:r w:rsidR="001F0C6F" w:rsidRPr="001F0C6F">
        <w:rPr>
          <w:rFonts w:ascii="Times New Roman" w:hAnsi="Times New Roman" w:cs="Times New Roman"/>
          <w:i/>
          <w:sz w:val="24"/>
          <w:szCs w:val="24"/>
        </w:rPr>
        <w:t xml:space="preserve"> Chakabva NO</w:t>
      </w:r>
      <w:r w:rsidR="001F0C6F">
        <w:rPr>
          <w:rFonts w:ascii="Times New Roman" w:hAnsi="Times New Roman" w:cs="Times New Roman"/>
          <w:sz w:val="24"/>
          <w:szCs w:val="24"/>
        </w:rPr>
        <w:t xml:space="preserve"> &amp; 5 Ors HH 224-18.) </w:t>
      </w:r>
    </w:p>
    <w:p w14:paraId="6153CCB7" w14:textId="5F272529" w:rsidR="003C2646" w:rsidRPr="003C2646" w:rsidRDefault="003C2646" w:rsidP="003C2646">
      <w:pPr>
        <w:pStyle w:val="ListParagraph"/>
        <w:spacing w:line="360" w:lineRule="auto"/>
        <w:ind w:left="360"/>
        <w:jc w:val="both"/>
        <w:rPr>
          <w:rFonts w:ascii="Times New Roman" w:hAnsi="Times New Roman" w:cs="Times New Roman"/>
          <w:b/>
          <w:bCs/>
          <w:sz w:val="24"/>
          <w:szCs w:val="24"/>
          <w:lang w:val="en-ZW"/>
        </w:rPr>
      </w:pPr>
      <w:r w:rsidRPr="003C2646">
        <w:rPr>
          <w:rFonts w:ascii="Times New Roman" w:hAnsi="Times New Roman" w:cs="Times New Roman"/>
          <w:b/>
          <w:bCs/>
          <w:sz w:val="24"/>
          <w:szCs w:val="24"/>
          <w:lang w:val="en-ZW"/>
        </w:rPr>
        <w:lastRenderedPageBreak/>
        <w:t>Disposition</w:t>
      </w:r>
    </w:p>
    <w:p w14:paraId="05E02A81" w14:textId="0C277494" w:rsidR="00535F5C" w:rsidRPr="00535F5C" w:rsidRDefault="005064EC" w:rsidP="00041CBE">
      <w:pPr>
        <w:pStyle w:val="ListParagraph"/>
        <w:numPr>
          <w:ilvl w:val="0"/>
          <w:numId w:val="12"/>
        </w:numPr>
        <w:tabs>
          <w:tab w:val="left" w:pos="90"/>
        </w:tabs>
        <w:spacing w:after="0" w:line="360" w:lineRule="auto"/>
        <w:ind w:left="0"/>
        <w:jc w:val="both"/>
        <w:rPr>
          <w:rFonts w:ascii="Times New Roman" w:hAnsi="Times New Roman" w:cs="Times New Roman"/>
          <w:b/>
          <w:bCs/>
          <w:sz w:val="24"/>
          <w:szCs w:val="24"/>
          <w:lang w:val="en-ZW"/>
        </w:rPr>
      </w:pPr>
      <w:r w:rsidRPr="00A4750B">
        <w:rPr>
          <w:rFonts w:ascii="Times New Roman" w:hAnsi="Times New Roman" w:cs="Times New Roman"/>
          <w:bCs/>
          <w:sz w:val="24"/>
          <w:szCs w:val="24"/>
          <w:lang w:val="en-ZW"/>
        </w:rPr>
        <w:t xml:space="preserve">The applicant has prayed for a finding that the second respondent’s ruling is contrary to public policy. </w:t>
      </w:r>
      <w:r w:rsidR="008D7E31">
        <w:rPr>
          <w:rFonts w:ascii="Times New Roman" w:hAnsi="Times New Roman" w:cs="Times New Roman"/>
          <w:bCs/>
          <w:sz w:val="24"/>
          <w:szCs w:val="24"/>
          <w:lang w:val="en-ZW"/>
        </w:rPr>
        <w:t>For the reasons I have set out above, I do not see how by any reasoning it can be accepted that in the circumstances of this case</w:t>
      </w:r>
      <w:r w:rsidR="000D1CD8">
        <w:rPr>
          <w:rFonts w:ascii="Times New Roman" w:hAnsi="Times New Roman" w:cs="Times New Roman"/>
          <w:bCs/>
          <w:sz w:val="24"/>
          <w:szCs w:val="24"/>
          <w:lang w:val="en-ZW"/>
        </w:rPr>
        <w:t>,</w:t>
      </w:r>
      <w:r w:rsidR="008D7E31">
        <w:rPr>
          <w:rFonts w:ascii="Times New Roman" w:hAnsi="Times New Roman" w:cs="Times New Roman"/>
          <w:bCs/>
          <w:sz w:val="24"/>
          <w:szCs w:val="24"/>
          <w:lang w:val="en-ZW"/>
        </w:rPr>
        <w:t xml:space="preserve"> the decision of the second respondent was not only erroneous but was also contrary to public policy. </w:t>
      </w:r>
      <w:r w:rsidRPr="00A4750B">
        <w:rPr>
          <w:rFonts w:ascii="Times New Roman" w:hAnsi="Times New Roman" w:cs="Times New Roman"/>
          <w:bCs/>
          <w:sz w:val="24"/>
          <w:szCs w:val="24"/>
          <w:lang w:val="en-ZW"/>
        </w:rPr>
        <w:t xml:space="preserve">In the matter of </w:t>
      </w:r>
      <w:r w:rsidRPr="00A4750B">
        <w:rPr>
          <w:rFonts w:ascii="Times New Roman" w:hAnsi="Times New Roman" w:cs="Times New Roman"/>
          <w:bCs/>
          <w:i/>
          <w:sz w:val="24"/>
          <w:szCs w:val="24"/>
          <w:lang w:val="en-ZW"/>
        </w:rPr>
        <w:t xml:space="preserve">Ferro-Alloys Employers Association of Zimbabwe </w:t>
      </w:r>
      <w:r w:rsidRPr="00A4750B">
        <w:rPr>
          <w:rFonts w:ascii="Times New Roman" w:hAnsi="Times New Roman" w:cs="Times New Roman"/>
          <w:bCs/>
          <w:sz w:val="24"/>
          <w:szCs w:val="24"/>
          <w:lang w:val="en-ZW"/>
        </w:rPr>
        <w:t>v</w:t>
      </w:r>
      <w:r w:rsidRPr="00A4750B">
        <w:rPr>
          <w:rFonts w:ascii="Times New Roman" w:hAnsi="Times New Roman" w:cs="Times New Roman"/>
          <w:bCs/>
          <w:i/>
          <w:sz w:val="24"/>
          <w:szCs w:val="24"/>
          <w:lang w:val="en-ZW"/>
        </w:rPr>
        <w:t xml:space="preserve"> Zimbabwe Metal, Energy and Allied Workers Union &amp; Ors</w:t>
      </w:r>
      <w:r w:rsidRPr="00A4750B">
        <w:rPr>
          <w:rFonts w:ascii="Times New Roman" w:hAnsi="Times New Roman" w:cs="Times New Roman"/>
          <w:bCs/>
          <w:sz w:val="24"/>
          <w:szCs w:val="24"/>
          <w:lang w:val="en-ZW"/>
        </w:rPr>
        <w:t xml:space="preserve"> 2018 (2) ZLR 356 (H) it was held that arbitral award will be adjudged to be in violation of the public policy of Zimbabwe where its recognition has the effect of resulting in inequity of such a gross magnitude that it so defies accepted moral standards to such an extent that it offends any reasonable person’s conception of justice. In my view, the same concept applies to an arbitral ruling. </w:t>
      </w:r>
    </w:p>
    <w:p w14:paraId="288841EF" w14:textId="77777777" w:rsidR="00535F5C" w:rsidRPr="00535F5C" w:rsidRDefault="005064EC" w:rsidP="00041CBE">
      <w:pPr>
        <w:pStyle w:val="ListParagraph"/>
        <w:numPr>
          <w:ilvl w:val="0"/>
          <w:numId w:val="12"/>
        </w:numPr>
        <w:tabs>
          <w:tab w:val="left" w:pos="90"/>
        </w:tabs>
        <w:spacing w:after="0" w:line="360" w:lineRule="auto"/>
        <w:ind w:left="0"/>
        <w:jc w:val="both"/>
        <w:rPr>
          <w:rFonts w:ascii="Times New Roman" w:hAnsi="Times New Roman" w:cs="Times New Roman"/>
          <w:b/>
          <w:bCs/>
          <w:sz w:val="24"/>
          <w:szCs w:val="24"/>
          <w:lang w:val="en-ZW"/>
        </w:rPr>
      </w:pPr>
      <w:r w:rsidRPr="00A4750B">
        <w:rPr>
          <w:rFonts w:ascii="Times New Roman" w:hAnsi="Times New Roman" w:cs="Times New Roman"/>
          <w:bCs/>
          <w:sz w:val="24"/>
          <w:szCs w:val="24"/>
          <w:lang w:val="en-ZW"/>
        </w:rPr>
        <w:t>The decision of the second respondent cannot, by any stretch of imagination, be said to be in violation of public p</w:t>
      </w:r>
      <w:r w:rsidR="008D7E31">
        <w:rPr>
          <w:rFonts w:ascii="Times New Roman" w:hAnsi="Times New Roman" w:cs="Times New Roman"/>
          <w:bCs/>
          <w:sz w:val="24"/>
          <w:szCs w:val="24"/>
          <w:lang w:val="en-ZW"/>
        </w:rPr>
        <w:t>olicy of Zimbabwe. H</w:t>
      </w:r>
      <w:r w:rsidRPr="00A4750B">
        <w:rPr>
          <w:rFonts w:ascii="Times New Roman" w:hAnsi="Times New Roman" w:cs="Times New Roman"/>
          <w:bCs/>
          <w:sz w:val="24"/>
          <w:szCs w:val="24"/>
          <w:lang w:val="en-ZW"/>
        </w:rPr>
        <w:t>er reasoning cannot be fa</w:t>
      </w:r>
      <w:r w:rsidR="00A4750B" w:rsidRPr="00A4750B">
        <w:rPr>
          <w:rFonts w:ascii="Times New Roman" w:hAnsi="Times New Roman" w:cs="Times New Roman"/>
          <w:bCs/>
          <w:sz w:val="24"/>
          <w:szCs w:val="24"/>
          <w:lang w:val="en-ZW"/>
        </w:rPr>
        <w:t>ulted. The second respondent dealt with the preliminary point raised by the applicant in accordance with the law. The</w:t>
      </w:r>
      <w:r w:rsidRPr="00A4750B">
        <w:rPr>
          <w:rFonts w:ascii="Times New Roman" w:hAnsi="Times New Roman" w:cs="Times New Roman"/>
          <w:bCs/>
          <w:sz w:val="24"/>
          <w:szCs w:val="24"/>
          <w:lang w:val="en-ZW"/>
        </w:rPr>
        <w:t xml:space="preserve"> fact that the applicant does not ag</w:t>
      </w:r>
      <w:r w:rsidR="00A4750B" w:rsidRPr="00A4750B">
        <w:rPr>
          <w:rFonts w:ascii="Times New Roman" w:hAnsi="Times New Roman" w:cs="Times New Roman"/>
          <w:bCs/>
          <w:sz w:val="24"/>
          <w:szCs w:val="24"/>
          <w:lang w:val="en-ZW"/>
        </w:rPr>
        <w:t>ree wit</w:t>
      </w:r>
      <w:r w:rsidR="00647340">
        <w:rPr>
          <w:rFonts w:ascii="Times New Roman" w:hAnsi="Times New Roman" w:cs="Times New Roman"/>
          <w:bCs/>
          <w:sz w:val="24"/>
          <w:szCs w:val="24"/>
          <w:lang w:val="en-ZW"/>
        </w:rPr>
        <w:t>h her reasoning does not give the ruling</w:t>
      </w:r>
      <w:r w:rsidR="00A4750B" w:rsidRPr="00A4750B">
        <w:rPr>
          <w:rFonts w:ascii="Times New Roman" w:hAnsi="Times New Roman" w:cs="Times New Roman"/>
          <w:bCs/>
          <w:sz w:val="24"/>
          <w:szCs w:val="24"/>
          <w:lang w:val="en-ZW"/>
        </w:rPr>
        <w:t xml:space="preserve"> the comple</w:t>
      </w:r>
      <w:r w:rsidR="00A4750B">
        <w:rPr>
          <w:rFonts w:ascii="Times New Roman" w:hAnsi="Times New Roman" w:cs="Times New Roman"/>
          <w:bCs/>
          <w:sz w:val="24"/>
          <w:szCs w:val="24"/>
          <w:lang w:val="en-ZW"/>
        </w:rPr>
        <w:t>x</w:t>
      </w:r>
      <w:r w:rsidR="00A4750B" w:rsidRPr="00A4750B">
        <w:rPr>
          <w:rFonts w:ascii="Times New Roman" w:hAnsi="Times New Roman" w:cs="Times New Roman"/>
          <w:bCs/>
          <w:sz w:val="24"/>
          <w:szCs w:val="24"/>
          <w:lang w:val="en-ZW"/>
        </w:rPr>
        <w:t xml:space="preserve">ion of a </w:t>
      </w:r>
      <w:r w:rsidR="00A4750B">
        <w:rPr>
          <w:rFonts w:ascii="Times New Roman" w:hAnsi="Times New Roman" w:cs="Times New Roman"/>
          <w:bCs/>
          <w:sz w:val="24"/>
          <w:szCs w:val="24"/>
          <w:lang w:val="en-ZW"/>
        </w:rPr>
        <w:t>decision</w:t>
      </w:r>
      <w:r w:rsidR="00A4750B" w:rsidRPr="00A4750B">
        <w:rPr>
          <w:rFonts w:ascii="Times New Roman" w:hAnsi="Times New Roman" w:cs="Times New Roman"/>
          <w:bCs/>
          <w:sz w:val="24"/>
          <w:szCs w:val="24"/>
          <w:lang w:val="en-ZW"/>
        </w:rPr>
        <w:t xml:space="preserve"> that is contrary to public policy. </w:t>
      </w:r>
    </w:p>
    <w:p w14:paraId="31E7FE13" w14:textId="0E56421F" w:rsidR="00A4750B" w:rsidRPr="008D7E31" w:rsidRDefault="00647340" w:rsidP="00041CBE">
      <w:pPr>
        <w:pStyle w:val="ListParagraph"/>
        <w:numPr>
          <w:ilvl w:val="0"/>
          <w:numId w:val="12"/>
        </w:numPr>
        <w:tabs>
          <w:tab w:val="left" w:pos="90"/>
        </w:tabs>
        <w:spacing w:after="0" w:line="360" w:lineRule="auto"/>
        <w:ind w:left="0"/>
        <w:jc w:val="both"/>
        <w:rPr>
          <w:rFonts w:ascii="Times New Roman" w:hAnsi="Times New Roman" w:cs="Times New Roman"/>
          <w:b/>
          <w:bCs/>
          <w:sz w:val="24"/>
          <w:szCs w:val="24"/>
          <w:lang w:val="en-ZW"/>
        </w:rPr>
      </w:pPr>
      <w:r>
        <w:rPr>
          <w:rFonts w:ascii="Times New Roman" w:hAnsi="Times New Roman" w:cs="Times New Roman"/>
          <w:bCs/>
          <w:sz w:val="24"/>
          <w:szCs w:val="24"/>
          <w:lang w:val="en-ZW"/>
        </w:rPr>
        <w:t xml:space="preserve"> In the circumstances, and making a value judgment on the merits of this case, I am satisfied that the applicant has failed to </w:t>
      </w:r>
      <w:r w:rsidR="00E064FC">
        <w:rPr>
          <w:rFonts w:ascii="Times New Roman" w:hAnsi="Times New Roman" w:cs="Times New Roman"/>
          <w:bCs/>
          <w:sz w:val="24"/>
          <w:szCs w:val="24"/>
          <w:lang w:val="en-ZW"/>
        </w:rPr>
        <w:t xml:space="preserve">make out </w:t>
      </w:r>
      <w:r>
        <w:rPr>
          <w:rFonts w:ascii="Times New Roman" w:hAnsi="Times New Roman" w:cs="Times New Roman"/>
          <w:bCs/>
          <w:sz w:val="24"/>
          <w:szCs w:val="24"/>
          <w:lang w:val="en-ZW"/>
        </w:rPr>
        <w:t xml:space="preserve">a case to justify the relief sought. </w:t>
      </w:r>
      <w:r w:rsidR="00A4750B" w:rsidRPr="00A4750B">
        <w:rPr>
          <w:rFonts w:ascii="Times New Roman" w:hAnsi="Times New Roman" w:cs="Times New Roman"/>
          <w:bCs/>
          <w:sz w:val="24"/>
          <w:szCs w:val="24"/>
          <w:lang w:val="en-ZW"/>
        </w:rPr>
        <w:t xml:space="preserve"> </w:t>
      </w:r>
    </w:p>
    <w:p w14:paraId="1545E1A9" w14:textId="77777777" w:rsidR="008D7E31" w:rsidRPr="00A4750B" w:rsidRDefault="008D7E31" w:rsidP="008D7E31">
      <w:pPr>
        <w:pStyle w:val="ListParagraph"/>
        <w:spacing w:after="0" w:line="360" w:lineRule="auto"/>
        <w:ind w:left="0"/>
        <w:jc w:val="both"/>
        <w:rPr>
          <w:rFonts w:ascii="Times New Roman" w:hAnsi="Times New Roman" w:cs="Times New Roman"/>
          <w:b/>
          <w:bCs/>
          <w:sz w:val="24"/>
          <w:szCs w:val="24"/>
          <w:lang w:val="en-ZW"/>
        </w:rPr>
      </w:pPr>
    </w:p>
    <w:p w14:paraId="52719A38" w14:textId="2C0AE051" w:rsidR="00316E2E" w:rsidRPr="00A4750B" w:rsidRDefault="003C2646" w:rsidP="00A4750B">
      <w:pPr>
        <w:pStyle w:val="ListParagraph"/>
        <w:spacing w:after="0" w:line="360" w:lineRule="auto"/>
        <w:ind w:left="0"/>
        <w:jc w:val="both"/>
        <w:rPr>
          <w:rFonts w:ascii="Times New Roman" w:hAnsi="Times New Roman" w:cs="Times New Roman"/>
          <w:b/>
          <w:bCs/>
          <w:sz w:val="24"/>
          <w:szCs w:val="24"/>
          <w:lang w:val="en-ZW"/>
        </w:rPr>
      </w:pPr>
      <w:r w:rsidRPr="00A4750B">
        <w:rPr>
          <w:rFonts w:ascii="Times New Roman" w:hAnsi="Times New Roman" w:cs="Times New Roman"/>
          <w:b/>
          <w:bCs/>
          <w:sz w:val="24"/>
          <w:szCs w:val="24"/>
          <w:lang w:val="en-ZW"/>
        </w:rPr>
        <w:t>Order</w:t>
      </w:r>
    </w:p>
    <w:p w14:paraId="6B362E4F" w14:textId="020EABA6" w:rsidR="00316E2E" w:rsidRDefault="00E70CDD" w:rsidP="00BF77D3">
      <w:pPr>
        <w:pStyle w:val="ListParagraph"/>
        <w:spacing w:after="0" w:line="360" w:lineRule="auto"/>
        <w:ind w:left="0"/>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316E2E">
        <w:rPr>
          <w:rFonts w:ascii="Times New Roman" w:hAnsi="Times New Roman" w:cs="Times New Roman"/>
          <w:sz w:val="24"/>
          <w:szCs w:val="24"/>
          <w:lang w:val="en-ZW"/>
        </w:rPr>
        <w:t>In</w:t>
      </w:r>
      <w:r w:rsidR="007A5293">
        <w:rPr>
          <w:rFonts w:ascii="Times New Roman" w:hAnsi="Times New Roman" w:cs="Times New Roman"/>
          <w:sz w:val="24"/>
          <w:szCs w:val="24"/>
          <w:lang w:val="en-ZW"/>
        </w:rPr>
        <w:t xml:space="preserve"> the result</w:t>
      </w:r>
      <w:r w:rsidR="00316E2E">
        <w:rPr>
          <w:rFonts w:ascii="Times New Roman" w:hAnsi="Times New Roman" w:cs="Times New Roman"/>
          <w:sz w:val="24"/>
          <w:szCs w:val="24"/>
          <w:lang w:val="en-ZW"/>
        </w:rPr>
        <w:t>, it is ordered that</w:t>
      </w:r>
      <w:r w:rsidR="005F3C39">
        <w:rPr>
          <w:rFonts w:ascii="Times New Roman" w:hAnsi="Times New Roman" w:cs="Times New Roman"/>
          <w:sz w:val="24"/>
          <w:szCs w:val="24"/>
          <w:lang w:val="en-ZW"/>
        </w:rPr>
        <w:t>:</w:t>
      </w:r>
    </w:p>
    <w:p w14:paraId="5D512CDF" w14:textId="09385190" w:rsidR="003C2646" w:rsidRDefault="003C2646" w:rsidP="00BF77D3">
      <w:pPr>
        <w:pStyle w:val="ListParagraph"/>
        <w:numPr>
          <w:ilvl w:val="0"/>
          <w:numId w:val="25"/>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DE3172">
        <w:rPr>
          <w:rFonts w:ascii="Times New Roman" w:hAnsi="Times New Roman" w:cs="Times New Roman"/>
          <w:sz w:val="24"/>
          <w:szCs w:val="24"/>
          <w:lang w:val="en-ZW"/>
        </w:rPr>
        <w:t xml:space="preserve">application </w:t>
      </w:r>
      <w:r w:rsidR="005064EC">
        <w:rPr>
          <w:rFonts w:ascii="Times New Roman" w:hAnsi="Times New Roman" w:cs="Times New Roman"/>
          <w:sz w:val="24"/>
          <w:szCs w:val="24"/>
          <w:lang w:val="en-ZW"/>
        </w:rPr>
        <w:t xml:space="preserve">be and is hereby </w:t>
      </w:r>
      <w:r w:rsidR="00DE3172">
        <w:rPr>
          <w:rFonts w:ascii="Times New Roman" w:hAnsi="Times New Roman" w:cs="Times New Roman"/>
          <w:sz w:val="24"/>
          <w:szCs w:val="24"/>
          <w:lang w:val="en-ZW"/>
        </w:rPr>
        <w:t xml:space="preserve">dismissed with costs. </w:t>
      </w:r>
      <w:r>
        <w:rPr>
          <w:rFonts w:ascii="Times New Roman" w:hAnsi="Times New Roman" w:cs="Times New Roman"/>
          <w:sz w:val="24"/>
          <w:szCs w:val="24"/>
          <w:lang w:val="en-ZW"/>
        </w:rPr>
        <w:t xml:space="preserve"> </w:t>
      </w:r>
    </w:p>
    <w:p w14:paraId="59BA0D01" w14:textId="77777777" w:rsidR="009C2FFE" w:rsidRDefault="00C849CF" w:rsidP="00BF77D3">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softHyphen/>
      </w:r>
    </w:p>
    <w:p w14:paraId="709F0216" w14:textId="77777777" w:rsidR="00C849CF" w:rsidRDefault="00C849CF" w:rsidP="00BF77D3">
      <w:pPr>
        <w:spacing w:after="0" w:line="360" w:lineRule="auto"/>
        <w:jc w:val="both"/>
        <w:rPr>
          <w:rFonts w:ascii="Times New Roman" w:hAnsi="Times New Roman" w:cs="Times New Roman"/>
          <w:i/>
          <w:iCs/>
          <w:sz w:val="24"/>
          <w:szCs w:val="24"/>
        </w:rPr>
      </w:pPr>
    </w:p>
    <w:p w14:paraId="1F200932" w14:textId="555B6194" w:rsidR="00C849CF" w:rsidRPr="00BF77D3" w:rsidRDefault="00BF77D3" w:rsidP="00BF77D3">
      <w:pPr>
        <w:spacing w:after="0" w:line="240" w:lineRule="auto"/>
        <w:jc w:val="both"/>
        <w:rPr>
          <w:rFonts w:ascii="Times New Roman" w:hAnsi="Times New Roman" w:cs="Times New Roman"/>
          <w:sz w:val="24"/>
          <w:szCs w:val="24"/>
        </w:rPr>
      </w:pPr>
      <w:r w:rsidRPr="00BF77D3">
        <w:rPr>
          <w:rFonts w:ascii="Times New Roman" w:hAnsi="Times New Roman" w:cs="Times New Roman"/>
          <w:b/>
          <w:bCs/>
          <w:smallCaps/>
          <w:sz w:val="24"/>
          <w:szCs w:val="24"/>
        </w:rPr>
        <w:t>Mushure J</w:t>
      </w:r>
      <w:r>
        <w:rPr>
          <w:rFonts w:ascii="Times New Roman" w:hAnsi="Times New Roman" w:cs="Times New Roman"/>
          <w:sz w:val="24"/>
          <w:szCs w:val="24"/>
        </w:rPr>
        <w:t>: ...........................................................</w:t>
      </w:r>
    </w:p>
    <w:p w14:paraId="2B0D78BD" w14:textId="77777777" w:rsidR="00C849CF" w:rsidRDefault="00C849CF" w:rsidP="00BF77D3">
      <w:pPr>
        <w:spacing w:after="0" w:line="240" w:lineRule="auto"/>
        <w:jc w:val="both"/>
        <w:rPr>
          <w:rFonts w:ascii="Times New Roman" w:hAnsi="Times New Roman" w:cs="Times New Roman"/>
          <w:i/>
          <w:iCs/>
          <w:sz w:val="24"/>
          <w:szCs w:val="24"/>
        </w:rPr>
      </w:pPr>
    </w:p>
    <w:p w14:paraId="4A2B0CEE" w14:textId="77777777" w:rsidR="00BF77D3" w:rsidRDefault="00BF77D3" w:rsidP="00BF77D3">
      <w:pPr>
        <w:spacing w:after="0" w:line="240" w:lineRule="auto"/>
        <w:jc w:val="both"/>
        <w:rPr>
          <w:rFonts w:ascii="Times New Roman" w:hAnsi="Times New Roman" w:cs="Times New Roman"/>
          <w:i/>
          <w:iCs/>
          <w:sz w:val="24"/>
          <w:szCs w:val="24"/>
        </w:rPr>
      </w:pPr>
    </w:p>
    <w:p w14:paraId="3EDDBFA1" w14:textId="07C0E37B" w:rsidR="005672E9" w:rsidRDefault="00BC1084" w:rsidP="00BF77D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Muvingi &amp; Mugadza </w:t>
      </w:r>
      <w:r w:rsidR="002D7AD8">
        <w:rPr>
          <w:rFonts w:ascii="Times New Roman" w:hAnsi="Times New Roman" w:cs="Times New Roman"/>
          <w:i/>
          <w:iCs/>
          <w:sz w:val="24"/>
          <w:szCs w:val="24"/>
        </w:rPr>
        <w:t>Legal Practitioners</w:t>
      </w:r>
      <w:r w:rsidR="005672E9" w:rsidRPr="00FE01B5">
        <w:rPr>
          <w:rFonts w:ascii="Times New Roman" w:hAnsi="Times New Roman" w:cs="Times New Roman"/>
          <w:i/>
          <w:iCs/>
          <w:sz w:val="24"/>
          <w:szCs w:val="24"/>
        </w:rPr>
        <w:t>,</w:t>
      </w:r>
      <w:r w:rsidR="005672E9">
        <w:rPr>
          <w:rFonts w:ascii="Times New Roman" w:hAnsi="Times New Roman" w:cs="Times New Roman"/>
          <w:sz w:val="24"/>
          <w:szCs w:val="24"/>
        </w:rPr>
        <w:t xml:space="preserve"> </w:t>
      </w:r>
      <w:r>
        <w:rPr>
          <w:rFonts w:ascii="Times New Roman" w:hAnsi="Times New Roman" w:cs="Times New Roman"/>
          <w:sz w:val="24"/>
          <w:szCs w:val="24"/>
        </w:rPr>
        <w:t>applicant</w:t>
      </w:r>
      <w:r w:rsidR="002D7AD8">
        <w:rPr>
          <w:rFonts w:ascii="Times New Roman" w:hAnsi="Times New Roman" w:cs="Times New Roman"/>
          <w:sz w:val="24"/>
          <w:szCs w:val="24"/>
        </w:rPr>
        <w:t>’</w:t>
      </w:r>
      <w:r w:rsidR="0087259F">
        <w:rPr>
          <w:rFonts w:ascii="Times New Roman" w:hAnsi="Times New Roman" w:cs="Times New Roman"/>
          <w:sz w:val="24"/>
          <w:szCs w:val="24"/>
        </w:rPr>
        <w:t xml:space="preserve">s </w:t>
      </w:r>
      <w:r w:rsidR="005672E9">
        <w:rPr>
          <w:rFonts w:ascii="Times New Roman" w:hAnsi="Times New Roman" w:cs="Times New Roman"/>
          <w:sz w:val="24"/>
          <w:szCs w:val="24"/>
        </w:rPr>
        <w:t>legal practitioners</w:t>
      </w:r>
    </w:p>
    <w:p w14:paraId="5C0D5C94" w14:textId="3B44D2D4" w:rsidR="007F22C1" w:rsidRDefault="00BC1084" w:rsidP="00BF77D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Macharaga Law Chambers</w:t>
      </w:r>
      <w:r w:rsidR="0087259F">
        <w:rPr>
          <w:rFonts w:ascii="Times New Roman" w:hAnsi="Times New Roman" w:cs="Times New Roman"/>
          <w:sz w:val="24"/>
          <w:szCs w:val="24"/>
        </w:rPr>
        <w:t xml:space="preserve">, </w:t>
      </w:r>
      <w:r w:rsidR="00DE3172">
        <w:rPr>
          <w:rFonts w:ascii="Times New Roman" w:hAnsi="Times New Roman" w:cs="Times New Roman"/>
          <w:sz w:val="24"/>
          <w:szCs w:val="24"/>
        </w:rPr>
        <w:t xml:space="preserve">first </w:t>
      </w:r>
      <w:r>
        <w:rPr>
          <w:rFonts w:ascii="Times New Roman" w:hAnsi="Times New Roman" w:cs="Times New Roman"/>
          <w:sz w:val="24"/>
          <w:szCs w:val="24"/>
        </w:rPr>
        <w:t>respondent</w:t>
      </w:r>
      <w:r w:rsidR="002D7AD8">
        <w:rPr>
          <w:rFonts w:ascii="Times New Roman" w:hAnsi="Times New Roman" w:cs="Times New Roman"/>
          <w:sz w:val="24"/>
          <w:szCs w:val="24"/>
        </w:rPr>
        <w:t>’</w:t>
      </w:r>
      <w:r w:rsidR="0087259F">
        <w:rPr>
          <w:rFonts w:ascii="Times New Roman" w:hAnsi="Times New Roman" w:cs="Times New Roman"/>
          <w:sz w:val="24"/>
          <w:szCs w:val="24"/>
        </w:rPr>
        <w:t>s legal practitioners</w:t>
      </w:r>
    </w:p>
    <w:p w14:paraId="4CB61329" w14:textId="77777777" w:rsidR="00BF77D3" w:rsidRDefault="00BF77D3">
      <w:pPr>
        <w:spacing w:after="0" w:line="240" w:lineRule="auto"/>
        <w:jc w:val="both"/>
        <w:rPr>
          <w:rFonts w:ascii="Times New Roman" w:hAnsi="Times New Roman" w:cs="Times New Roman"/>
          <w:sz w:val="24"/>
          <w:szCs w:val="24"/>
        </w:rPr>
      </w:pPr>
    </w:p>
    <w:sectPr w:rsidR="00BF77D3" w:rsidSect="00BE4AB7">
      <w:headerReference w:type="default" r:id="rId8"/>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99F6" w14:textId="77777777" w:rsidR="00E738E0" w:rsidRDefault="00E738E0" w:rsidP="00956291">
      <w:pPr>
        <w:spacing w:after="0" w:line="240" w:lineRule="auto"/>
      </w:pPr>
      <w:r>
        <w:separator/>
      </w:r>
    </w:p>
  </w:endnote>
  <w:endnote w:type="continuationSeparator" w:id="0">
    <w:p w14:paraId="3B99CEE4" w14:textId="77777777" w:rsidR="00E738E0" w:rsidRDefault="00E738E0"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8A8C" w14:textId="77777777" w:rsidR="00E738E0" w:rsidRDefault="00E738E0" w:rsidP="00956291">
      <w:pPr>
        <w:spacing w:after="0" w:line="240" w:lineRule="auto"/>
      </w:pPr>
      <w:r>
        <w:separator/>
      </w:r>
    </w:p>
  </w:footnote>
  <w:footnote w:type="continuationSeparator" w:id="0">
    <w:p w14:paraId="12308856" w14:textId="77777777" w:rsidR="00E738E0" w:rsidRDefault="00E738E0" w:rsidP="00956291">
      <w:pPr>
        <w:spacing w:after="0" w:line="240" w:lineRule="auto"/>
      </w:pPr>
      <w:r>
        <w:continuationSeparator/>
      </w:r>
    </w:p>
  </w:footnote>
  <w:footnote w:id="1">
    <w:p w14:paraId="5956B4EF" w14:textId="5665FAB6" w:rsidR="000D1CD8" w:rsidRPr="000D1CD8" w:rsidRDefault="000D1CD8">
      <w:pPr>
        <w:pStyle w:val="FootnoteText"/>
        <w:rPr>
          <w:rFonts w:ascii="Times New Roman" w:hAnsi="Times New Roman" w:cs="Times New Roman"/>
        </w:rPr>
      </w:pPr>
      <w:r>
        <w:rPr>
          <w:rStyle w:val="FootnoteReference"/>
        </w:rPr>
        <w:footnoteRef/>
      </w:r>
      <w:r>
        <w:t xml:space="preserve"> </w:t>
      </w:r>
      <w:r w:rsidRPr="000D1CD8">
        <w:rPr>
          <w:rFonts w:ascii="Times New Roman" w:hAnsi="Times New Roman" w:cs="Times New Roman"/>
        </w:rPr>
        <w:t xml:space="preserve">Donovan IA, MacMillan AR and Masunda MA </w:t>
      </w:r>
      <w:r w:rsidRPr="000D1CD8">
        <w:rPr>
          <w:rFonts w:ascii="Times New Roman" w:hAnsi="Times New Roman" w:cs="Times New Roman"/>
          <w:i/>
          <w:szCs w:val="24"/>
        </w:rPr>
        <w:t>Arbitration Sourcebook</w:t>
      </w:r>
      <w:r w:rsidRPr="000D1CD8">
        <w:rPr>
          <w:rFonts w:ascii="Times New Roman" w:hAnsi="Times New Roman" w:cs="Times New Roman"/>
          <w:szCs w:val="24"/>
        </w:rPr>
        <w:t xml:space="preserve"> (Commercial Arbitration Centre, Harare 1996).</w:t>
      </w:r>
    </w:p>
  </w:footnote>
  <w:footnote w:id="2">
    <w:p w14:paraId="78F2B139" w14:textId="77777777" w:rsidR="002744C6" w:rsidRPr="00A00900" w:rsidRDefault="002744C6" w:rsidP="000306CA">
      <w:pPr>
        <w:pStyle w:val="FootnoteText"/>
        <w:rPr>
          <w:rFonts w:ascii="Times New Roman" w:hAnsi="Times New Roman" w:cs="Times New Roman"/>
          <w:lang w:val="en-ZW"/>
        </w:rPr>
      </w:pPr>
      <w:r w:rsidRPr="00A00900">
        <w:rPr>
          <w:rStyle w:val="FootnoteReference"/>
          <w:rFonts w:ascii="Times New Roman" w:hAnsi="Times New Roman" w:cs="Times New Roman"/>
        </w:rPr>
        <w:footnoteRef/>
      </w:r>
      <w:r w:rsidRPr="00A00900">
        <w:rPr>
          <w:rFonts w:ascii="Times New Roman" w:hAnsi="Times New Roman" w:cs="Times New Roman"/>
        </w:rPr>
        <w:t xml:space="preserve"> Tel-One (Private)    Limited v Capitol     Insurance     Brokers     (Private)    Limited SC60/18</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86203"/>
      <w:docPartObj>
        <w:docPartGallery w:val="Page Numbers (Top of Page)"/>
        <w:docPartUnique/>
      </w:docPartObj>
    </w:sdtPr>
    <w:sdtEndPr>
      <w:rPr>
        <w:noProof/>
      </w:rPr>
    </w:sdtEndPr>
    <w:sdtContent>
      <w:p w14:paraId="145CB529" w14:textId="45024E3B" w:rsidR="002744C6" w:rsidRDefault="002744C6">
        <w:pPr>
          <w:pStyle w:val="Header"/>
          <w:jc w:val="right"/>
          <w:rPr>
            <w:noProof/>
          </w:rPr>
        </w:pPr>
        <w:r>
          <w:fldChar w:fldCharType="begin"/>
        </w:r>
        <w:r>
          <w:instrText xml:space="preserve"> PAGE   \* MERGEFORMAT </w:instrText>
        </w:r>
        <w:r>
          <w:fldChar w:fldCharType="separate"/>
        </w:r>
        <w:r w:rsidR="00163590">
          <w:rPr>
            <w:noProof/>
          </w:rPr>
          <w:t>1</w:t>
        </w:r>
        <w:r>
          <w:rPr>
            <w:noProof/>
          </w:rPr>
          <w:fldChar w:fldCharType="end"/>
        </w:r>
      </w:p>
      <w:p w14:paraId="439E9BFE" w14:textId="4587333D" w:rsidR="002744C6" w:rsidRDefault="002744C6">
        <w:pPr>
          <w:pStyle w:val="Header"/>
          <w:jc w:val="right"/>
          <w:rPr>
            <w:noProof/>
          </w:rPr>
        </w:pPr>
        <w:r>
          <w:rPr>
            <w:noProof/>
          </w:rPr>
          <w:t xml:space="preserve">HH </w:t>
        </w:r>
        <w:r w:rsidR="005B4DB7">
          <w:rPr>
            <w:noProof/>
          </w:rPr>
          <w:t>498-</w:t>
        </w:r>
        <w:r>
          <w:rPr>
            <w:noProof/>
          </w:rPr>
          <w:t>24</w:t>
        </w:r>
      </w:p>
      <w:p w14:paraId="64204633" w14:textId="11C4375E" w:rsidR="002744C6" w:rsidRDefault="002744C6" w:rsidP="00E70CDD">
        <w:pPr>
          <w:pStyle w:val="Header"/>
          <w:jc w:val="right"/>
          <w:rPr>
            <w:noProof/>
          </w:rPr>
        </w:pPr>
        <w:r>
          <w:rPr>
            <w:noProof/>
          </w:rPr>
          <w:t>HCH 2275/24</w:t>
        </w:r>
      </w:p>
      <w:p w14:paraId="60D4698D" w14:textId="0F1CEF98" w:rsidR="002744C6" w:rsidRDefault="00E738E0" w:rsidP="00E70CDD">
        <w:pPr>
          <w:pStyle w:val="Header"/>
          <w:jc w:val="right"/>
          <w:rPr>
            <w:noProof/>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8F8"/>
    <w:multiLevelType w:val="hybridMultilevel"/>
    <w:tmpl w:val="1304CC8A"/>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D86E40"/>
    <w:multiLevelType w:val="hybridMultilevel"/>
    <w:tmpl w:val="CF48AD5A"/>
    <w:lvl w:ilvl="0" w:tplc="FAC63E78">
      <w:start w:val="1"/>
      <w:numFmt w:val="decimal"/>
      <w:lvlText w:val="[%1]"/>
      <w:lvlJc w:val="left"/>
      <w:pPr>
        <w:ind w:left="782" w:hanging="360"/>
      </w:pPr>
      <w:rPr>
        <w:rFonts w:hint="default"/>
      </w:rPr>
    </w:lvl>
    <w:lvl w:ilvl="1" w:tplc="30090019" w:tentative="1">
      <w:start w:val="1"/>
      <w:numFmt w:val="lowerLetter"/>
      <w:lvlText w:val="%2."/>
      <w:lvlJc w:val="left"/>
      <w:pPr>
        <w:ind w:left="1502" w:hanging="360"/>
      </w:pPr>
    </w:lvl>
    <w:lvl w:ilvl="2" w:tplc="3009001B" w:tentative="1">
      <w:start w:val="1"/>
      <w:numFmt w:val="lowerRoman"/>
      <w:lvlText w:val="%3."/>
      <w:lvlJc w:val="right"/>
      <w:pPr>
        <w:ind w:left="2222" w:hanging="180"/>
      </w:pPr>
    </w:lvl>
    <w:lvl w:ilvl="3" w:tplc="3009000F" w:tentative="1">
      <w:start w:val="1"/>
      <w:numFmt w:val="decimal"/>
      <w:lvlText w:val="%4."/>
      <w:lvlJc w:val="left"/>
      <w:pPr>
        <w:ind w:left="2942" w:hanging="360"/>
      </w:pPr>
    </w:lvl>
    <w:lvl w:ilvl="4" w:tplc="30090019" w:tentative="1">
      <w:start w:val="1"/>
      <w:numFmt w:val="lowerLetter"/>
      <w:lvlText w:val="%5."/>
      <w:lvlJc w:val="left"/>
      <w:pPr>
        <w:ind w:left="3662" w:hanging="360"/>
      </w:pPr>
    </w:lvl>
    <w:lvl w:ilvl="5" w:tplc="3009001B" w:tentative="1">
      <w:start w:val="1"/>
      <w:numFmt w:val="lowerRoman"/>
      <w:lvlText w:val="%6."/>
      <w:lvlJc w:val="right"/>
      <w:pPr>
        <w:ind w:left="4382" w:hanging="180"/>
      </w:pPr>
    </w:lvl>
    <w:lvl w:ilvl="6" w:tplc="3009000F" w:tentative="1">
      <w:start w:val="1"/>
      <w:numFmt w:val="decimal"/>
      <w:lvlText w:val="%7."/>
      <w:lvlJc w:val="left"/>
      <w:pPr>
        <w:ind w:left="5102" w:hanging="360"/>
      </w:pPr>
    </w:lvl>
    <w:lvl w:ilvl="7" w:tplc="30090019" w:tentative="1">
      <w:start w:val="1"/>
      <w:numFmt w:val="lowerLetter"/>
      <w:lvlText w:val="%8."/>
      <w:lvlJc w:val="left"/>
      <w:pPr>
        <w:ind w:left="5822" w:hanging="360"/>
      </w:pPr>
    </w:lvl>
    <w:lvl w:ilvl="8" w:tplc="3009001B" w:tentative="1">
      <w:start w:val="1"/>
      <w:numFmt w:val="lowerRoman"/>
      <w:lvlText w:val="%9."/>
      <w:lvlJc w:val="right"/>
      <w:pPr>
        <w:ind w:left="6542" w:hanging="180"/>
      </w:pPr>
    </w:lvl>
  </w:abstractNum>
  <w:abstractNum w:abstractNumId="2"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DA48E6"/>
    <w:multiLevelType w:val="hybridMultilevel"/>
    <w:tmpl w:val="6CD833CA"/>
    <w:lvl w:ilvl="0" w:tplc="F11ED062">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3E56C84"/>
    <w:multiLevelType w:val="hybridMultilevel"/>
    <w:tmpl w:val="A516C7CE"/>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774727"/>
    <w:multiLevelType w:val="hybridMultilevel"/>
    <w:tmpl w:val="F01260FE"/>
    <w:lvl w:ilvl="0" w:tplc="F11ED062">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65C024F"/>
    <w:multiLevelType w:val="hybridMultilevel"/>
    <w:tmpl w:val="6542F688"/>
    <w:lvl w:ilvl="0" w:tplc="FAC63E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BE262E0"/>
    <w:multiLevelType w:val="hybridMultilevel"/>
    <w:tmpl w:val="C994E2AA"/>
    <w:lvl w:ilvl="0" w:tplc="FAC63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157D8C"/>
    <w:multiLevelType w:val="hybridMultilevel"/>
    <w:tmpl w:val="87900760"/>
    <w:lvl w:ilvl="0" w:tplc="FAC63E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48C3AAF"/>
    <w:multiLevelType w:val="hybridMultilevel"/>
    <w:tmpl w:val="0AAA5644"/>
    <w:lvl w:ilvl="0" w:tplc="72EE8562">
      <w:start w:val="3"/>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51012E4"/>
    <w:multiLevelType w:val="hybridMultilevel"/>
    <w:tmpl w:val="F28A3E40"/>
    <w:lvl w:ilvl="0" w:tplc="72EE8562">
      <w:start w:val="3"/>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66059A8"/>
    <w:multiLevelType w:val="hybridMultilevel"/>
    <w:tmpl w:val="725A7ACC"/>
    <w:lvl w:ilvl="0" w:tplc="FAC63E7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7CE3F11"/>
    <w:multiLevelType w:val="hybridMultilevel"/>
    <w:tmpl w:val="183E841E"/>
    <w:lvl w:ilvl="0" w:tplc="34A8A1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8451A41"/>
    <w:multiLevelType w:val="hybridMultilevel"/>
    <w:tmpl w:val="007A8450"/>
    <w:lvl w:ilvl="0" w:tplc="3009000F">
      <w:start w:val="1"/>
      <w:numFmt w:val="decimal"/>
      <w:lvlText w:val="%1."/>
      <w:lvlJc w:val="left"/>
      <w:pPr>
        <w:ind w:left="1778" w:hanging="360"/>
      </w:pPr>
      <w:rPr>
        <w:rFonts w:hint="default"/>
      </w:rPr>
    </w:lvl>
    <w:lvl w:ilvl="1" w:tplc="30090019" w:tentative="1">
      <w:start w:val="1"/>
      <w:numFmt w:val="lowerLetter"/>
      <w:lvlText w:val="%2."/>
      <w:lvlJc w:val="left"/>
      <w:pPr>
        <w:ind w:left="2640" w:hanging="360"/>
      </w:pPr>
    </w:lvl>
    <w:lvl w:ilvl="2" w:tplc="3009001B" w:tentative="1">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14" w15:restartNumberingAfterBreak="0">
    <w:nsid w:val="29985F1B"/>
    <w:multiLevelType w:val="hybridMultilevel"/>
    <w:tmpl w:val="4D10DBEC"/>
    <w:lvl w:ilvl="0" w:tplc="AAC285F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AEB42D5"/>
    <w:multiLevelType w:val="hybridMultilevel"/>
    <w:tmpl w:val="40E053FE"/>
    <w:lvl w:ilvl="0" w:tplc="F11ED062">
      <w:start w:val="3"/>
      <w:numFmt w:val="decimal"/>
      <w:lvlText w:val="[%1]"/>
      <w:lvlJc w:val="left"/>
      <w:pPr>
        <w:ind w:left="1138" w:hanging="360"/>
      </w:pPr>
      <w:rPr>
        <w:rFonts w:hint="default"/>
      </w:rPr>
    </w:lvl>
    <w:lvl w:ilvl="1" w:tplc="30090019" w:tentative="1">
      <w:start w:val="1"/>
      <w:numFmt w:val="lowerLetter"/>
      <w:lvlText w:val="%2."/>
      <w:lvlJc w:val="left"/>
      <w:pPr>
        <w:ind w:left="1858" w:hanging="360"/>
      </w:pPr>
    </w:lvl>
    <w:lvl w:ilvl="2" w:tplc="3009001B" w:tentative="1">
      <w:start w:val="1"/>
      <w:numFmt w:val="lowerRoman"/>
      <w:lvlText w:val="%3."/>
      <w:lvlJc w:val="right"/>
      <w:pPr>
        <w:ind w:left="2578" w:hanging="180"/>
      </w:pPr>
    </w:lvl>
    <w:lvl w:ilvl="3" w:tplc="3009000F" w:tentative="1">
      <w:start w:val="1"/>
      <w:numFmt w:val="decimal"/>
      <w:lvlText w:val="%4."/>
      <w:lvlJc w:val="left"/>
      <w:pPr>
        <w:ind w:left="3298" w:hanging="360"/>
      </w:pPr>
    </w:lvl>
    <w:lvl w:ilvl="4" w:tplc="30090019" w:tentative="1">
      <w:start w:val="1"/>
      <w:numFmt w:val="lowerLetter"/>
      <w:lvlText w:val="%5."/>
      <w:lvlJc w:val="left"/>
      <w:pPr>
        <w:ind w:left="4018" w:hanging="360"/>
      </w:pPr>
    </w:lvl>
    <w:lvl w:ilvl="5" w:tplc="3009001B" w:tentative="1">
      <w:start w:val="1"/>
      <w:numFmt w:val="lowerRoman"/>
      <w:lvlText w:val="%6."/>
      <w:lvlJc w:val="right"/>
      <w:pPr>
        <w:ind w:left="4738" w:hanging="180"/>
      </w:pPr>
    </w:lvl>
    <w:lvl w:ilvl="6" w:tplc="3009000F" w:tentative="1">
      <w:start w:val="1"/>
      <w:numFmt w:val="decimal"/>
      <w:lvlText w:val="%7."/>
      <w:lvlJc w:val="left"/>
      <w:pPr>
        <w:ind w:left="5458" w:hanging="360"/>
      </w:pPr>
    </w:lvl>
    <w:lvl w:ilvl="7" w:tplc="30090019" w:tentative="1">
      <w:start w:val="1"/>
      <w:numFmt w:val="lowerLetter"/>
      <w:lvlText w:val="%8."/>
      <w:lvlJc w:val="left"/>
      <w:pPr>
        <w:ind w:left="6178" w:hanging="360"/>
      </w:pPr>
    </w:lvl>
    <w:lvl w:ilvl="8" w:tplc="3009001B" w:tentative="1">
      <w:start w:val="1"/>
      <w:numFmt w:val="lowerRoman"/>
      <w:lvlText w:val="%9."/>
      <w:lvlJc w:val="right"/>
      <w:pPr>
        <w:ind w:left="6898" w:hanging="180"/>
      </w:pPr>
    </w:lvl>
  </w:abstractNum>
  <w:abstractNum w:abstractNumId="16"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FA358A"/>
    <w:multiLevelType w:val="hybridMultilevel"/>
    <w:tmpl w:val="25D237F6"/>
    <w:lvl w:ilvl="0" w:tplc="3AFEB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A276B3"/>
    <w:multiLevelType w:val="hybridMultilevel"/>
    <w:tmpl w:val="916A03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8815F80"/>
    <w:multiLevelType w:val="hybridMultilevel"/>
    <w:tmpl w:val="126AD006"/>
    <w:lvl w:ilvl="0" w:tplc="6A6ACBC4">
      <w:start w:val="1"/>
      <w:numFmt w:val="decimal"/>
      <w:suff w:val="space"/>
      <w:lvlText w:val="[%1]"/>
      <w:lvlJc w:val="left"/>
      <w:pPr>
        <w:ind w:left="1440" w:hanging="360"/>
      </w:pPr>
      <w:rPr>
        <w:rFonts w:hint="default"/>
        <w:b w:val="0"/>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B211091"/>
    <w:multiLevelType w:val="hybridMultilevel"/>
    <w:tmpl w:val="929CDCBE"/>
    <w:lvl w:ilvl="0" w:tplc="FAC63E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DD60C1D"/>
    <w:multiLevelType w:val="hybridMultilevel"/>
    <w:tmpl w:val="AFDC3B2E"/>
    <w:lvl w:ilvl="0" w:tplc="5852AA6C">
      <w:start w:val="1"/>
      <w:numFmt w:val="decimal"/>
      <w:lvlText w:val="[%1]"/>
      <w:lvlJc w:val="left"/>
      <w:pPr>
        <w:ind w:left="360" w:hanging="360"/>
      </w:pPr>
      <w:rPr>
        <w:rFonts w:hint="default"/>
        <w:b w:val="0"/>
        <w:i w:val="0"/>
      </w:rPr>
    </w:lvl>
    <w:lvl w:ilvl="1" w:tplc="30090019" w:tentative="1">
      <w:start w:val="1"/>
      <w:numFmt w:val="lowerLetter"/>
      <w:lvlText w:val="%2."/>
      <w:lvlJc w:val="left"/>
      <w:pPr>
        <w:ind w:left="731" w:hanging="360"/>
      </w:pPr>
    </w:lvl>
    <w:lvl w:ilvl="2" w:tplc="3009001B" w:tentative="1">
      <w:start w:val="1"/>
      <w:numFmt w:val="lowerRoman"/>
      <w:lvlText w:val="%3."/>
      <w:lvlJc w:val="right"/>
      <w:pPr>
        <w:ind w:left="1451" w:hanging="180"/>
      </w:pPr>
    </w:lvl>
    <w:lvl w:ilvl="3" w:tplc="3009000F" w:tentative="1">
      <w:start w:val="1"/>
      <w:numFmt w:val="decimal"/>
      <w:lvlText w:val="%4."/>
      <w:lvlJc w:val="left"/>
      <w:pPr>
        <w:ind w:left="2171" w:hanging="360"/>
      </w:pPr>
    </w:lvl>
    <w:lvl w:ilvl="4" w:tplc="30090019" w:tentative="1">
      <w:start w:val="1"/>
      <w:numFmt w:val="lowerLetter"/>
      <w:lvlText w:val="%5."/>
      <w:lvlJc w:val="left"/>
      <w:pPr>
        <w:ind w:left="2891" w:hanging="360"/>
      </w:pPr>
    </w:lvl>
    <w:lvl w:ilvl="5" w:tplc="3009001B" w:tentative="1">
      <w:start w:val="1"/>
      <w:numFmt w:val="lowerRoman"/>
      <w:lvlText w:val="%6."/>
      <w:lvlJc w:val="right"/>
      <w:pPr>
        <w:ind w:left="3611" w:hanging="180"/>
      </w:pPr>
    </w:lvl>
    <w:lvl w:ilvl="6" w:tplc="3009000F" w:tentative="1">
      <w:start w:val="1"/>
      <w:numFmt w:val="decimal"/>
      <w:lvlText w:val="%7."/>
      <w:lvlJc w:val="left"/>
      <w:pPr>
        <w:ind w:left="4331" w:hanging="360"/>
      </w:pPr>
    </w:lvl>
    <w:lvl w:ilvl="7" w:tplc="30090019" w:tentative="1">
      <w:start w:val="1"/>
      <w:numFmt w:val="lowerLetter"/>
      <w:lvlText w:val="%8."/>
      <w:lvlJc w:val="left"/>
      <w:pPr>
        <w:ind w:left="5051" w:hanging="360"/>
      </w:pPr>
    </w:lvl>
    <w:lvl w:ilvl="8" w:tplc="3009001B" w:tentative="1">
      <w:start w:val="1"/>
      <w:numFmt w:val="lowerRoman"/>
      <w:lvlText w:val="%9."/>
      <w:lvlJc w:val="right"/>
      <w:pPr>
        <w:ind w:left="5771" w:hanging="180"/>
      </w:pPr>
    </w:lvl>
  </w:abstractNum>
  <w:abstractNum w:abstractNumId="23"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596110"/>
    <w:multiLevelType w:val="hybridMultilevel"/>
    <w:tmpl w:val="0526C6FA"/>
    <w:lvl w:ilvl="0" w:tplc="FFFFFFFF">
      <w:start w:val="1"/>
      <w:numFmt w:val="decimal"/>
      <w:lvlText w:val="[%1]"/>
      <w:lvlJc w:val="left"/>
      <w:pPr>
        <w:ind w:left="1069"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0043CB"/>
    <w:multiLevelType w:val="hybridMultilevel"/>
    <w:tmpl w:val="8E98DAD2"/>
    <w:lvl w:ilvl="0" w:tplc="ED186C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24F656B"/>
    <w:multiLevelType w:val="hybridMultilevel"/>
    <w:tmpl w:val="6466F256"/>
    <w:lvl w:ilvl="0" w:tplc="687A8124">
      <w:start w:val="1"/>
      <w:numFmt w:val="lowerRoman"/>
      <w:lvlText w:val="%1."/>
      <w:lvlJc w:val="left"/>
      <w:pPr>
        <w:ind w:left="1080" w:hanging="72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279408C"/>
    <w:multiLevelType w:val="hybridMultilevel"/>
    <w:tmpl w:val="4518293A"/>
    <w:lvl w:ilvl="0" w:tplc="72EE8562">
      <w:start w:val="3"/>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314734F"/>
    <w:multiLevelType w:val="hybridMultilevel"/>
    <w:tmpl w:val="90964A4E"/>
    <w:lvl w:ilvl="0" w:tplc="EF8419D0">
      <w:start w:val="1"/>
      <w:numFmt w:val="upp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57B61E52"/>
    <w:multiLevelType w:val="hybridMultilevel"/>
    <w:tmpl w:val="EBB89EDE"/>
    <w:lvl w:ilvl="0" w:tplc="F11ED062">
      <w:start w:val="3"/>
      <w:numFmt w:val="decimal"/>
      <w:lvlText w:val="[%1]"/>
      <w:lvlJc w:val="left"/>
      <w:pPr>
        <w:ind w:left="782" w:hanging="360"/>
      </w:pPr>
      <w:rPr>
        <w:rFonts w:hint="default"/>
      </w:rPr>
    </w:lvl>
    <w:lvl w:ilvl="1" w:tplc="30090019" w:tentative="1">
      <w:start w:val="1"/>
      <w:numFmt w:val="lowerLetter"/>
      <w:lvlText w:val="%2."/>
      <w:lvlJc w:val="left"/>
      <w:pPr>
        <w:ind w:left="1502" w:hanging="360"/>
      </w:pPr>
    </w:lvl>
    <w:lvl w:ilvl="2" w:tplc="3009001B" w:tentative="1">
      <w:start w:val="1"/>
      <w:numFmt w:val="lowerRoman"/>
      <w:lvlText w:val="%3."/>
      <w:lvlJc w:val="right"/>
      <w:pPr>
        <w:ind w:left="2222" w:hanging="180"/>
      </w:pPr>
    </w:lvl>
    <w:lvl w:ilvl="3" w:tplc="3009000F" w:tentative="1">
      <w:start w:val="1"/>
      <w:numFmt w:val="decimal"/>
      <w:lvlText w:val="%4."/>
      <w:lvlJc w:val="left"/>
      <w:pPr>
        <w:ind w:left="2942" w:hanging="360"/>
      </w:pPr>
    </w:lvl>
    <w:lvl w:ilvl="4" w:tplc="30090019" w:tentative="1">
      <w:start w:val="1"/>
      <w:numFmt w:val="lowerLetter"/>
      <w:lvlText w:val="%5."/>
      <w:lvlJc w:val="left"/>
      <w:pPr>
        <w:ind w:left="3662" w:hanging="360"/>
      </w:pPr>
    </w:lvl>
    <w:lvl w:ilvl="5" w:tplc="3009001B" w:tentative="1">
      <w:start w:val="1"/>
      <w:numFmt w:val="lowerRoman"/>
      <w:lvlText w:val="%6."/>
      <w:lvlJc w:val="right"/>
      <w:pPr>
        <w:ind w:left="4382" w:hanging="180"/>
      </w:pPr>
    </w:lvl>
    <w:lvl w:ilvl="6" w:tplc="3009000F" w:tentative="1">
      <w:start w:val="1"/>
      <w:numFmt w:val="decimal"/>
      <w:lvlText w:val="%7."/>
      <w:lvlJc w:val="left"/>
      <w:pPr>
        <w:ind w:left="5102" w:hanging="360"/>
      </w:pPr>
    </w:lvl>
    <w:lvl w:ilvl="7" w:tplc="30090019" w:tentative="1">
      <w:start w:val="1"/>
      <w:numFmt w:val="lowerLetter"/>
      <w:lvlText w:val="%8."/>
      <w:lvlJc w:val="left"/>
      <w:pPr>
        <w:ind w:left="5822" w:hanging="360"/>
      </w:pPr>
    </w:lvl>
    <w:lvl w:ilvl="8" w:tplc="3009001B" w:tentative="1">
      <w:start w:val="1"/>
      <w:numFmt w:val="lowerRoman"/>
      <w:lvlText w:val="%9."/>
      <w:lvlJc w:val="right"/>
      <w:pPr>
        <w:ind w:left="6542" w:hanging="180"/>
      </w:pPr>
    </w:lvl>
  </w:abstractNum>
  <w:abstractNum w:abstractNumId="30"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DE42F82"/>
    <w:multiLevelType w:val="hybridMultilevel"/>
    <w:tmpl w:val="AD02AAD4"/>
    <w:lvl w:ilvl="0" w:tplc="F11ED062">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01F52F2"/>
    <w:multiLevelType w:val="hybridMultilevel"/>
    <w:tmpl w:val="96825CE2"/>
    <w:lvl w:ilvl="0" w:tplc="FAC63E7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15:restartNumberingAfterBreak="0">
    <w:nsid w:val="66CB3959"/>
    <w:multiLevelType w:val="hybridMultilevel"/>
    <w:tmpl w:val="F5BCB4AE"/>
    <w:lvl w:ilvl="0" w:tplc="2DEAB098">
      <w:start w:val="1"/>
      <w:numFmt w:val="decimal"/>
      <w:lvlText w:val="%1."/>
      <w:lvlJc w:val="left"/>
      <w:pPr>
        <w:ind w:left="1070" w:hanging="360"/>
      </w:pPr>
      <w:rPr>
        <w:rFonts w:ascii="Times New Roman" w:eastAsiaTheme="minorHAnsi" w:hAnsi="Times New Roman" w:cs="Times New Roman"/>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5" w15:restartNumberingAfterBreak="0">
    <w:nsid w:val="67864DEE"/>
    <w:multiLevelType w:val="hybridMultilevel"/>
    <w:tmpl w:val="B6741306"/>
    <w:lvl w:ilvl="0" w:tplc="91B2CA12">
      <w:start w:val="14"/>
      <w:numFmt w:val="decimal"/>
      <w:lvlText w:val="%1"/>
      <w:lvlJc w:val="left"/>
      <w:pPr>
        <w:ind w:left="502" w:hanging="360"/>
      </w:pPr>
      <w:rPr>
        <w:rFonts w:hint="default"/>
        <w:i/>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36" w15:restartNumberingAfterBreak="0">
    <w:nsid w:val="68EF5C0F"/>
    <w:multiLevelType w:val="hybridMultilevel"/>
    <w:tmpl w:val="DC9609C8"/>
    <w:lvl w:ilvl="0" w:tplc="CA2CAC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9913EC8"/>
    <w:multiLevelType w:val="hybridMultilevel"/>
    <w:tmpl w:val="813A2996"/>
    <w:lvl w:ilvl="0" w:tplc="72EE8562">
      <w:start w:val="3"/>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3597D2C"/>
    <w:multiLevelType w:val="hybridMultilevel"/>
    <w:tmpl w:val="57ACFBAE"/>
    <w:lvl w:ilvl="0" w:tplc="7BA4B04E">
      <w:start w:val="1"/>
      <w:numFmt w:val="decimal"/>
      <w:lvlText w:val="[%1]"/>
      <w:lvlJc w:val="left"/>
      <w:pPr>
        <w:ind w:left="780" w:hanging="360"/>
      </w:pPr>
      <w:rPr>
        <w:rFonts w:hint="default"/>
        <w:color w:val="auto"/>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78753FC"/>
    <w:multiLevelType w:val="hybridMultilevel"/>
    <w:tmpl w:val="26307850"/>
    <w:lvl w:ilvl="0" w:tplc="72EE8562">
      <w:start w:val="3"/>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DC37113"/>
    <w:multiLevelType w:val="hybridMultilevel"/>
    <w:tmpl w:val="8402AF9E"/>
    <w:lvl w:ilvl="0" w:tplc="72EE8562">
      <w:start w:val="3"/>
      <w:numFmt w:val="decimal"/>
      <w:lvlText w:val="[%1]"/>
      <w:lvlJc w:val="left"/>
      <w:pPr>
        <w:ind w:left="1854" w:hanging="360"/>
      </w:pPr>
      <w:rPr>
        <w:rFonts w:hint="default"/>
        <w:i w:val="0"/>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30"/>
  </w:num>
  <w:num w:numId="2">
    <w:abstractNumId w:val="23"/>
  </w:num>
  <w:num w:numId="3">
    <w:abstractNumId w:val="21"/>
  </w:num>
  <w:num w:numId="4">
    <w:abstractNumId w:val="16"/>
  </w:num>
  <w:num w:numId="5">
    <w:abstractNumId w:val="31"/>
  </w:num>
  <w:num w:numId="6">
    <w:abstractNumId w:val="2"/>
  </w:num>
  <w:num w:numId="7">
    <w:abstractNumId w:val="17"/>
  </w:num>
  <w:num w:numId="8">
    <w:abstractNumId w:val="13"/>
  </w:num>
  <w:num w:numId="9">
    <w:abstractNumId w:val="18"/>
  </w:num>
  <w:num w:numId="10">
    <w:abstractNumId w:val="4"/>
  </w:num>
  <w:num w:numId="11">
    <w:abstractNumId w:val="6"/>
  </w:num>
  <w:num w:numId="12">
    <w:abstractNumId w:val="22"/>
  </w:num>
  <w:num w:numId="13">
    <w:abstractNumId w:val="1"/>
  </w:num>
  <w:num w:numId="14">
    <w:abstractNumId w:val="39"/>
  </w:num>
  <w:num w:numId="15">
    <w:abstractNumId w:val="3"/>
  </w:num>
  <w:num w:numId="16">
    <w:abstractNumId w:val="5"/>
  </w:num>
  <w:num w:numId="17">
    <w:abstractNumId w:val="29"/>
  </w:num>
  <w:num w:numId="18">
    <w:abstractNumId w:val="15"/>
  </w:num>
  <w:num w:numId="19">
    <w:abstractNumId w:val="32"/>
  </w:num>
  <w:num w:numId="20">
    <w:abstractNumId w:val="41"/>
  </w:num>
  <w:num w:numId="21">
    <w:abstractNumId w:val="37"/>
  </w:num>
  <w:num w:numId="22">
    <w:abstractNumId w:val="27"/>
  </w:num>
  <w:num w:numId="23">
    <w:abstractNumId w:val="10"/>
  </w:num>
  <w:num w:numId="24">
    <w:abstractNumId w:val="9"/>
  </w:num>
  <w:num w:numId="25">
    <w:abstractNumId w:val="34"/>
  </w:num>
  <w:num w:numId="26">
    <w:abstractNumId w:val="33"/>
  </w:num>
  <w:num w:numId="27">
    <w:abstractNumId w:val="24"/>
  </w:num>
  <w:num w:numId="28">
    <w:abstractNumId w:val="28"/>
  </w:num>
  <w:num w:numId="29">
    <w:abstractNumId w:val="8"/>
  </w:num>
  <w:num w:numId="30">
    <w:abstractNumId w:val="14"/>
  </w:num>
  <w:num w:numId="31">
    <w:abstractNumId w:val="35"/>
  </w:num>
  <w:num w:numId="32">
    <w:abstractNumId w:val="20"/>
  </w:num>
  <w:num w:numId="33">
    <w:abstractNumId w:val="0"/>
  </w:num>
  <w:num w:numId="34">
    <w:abstractNumId w:val="7"/>
  </w:num>
  <w:num w:numId="35">
    <w:abstractNumId w:val="11"/>
  </w:num>
  <w:num w:numId="36">
    <w:abstractNumId w:val="38"/>
  </w:num>
  <w:num w:numId="37">
    <w:abstractNumId w:val="12"/>
  </w:num>
  <w:num w:numId="38">
    <w:abstractNumId w:val="36"/>
  </w:num>
  <w:num w:numId="39">
    <w:abstractNumId w:val="19"/>
  </w:num>
  <w:num w:numId="40">
    <w:abstractNumId w:val="25"/>
  </w:num>
  <w:num w:numId="41">
    <w:abstractNumId w:val="2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12076"/>
    <w:rsid w:val="0002021F"/>
    <w:rsid w:val="00023528"/>
    <w:rsid w:val="0002378D"/>
    <w:rsid w:val="00025FFC"/>
    <w:rsid w:val="000306CA"/>
    <w:rsid w:val="00041CBE"/>
    <w:rsid w:val="000446C3"/>
    <w:rsid w:val="0005355D"/>
    <w:rsid w:val="00054E67"/>
    <w:rsid w:val="00057C4A"/>
    <w:rsid w:val="00062E91"/>
    <w:rsid w:val="0006370F"/>
    <w:rsid w:val="00064157"/>
    <w:rsid w:val="00070203"/>
    <w:rsid w:val="00073C1A"/>
    <w:rsid w:val="000758FE"/>
    <w:rsid w:val="000767BC"/>
    <w:rsid w:val="00077D93"/>
    <w:rsid w:val="00081FE2"/>
    <w:rsid w:val="000837B7"/>
    <w:rsid w:val="0008577B"/>
    <w:rsid w:val="00087C4B"/>
    <w:rsid w:val="000A10EF"/>
    <w:rsid w:val="000A71C9"/>
    <w:rsid w:val="000B5445"/>
    <w:rsid w:val="000C1808"/>
    <w:rsid w:val="000C1827"/>
    <w:rsid w:val="000C5530"/>
    <w:rsid w:val="000C5FC6"/>
    <w:rsid w:val="000D109C"/>
    <w:rsid w:val="000D1366"/>
    <w:rsid w:val="000D1CD8"/>
    <w:rsid w:val="000D496E"/>
    <w:rsid w:val="000D567B"/>
    <w:rsid w:val="000D5AB3"/>
    <w:rsid w:val="000D6478"/>
    <w:rsid w:val="000D7983"/>
    <w:rsid w:val="000E0FC6"/>
    <w:rsid w:val="000E204D"/>
    <w:rsid w:val="000F0214"/>
    <w:rsid w:val="000F12A6"/>
    <w:rsid w:val="000F1351"/>
    <w:rsid w:val="000F186B"/>
    <w:rsid w:val="000F2963"/>
    <w:rsid w:val="000F4D1A"/>
    <w:rsid w:val="000F6307"/>
    <w:rsid w:val="000F7DE8"/>
    <w:rsid w:val="001004E1"/>
    <w:rsid w:val="001019B0"/>
    <w:rsid w:val="001032FE"/>
    <w:rsid w:val="001036C0"/>
    <w:rsid w:val="0010398C"/>
    <w:rsid w:val="00105155"/>
    <w:rsid w:val="00111133"/>
    <w:rsid w:val="00113103"/>
    <w:rsid w:val="001151FC"/>
    <w:rsid w:val="001166A5"/>
    <w:rsid w:val="001172FE"/>
    <w:rsid w:val="00127BD2"/>
    <w:rsid w:val="0013105F"/>
    <w:rsid w:val="001314FC"/>
    <w:rsid w:val="00132428"/>
    <w:rsid w:val="0013792D"/>
    <w:rsid w:val="001442A9"/>
    <w:rsid w:val="00146D32"/>
    <w:rsid w:val="001472CB"/>
    <w:rsid w:val="00151462"/>
    <w:rsid w:val="00151A53"/>
    <w:rsid w:val="00152853"/>
    <w:rsid w:val="00152AC8"/>
    <w:rsid w:val="001561B2"/>
    <w:rsid w:val="00157118"/>
    <w:rsid w:val="00161C96"/>
    <w:rsid w:val="00161D04"/>
    <w:rsid w:val="00162B1E"/>
    <w:rsid w:val="00163590"/>
    <w:rsid w:val="00163951"/>
    <w:rsid w:val="00165D11"/>
    <w:rsid w:val="00166659"/>
    <w:rsid w:val="00183989"/>
    <w:rsid w:val="00196B7B"/>
    <w:rsid w:val="001A1437"/>
    <w:rsid w:val="001B00FA"/>
    <w:rsid w:val="001B0251"/>
    <w:rsid w:val="001B2197"/>
    <w:rsid w:val="001B2A77"/>
    <w:rsid w:val="001B7FDE"/>
    <w:rsid w:val="001D0D24"/>
    <w:rsid w:val="001D2314"/>
    <w:rsid w:val="001D3D68"/>
    <w:rsid w:val="001D4CEC"/>
    <w:rsid w:val="001D77EE"/>
    <w:rsid w:val="001E1DBC"/>
    <w:rsid w:val="001E7A98"/>
    <w:rsid w:val="001E7BDB"/>
    <w:rsid w:val="001F0C6F"/>
    <w:rsid w:val="00200999"/>
    <w:rsid w:val="00200BA9"/>
    <w:rsid w:val="00204E2C"/>
    <w:rsid w:val="0021254A"/>
    <w:rsid w:val="002125F2"/>
    <w:rsid w:val="002159C9"/>
    <w:rsid w:val="00223F25"/>
    <w:rsid w:val="002304DB"/>
    <w:rsid w:val="0023201B"/>
    <w:rsid w:val="00232C08"/>
    <w:rsid w:val="002343B8"/>
    <w:rsid w:val="00234B32"/>
    <w:rsid w:val="00235E4C"/>
    <w:rsid w:val="00237CB5"/>
    <w:rsid w:val="00242FED"/>
    <w:rsid w:val="002442E1"/>
    <w:rsid w:val="0027253E"/>
    <w:rsid w:val="00273E5B"/>
    <w:rsid w:val="002744C6"/>
    <w:rsid w:val="00282AEB"/>
    <w:rsid w:val="00282C17"/>
    <w:rsid w:val="00283EE3"/>
    <w:rsid w:val="002914CF"/>
    <w:rsid w:val="00291816"/>
    <w:rsid w:val="0029284E"/>
    <w:rsid w:val="002967E1"/>
    <w:rsid w:val="00296A6A"/>
    <w:rsid w:val="00297F56"/>
    <w:rsid w:val="002A1B25"/>
    <w:rsid w:val="002A2DF9"/>
    <w:rsid w:val="002A5F74"/>
    <w:rsid w:val="002A6E7D"/>
    <w:rsid w:val="002B0288"/>
    <w:rsid w:val="002B4051"/>
    <w:rsid w:val="002B5A3B"/>
    <w:rsid w:val="002B5ADF"/>
    <w:rsid w:val="002C016D"/>
    <w:rsid w:val="002C4149"/>
    <w:rsid w:val="002C62A3"/>
    <w:rsid w:val="002D0002"/>
    <w:rsid w:val="002D56C2"/>
    <w:rsid w:val="002D5AC5"/>
    <w:rsid w:val="002D5C0F"/>
    <w:rsid w:val="002D7AD8"/>
    <w:rsid w:val="002E0772"/>
    <w:rsid w:val="002F0B57"/>
    <w:rsid w:val="002F13E0"/>
    <w:rsid w:val="002F52DC"/>
    <w:rsid w:val="002F5B1E"/>
    <w:rsid w:val="002F7200"/>
    <w:rsid w:val="002F776D"/>
    <w:rsid w:val="00310B89"/>
    <w:rsid w:val="00316D8A"/>
    <w:rsid w:val="00316E2E"/>
    <w:rsid w:val="003204CE"/>
    <w:rsid w:val="00322826"/>
    <w:rsid w:val="00323845"/>
    <w:rsid w:val="00324E2C"/>
    <w:rsid w:val="00326223"/>
    <w:rsid w:val="00326922"/>
    <w:rsid w:val="00327AFF"/>
    <w:rsid w:val="0033672C"/>
    <w:rsid w:val="003434B9"/>
    <w:rsid w:val="003436AF"/>
    <w:rsid w:val="00344485"/>
    <w:rsid w:val="003533DE"/>
    <w:rsid w:val="0035470A"/>
    <w:rsid w:val="00354A23"/>
    <w:rsid w:val="00354A75"/>
    <w:rsid w:val="0035540B"/>
    <w:rsid w:val="00356767"/>
    <w:rsid w:val="00357C44"/>
    <w:rsid w:val="00361150"/>
    <w:rsid w:val="00363F5B"/>
    <w:rsid w:val="00372A04"/>
    <w:rsid w:val="00377358"/>
    <w:rsid w:val="00377EA3"/>
    <w:rsid w:val="00383DB4"/>
    <w:rsid w:val="00384B19"/>
    <w:rsid w:val="0038764E"/>
    <w:rsid w:val="00387A4D"/>
    <w:rsid w:val="00391778"/>
    <w:rsid w:val="00394298"/>
    <w:rsid w:val="003A1CB4"/>
    <w:rsid w:val="003B0312"/>
    <w:rsid w:val="003B3705"/>
    <w:rsid w:val="003B55E9"/>
    <w:rsid w:val="003B7BC2"/>
    <w:rsid w:val="003C0243"/>
    <w:rsid w:val="003C2646"/>
    <w:rsid w:val="003C298E"/>
    <w:rsid w:val="003C34F0"/>
    <w:rsid w:val="003C5D23"/>
    <w:rsid w:val="003C61F6"/>
    <w:rsid w:val="003C635A"/>
    <w:rsid w:val="003D4DBB"/>
    <w:rsid w:val="003D511F"/>
    <w:rsid w:val="003D718B"/>
    <w:rsid w:val="003D7A19"/>
    <w:rsid w:val="003D7BE1"/>
    <w:rsid w:val="003E30A5"/>
    <w:rsid w:val="003F3B1F"/>
    <w:rsid w:val="003F64C1"/>
    <w:rsid w:val="004003C2"/>
    <w:rsid w:val="00400FA1"/>
    <w:rsid w:val="004011A4"/>
    <w:rsid w:val="00401997"/>
    <w:rsid w:val="00403C85"/>
    <w:rsid w:val="00404E23"/>
    <w:rsid w:val="00405AD8"/>
    <w:rsid w:val="00406C61"/>
    <w:rsid w:val="004138DB"/>
    <w:rsid w:val="00414B74"/>
    <w:rsid w:val="00414CBD"/>
    <w:rsid w:val="00417736"/>
    <w:rsid w:val="004252E7"/>
    <w:rsid w:val="0042558C"/>
    <w:rsid w:val="00425A40"/>
    <w:rsid w:val="004307A2"/>
    <w:rsid w:val="004342AD"/>
    <w:rsid w:val="004429D9"/>
    <w:rsid w:val="00443202"/>
    <w:rsid w:val="004432A2"/>
    <w:rsid w:val="004444C6"/>
    <w:rsid w:val="004449B4"/>
    <w:rsid w:val="004458FC"/>
    <w:rsid w:val="00466735"/>
    <w:rsid w:val="00466ED5"/>
    <w:rsid w:val="0046781E"/>
    <w:rsid w:val="00467DB6"/>
    <w:rsid w:val="00472A56"/>
    <w:rsid w:val="00473CB9"/>
    <w:rsid w:val="004746D4"/>
    <w:rsid w:val="00480493"/>
    <w:rsid w:val="00481BD7"/>
    <w:rsid w:val="00481C68"/>
    <w:rsid w:val="00483CAC"/>
    <w:rsid w:val="00491344"/>
    <w:rsid w:val="004A36F5"/>
    <w:rsid w:val="004A7B9A"/>
    <w:rsid w:val="004B1F78"/>
    <w:rsid w:val="004B6158"/>
    <w:rsid w:val="004C1A09"/>
    <w:rsid w:val="004C2E81"/>
    <w:rsid w:val="004C310B"/>
    <w:rsid w:val="004C5424"/>
    <w:rsid w:val="004C5766"/>
    <w:rsid w:val="004C5962"/>
    <w:rsid w:val="004D1B36"/>
    <w:rsid w:val="004D3336"/>
    <w:rsid w:val="004E11D3"/>
    <w:rsid w:val="004E1BE4"/>
    <w:rsid w:val="004E388F"/>
    <w:rsid w:val="004E434D"/>
    <w:rsid w:val="004F1648"/>
    <w:rsid w:val="004F2057"/>
    <w:rsid w:val="004F2E3D"/>
    <w:rsid w:val="004F57E4"/>
    <w:rsid w:val="00500C9A"/>
    <w:rsid w:val="00501413"/>
    <w:rsid w:val="00503E9F"/>
    <w:rsid w:val="0050533E"/>
    <w:rsid w:val="005064EC"/>
    <w:rsid w:val="00506FEA"/>
    <w:rsid w:val="0051084F"/>
    <w:rsid w:val="005146AD"/>
    <w:rsid w:val="00514C27"/>
    <w:rsid w:val="00520E5E"/>
    <w:rsid w:val="00521AE7"/>
    <w:rsid w:val="00522191"/>
    <w:rsid w:val="00530207"/>
    <w:rsid w:val="00531C9C"/>
    <w:rsid w:val="005328B1"/>
    <w:rsid w:val="005336BA"/>
    <w:rsid w:val="00535F5C"/>
    <w:rsid w:val="00536FAB"/>
    <w:rsid w:val="005403A2"/>
    <w:rsid w:val="00540B9F"/>
    <w:rsid w:val="005420AB"/>
    <w:rsid w:val="0054648C"/>
    <w:rsid w:val="0055173A"/>
    <w:rsid w:val="005527B4"/>
    <w:rsid w:val="00557975"/>
    <w:rsid w:val="00565C69"/>
    <w:rsid w:val="005672E9"/>
    <w:rsid w:val="005705A6"/>
    <w:rsid w:val="00570B4A"/>
    <w:rsid w:val="00573A12"/>
    <w:rsid w:val="00577A4E"/>
    <w:rsid w:val="00577E24"/>
    <w:rsid w:val="00580EA2"/>
    <w:rsid w:val="005849FF"/>
    <w:rsid w:val="0059420C"/>
    <w:rsid w:val="005943B5"/>
    <w:rsid w:val="005966C5"/>
    <w:rsid w:val="005A1E2A"/>
    <w:rsid w:val="005A38E0"/>
    <w:rsid w:val="005A4995"/>
    <w:rsid w:val="005B1350"/>
    <w:rsid w:val="005B2ADE"/>
    <w:rsid w:val="005B4081"/>
    <w:rsid w:val="005B4DB7"/>
    <w:rsid w:val="005C37F1"/>
    <w:rsid w:val="005C4C45"/>
    <w:rsid w:val="005C6EDA"/>
    <w:rsid w:val="005D3E89"/>
    <w:rsid w:val="005D4B47"/>
    <w:rsid w:val="005D6F86"/>
    <w:rsid w:val="005D7BDA"/>
    <w:rsid w:val="005E07F5"/>
    <w:rsid w:val="005E4EC0"/>
    <w:rsid w:val="005E6566"/>
    <w:rsid w:val="005F16B2"/>
    <w:rsid w:val="005F3C39"/>
    <w:rsid w:val="005F687F"/>
    <w:rsid w:val="00601542"/>
    <w:rsid w:val="006054C1"/>
    <w:rsid w:val="00605517"/>
    <w:rsid w:val="0060617B"/>
    <w:rsid w:val="006116CA"/>
    <w:rsid w:val="00613EE1"/>
    <w:rsid w:val="006153C2"/>
    <w:rsid w:val="006225E0"/>
    <w:rsid w:val="00623A40"/>
    <w:rsid w:val="006253E0"/>
    <w:rsid w:val="006259CE"/>
    <w:rsid w:val="00625DC2"/>
    <w:rsid w:val="006352FD"/>
    <w:rsid w:val="00644999"/>
    <w:rsid w:val="00647340"/>
    <w:rsid w:val="00647568"/>
    <w:rsid w:val="00665592"/>
    <w:rsid w:val="0067445B"/>
    <w:rsid w:val="00685F88"/>
    <w:rsid w:val="00690614"/>
    <w:rsid w:val="00692245"/>
    <w:rsid w:val="00696C42"/>
    <w:rsid w:val="006A0977"/>
    <w:rsid w:val="006A642C"/>
    <w:rsid w:val="006A6F52"/>
    <w:rsid w:val="006A779E"/>
    <w:rsid w:val="006B0456"/>
    <w:rsid w:val="006B05CA"/>
    <w:rsid w:val="006B2E13"/>
    <w:rsid w:val="006B4C15"/>
    <w:rsid w:val="006C0182"/>
    <w:rsid w:val="006C547E"/>
    <w:rsid w:val="006C620C"/>
    <w:rsid w:val="006C6B11"/>
    <w:rsid w:val="006D3D3A"/>
    <w:rsid w:val="006D4E2C"/>
    <w:rsid w:val="006D5A18"/>
    <w:rsid w:val="006E0F8B"/>
    <w:rsid w:val="006E2039"/>
    <w:rsid w:val="006E548F"/>
    <w:rsid w:val="006F2D1A"/>
    <w:rsid w:val="006F2E8F"/>
    <w:rsid w:val="006F3813"/>
    <w:rsid w:val="006F563C"/>
    <w:rsid w:val="006F6430"/>
    <w:rsid w:val="006F74EF"/>
    <w:rsid w:val="00705833"/>
    <w:rsid w:val="007114BF"/>
    <w:rsid w:val="00713C94"/>
    <w:rsid w:val="00716736"/>
    <w:rsid w:val="00716743"/>
    <w:rsid w:val="007204C9"/>
    <w:rsid w:val="0072377D"/>
    <w:rsid w:val="00724961"/>
    <w:rsid w:val="00724FD7"/>
    <w:rsid w:val="0072535F"/>
    <w:rsid w:val="00726E49"/>
    <w:rsid w:val="007279F1"/>
    <w:rsid w:val="00730161"/>
    <w:rsid w:val="00730F77"/>
    <w:rsid w:val="00732769"/>
    <w:rsid w:val="00733248"/>
    <w:rsid w:val="00734E2D"/>
    <w:rsid w:val="00735432"/>
    <w:rsid w:val="00740E2E"/>
    <w:rsid w:val="0075435A"/>
    <w:rsid w:val="00756E2D"/>
    <w:rsid w:val="00757454"/>
    <w:rsid w:val="007672D4"/>
    <w:rsid w:val="00787744"/>
    <w:rsid w:val="007909A9"/>
    <w:rsid w:val="007913A7"/>
    <w:rsid w:val="007932E4"/>
    <w:rsid w:val="00795B5D"/>
    <w:rsid w:val="0079637F"/>
    <w:rsid w:val="007965FB"/>
    <w:rsid w:val="0079734F"/>
    <w:rsid w:val="007A0903"/>
    <w:rsid w:val="007A20C5"/>
    <w:rsid w:val="007A30CD"/>
    <w:rsid w:val="007A5293"/>
    <w:rsid w:val="007B0251"/>
    <w:rsid w:val="007B7462"/>
    <w:rsid w:val="007C6674"/>
    <w:rsid w:val="007D15F1"/>
    <w:rsid w:val="007D2A30"/>
    <w:rsid w:val="007D2B13"/>
    <w:rsid w:val="007D3703"/>
    <w:rsid w:val="007D6136"/>
    <w:rsid w:val="007D62BC"/>
    <w:rsid w:val="007E0A6D"/>
    <w:rsid w:val="007F22C1"/>
    <w:rsid w:val="00800F68"/>
    <w:rsid w:val="00800F93"/>
    <w:rsid w:val="0080239C"/>
    <w:rsid w:val="008035C5"/>
    <w:rsid w:val="00810B20"/>
    <w:rsid w:val="008110D6"/>
    <w:rsid w:val="00821FAA"/>
    <w:rsid w:val="008225DE"/>
    <w:rsid w:val="008243B5"/>
    <w:rsid w:val="00824938"/>
    <w:rsid w:val="00827D9A"/>
    <w:rsid w:val="00831DCE"/>
    <w:rsid w:val="00832BB6"/>
    <w:rsid w:val="00843223"/>
    <w:rsid w:val="008449F5"/>
    <w:rsid w:val="00844C4A"/>
    <w:rsid w:val="00845A03"/>
    <w:rsid w:val="00846D3B"/>
    <w:rsid w:val="008478DD"/>
    <w:rsid w:val="00847B15"/>
    <w:rsid w:val="00850499"/>
    <w:rsid w:val="0085748F"/>
    <w:rsid w:val="0086215C"/>
    <w:rsid w:val="00866770"/>
    <w:rsid w:val="00871CCF"/>
    <w:rsid w:val="0087259F"/>
    <w:rsid w:val="00873D13"/>
    <w:rsid w:val="0087794D"/>
    <w:rsid w:val="0088118A"/>
    <w:rsid w:val="0088404B"/>
    <w:rsid w:val="00885C3A"/>
    <w:rsid w:val="00886FD7"/>
    <w:rsid w:val="00891FD0"/>
    <w:rsid w:val="0089226A"/>
    <w:rsid w:val="008976CD"/>
    <w:rsid w:val="008A1BDB"/>
    <w:rsid w:val="008A64A3"/>
    <w:rsid w:val="008B1EC8"/>
    <w:rsid w:val="008C00F8"/>
    <w:rsid w:val="008C1BE1"/>
    <w:rsid w:val="008C70D7"/>
    <w:rsid w:val="008D20D1"/>
    <w:rsid w:val="008D4688"/>
    <w:rsid w:val="008D52D6"/>
    <w:rsid w:val="008D7E31"/>
    <w:rsid w:val="008D7E36"/>
    <w:rsid w:val="008E19B5"/>
    <w:rsid w:val="008E258C"/>
    <w:rsid w:val="008E3E7C"/>
    <w:rsid w:val="008E580B"/>
    <w:rsid w:val="008E676A"/>
    <w:rsid w:val="008E71B9"/>
    <w:rsid w:val="008F576E"/>
    <w:rsid w:val="008F6011"/>
    <w:rsid w:val="008F6C2C"/>
    <w:rsid w:val="008F6FF1"/>
    <w:rsid w:val="009000AA"/>
    <w:rsid w:val="00900370"/>
    <w:rsid w:val="0090241C"/>
    <w:rsid w:val="0090282A"/>
    <w:rsid w:val="009036EE"/>
    <w:rsid w:val="009050BB"/>
    <w:rsid w:val="00906E28"/>
    <w:rsid w:val="009108EA"/>
    <w:rsid w:val="00911138"/>
    <w:rsid w:val="00914C23"/>
    <w:rsid w:val="009156A3"/>
    <w:rsid w:val="00915CD1"/>
    <w:rsid w:val="00925702"/>
    <w:rsid w:val="00926887"/>
    <w:rsid w:val="00926E00"/>
    <w:rsid w:val="00932B1E"/>
    <w:rsid w:val="0094061A"/>
    <w:rsid w:val="00941568"/>
    <w:rsid w:val="00946F94"/>
    <w:rsid w:val="00947E33"/>
    <w:rsid w:val="00956291"/>
    <w:rsid w:val="00956AFA"/>
    <w:rsid w:val="0096154E"/>
    <w:rsid w:val="009632FE"/>
    <w:rsid w:val="00967582"/>
    <w:rsid w:val="00967618"/>
    <w:rsid w:val="0097225F"/>
    <w:rsid w:val="00973326"/>
    <w:rsid w:val="00973712"/>
    <w:rsid w:val="00974602"/>
    <w:rsid w:val="00976858"/>
    <w:rsid w:val="00982783"/>
    <w:rsid w:val="009861BE"/>
    <w:rsid w:val="00986415"/>
    <w:rsid w:val="00987075"/>
    <w:rsid w:val="00990C4D"/>
    <w:rsid w:val="00994E07"/>
    <w:rsid w:val="0099578B"/>
    <w:rsid w:val="0099603D"/>
    <w:rsid w:val="00997152"/>
    <w:rsid w:val="009A027A"/>
    <w:rsid w:val="009A1F4F"/>
    <w:rsid w:val="009B29DD"/>
    <w:rsid w:val="009B4B74"/>
    <w:rsid w:val="009C2070"/>
    <w:rsid w:val="009C2FFE"/>
    <w:rsid w:val="009C4790"/>
    <w:rsid w:val="009C5898"/>
    <w:rsid w:val="009D1DB0"/>
    <w:rsid w:val="009D237C"/>
    <w:rsid w:val="009D5677"/>
    <w:rsid w:val="009D665A"/>
    <w:rsid w:val="009D68F4"/>
    <w:rsid w:val="009D7093"/>
    <w:rsid w:val="009E5F4B"/>
    <w:rsid w:val="009F012B"/>
    <w:rsid w:val="009F01AE"/>
    <w:rsid w:val="009F1CCD"/>
    <w:rsid w:val="009F7FF1"/>
    <w:rsid w:val="00A00900"/>
    <w:rsid w:val="00A026BA"/>
    <w:rsid w:val="00A06CE8"/>
    <w:rsid w:val="00A07350"/>
    <w:rsid w:val="00A077D9"/>
    <w:rsid w:val="00A12FE2"/>
    <w:rsid w:val="00A17C47"/>
    <w:rsid w:val="00A27324"/>
    <w:rsid w:val="00A31FB4"/>
    <w:rsid w:val="00A34758"/>
    <w:rsid w:val="00A35067"/>
    <w:rsid w:val="00A37CD1"/>
    <w:rsid w:val="00A46A49"/>
    <w:rsid w:val="00A4750B"/>
    <w:rsid w:val="00A5101F"/>
    <w:rsid w:val="00A5199E"/>
    <w:rsid w:val="00A53D1A"/>
    <w:rsid w:val="00A57B05"/>
    <w:rsid w:val="00A60825"/>
    <w:rsid w:val="00A61C42"/>
    <w:rsid w:val="00A64F75"/>
    <w:rsid w:val="00A65A5F"/>
    <w:rsid w:val="00A7176D"/>
    <w:rsid w:val="00A72532"/>
    <w:rsid w:val="00A74365"/>
    <w:rsid w:val="00A834C9"/>
    <w:rsid w:val="00A83608"/>
    <w:rsid w:val="00A8363A"/>
    <w:rsid w:val="00A9413E"/>
    <w:rsid w:val="00A95F16"/>
    <w:rsid w:val="00A979D6"/>
    <w:rsid w:val="00AA56C9"/>
    <w:rsid w:val="00AB4828"/>
    <w:rsid w:val="00AB63DE"/>
    <w:rsid w:val="00AC2620"/>
    <w:rsid w:val="00AC3BAD"/>
    <w:rsid w:val="00AC59C2"/>
    <w:rsid w:val="00AD0399"/>
    <w:rsid w:val="00AD0433"/>
    <w:rsid w:val="00AD04C0"/>
    <w:rsid w:val="00AD3E54"/>
    <w:rsid w:val="00AE1094"/>
    <w:rsid w:val="00AE58C0"/>
    <w:rsid w:val="00AE68F2"/>
    <w:rsid w:val="00AE6B76"/>
    <w:rsid w:val="00AF0B79"/>
    <w:rsid w:val="00AF438F"/>
    <w:rsid w:val="00AF6A21"/>
    <w:rsid w:val="00AF6D81"/>
    <w:rsid w:val="00B053AA"/>
    <w:rsid w:val="00B07061"/>
    <w:rsid w:val="00B104EC"/>
    <w:rsid w:val="00B12436"/>
    <w:rsid w:val="00B200F4"/>
    <w:rsid w:val="00B2016E"/>
    <w:rsid w:val="00B27CD5"/>
    <w:rsid w:val="00B329C4"/>
    <w:rsid w:val="00B353DB"/>
    <w:rsid w:val="00B40CDF"/>
    <w:rsid w:val="00B5393C"/>
    <w:rsid w:val="00B53FB7"/>
    <w:rsid w:val="00B55B06"/>
    <w:rsid w:val="00B61B80"/>
    <w:rsid w:val="00B63030"/>
    <w:rsid w:val="00B63FD7"/>
    <w:rsid w:val="00B6650A"/>
    <w:rsid w:val="00B67F0F"/>
    <w:rsid w:val="00B703D3"/>
    <w:rsid w:val="00B74B86"/>
    <w:rsid w:val="00B81EDF"/>
    <w:rsid w:val="00B840B7"/>
    <w:rsid w:val="00B86456"/>
    <w:rsid w:val="00B86E3A"/>
    <w:rsid w:val="00B87274"/>
    <w:rsid w:val="00B91B77"/>
    <w:rsid w:val="00B94E3B"/>
    <w:rsid w:val="00B97AEA"/>
    <w:rsid w:val="00B97E8C"/>
    <w:rsid w:val="00BA7B48"/>
    <w:rsid w:val="00BB1486"/>
    <w:rsid w:val="00BB1FDF"/>
    <w:rsid w:val="00BB376F"/>
    <w:rsid w:val="00BC1084"/>
    <w:rsid w:val="00BC4E5B"/>
    <w:rsid w:val="00BE2980"/>
    <w:rsid w:val="00BE4382"/>
    <w:rsid w:val="00BE4AB7"/>
    <w:rsid w:val="00BE7C1D"/>
    <w:rsid w:val="00BF0FD9"/>
    <w:rsid w:val="00BF2E3E"/>
    <w:rsid w:val="00BF77D3"/>
    <w:rsid w:val="00C00195"/>
    <w:rsid w:val="00C005F4"/>
    <w:rsid w:val="00C05DEB"/>
    <w:rsid w:val="00C072FD"/>
    <w:rsid w:val="00C125CE"/>
    <w:rsid w:val="00C13D9A"/>
    <w:rsid w:val="00C17862"/>
    <w:rsid w:val="00C20274"/>
    <w:rsid w:val="00C203BB"/>
    <w:rsid w:val="00C24AC7"/>
    <w:rsid w:val="00C2508D"/>
    <w:rsid w:val="00C2694C"/>
    <w:rsid w:val="00C34A9B"/>
    <w:rsid w:val="00C36358"/>
    <w:rsid w:val="00C41D48"/>
    <w:rsid w:val="00C456D0"/>
    <w:rsid w:val="00C45A26"/>
    <w:rsid w:val="00C52FA3"/>
    <w:rsid w:val="00C53F44"/>
    <w:rsid w:val="00C54004"/>
    <w:rsid w:val="00C56BF4"/>
    <w:rsid w:val="00C625A2"/>
    <w:rsid w:val="00C62D97"/>
    <w:rsid w:val="00C638C1"/>
    <w:rsid w:val="00C65374"/>
    <w:rsid w:val="00C6566D"/>
    <w:rsid w:val="00C65C09"/>
    <w:rsid w:val="00C65E86"/>
    <w:rsid w:val="00C67E94"/>
    <w:rsid w:val="00C701AA"/>
    <w:rsid w:val="00C72632"/>
    <w:rsid w:val="00C763D6"/>
    <w:rsid w:val="00C76775"/>
    <w:rsid w:val="00C82607"/>
    <w:rsid w:val="00C83F92"/>
    <w:rsid w:val="00C849CF"/>
    <w:rsid w:val="00C87AF9"/>
    <w:rsid w:val="00C90B98"/>
    <w:rsid w:val="00C91F2F"/>
    <w:rsid w:val="00C932A7"/>
    <w:rsid w:val="00CA28C6"/>
    <w:rsid w:val="00CA2ED7"/>
    <w:rsid w:val="00CA567D"/>
    <w:rsid w:val="00CA58A3"/>
    <w:rsid w:val="00CA67EC"/>
    <w:rsid w:val="00CA7B44"/>
    <w:rsid w:val="00CB34C2"/>
    <w:rsid w:val="00CB47D8"/>
    <w:rsid w:val="00CB4A2D"/>
    <w:rsid w:val="00CB6553"/>
    <w:rsid w:val="00CB6623"/>
    <w:rsid w:val="00CC4D0D"/>
    <w:rsid w:val="00CD23B0"/>
    <w:rsid w:val="00CE1287"/>
    <w:rsid w:val="00CE692C"/>
    <w:rsid w:val="00CE6C2D"/>
    <w:rsid w:val="00CF1224"/>
    <w:rsid w:val="00CF2403"/>
    <w:rsid w:val="00CF31CC"/>
    <w:rsid w:val="00CF7BF2"/>
    <w:rsid w:val="00CF7E5E"/>
    <w:rsid w:val="00D02B4F"/>
    <w:rsid w:val="00D07184"/>
    <w:rsid w:val="00D16A69"/>
    <w:rsid w:val="00D20159"/>
    <w:rsid w:val="00D21323"/>
    <w:rsid w:val="00D22E64"/>
    <w:rsid w:val="00D2343E"/>
    <w:rsid w:val="00D31769"/>
    <w:rsid w:val="00D34965"/>
    <w:rsid w:val="00D40C7C"/>
    <w:rsid w:val="00D4197E"/>
    <w:rsid w:val="00D4342F"/>
    <w:rsid w:val="00D43AE7"/>
    <w:rsid w:val="00D53495"/>
    <w:rsid w:val="00D609FC"/>
    <w:rsid w:val="00D6331C"/>
    <w:rsid w:val="00D65290"/>
    <w:rsid w:val="00D705C4"/>
    <w:rsid w:val="00D710DA"/>
    <w:rsid w:val="00D73366"/>
    <w:rsid w:val="00D742FA"/>
    <w:rsid w:val="00D75C36"/>
    <w:rsid w:val="00D76C11"/>
    <w:rsid w:val="00D8015E"/>
    <w:rsid w:val="00D809A0"/>
    <w:rsid w:val="00D81D14"/>
    <w:rsid w:val="00D81FBA"/>
    <w:rsid w:val="00D84BCC"/>
    <w:rsid w:val="00D87B87"/>
    <w:rsid w:val="00D87C94"/>
    <w:rsid w:val="00D9072E"/>
    <w:rsid w:val="00D92C4E"/>
    <w:rsid w:val="00DA2947"/>
    <w:rsid w:val="00DA2A97"/>
    <w:rsid w:val="00DA2D4B"/>
    <w:rsid w:val="00DA51EE"/>
    <w:rsid w:val="00DA7983"/>
    <w:rsid w:val="00DB3F82"/>
    <w:rsid w:val="00DB5DD1"/>
    <w:rsid w:val="00DB793E"/>
    <w:rsid w:val="00DC5B4B"/>
    <w:rsid w:val="00DD0436"/>
    <w:rsid w:val="00DE3172"/>
    <w:rsid w:val="00DF0CFF"/>
    <w:rsid w:val="00DF689A"/>
    <w:rsid w:val="00E064FC"/>
    <w:rsid w:val="00E17413"/>
    <w:rsid w:val="00E25D9E"/>
    <w:rsid w:val="00E26336"/>
    <w:rsid w:val="00E26F54"/>
    <w:rsid w:val="00E3095E"/>
    <w:rsid w:val="00E37336"/>
    <w:rsid w:val="00E40C54"/>
    <w:rsid w:val="00E4641E"/>
    <w:rsid w:val="00E46CC1"/>
    <w:rsid w:val="00E50AA8"/>
    <w:rsid w:val="00E53566"/>
    <w:rsid w:val="00E57B1D"/>
    <w:rsid w:val="00E61AF5"/>
    <w:rsid w:val="00E6690C"/>
    <w:rsid w:val="00E70CDD"/>
    <w:rsid w:val="00E7248F"/>
    <w:rsid w:val="00E72B39"/>
    <w:rsid w:val="00E738E0"/>
    <w:rsid w:val="00E76E28"/>
    <w:rsid w:val="00E7730C"/>
    <w:rsid w:val="00E83075"/>
    <w:rsid w:val="00E83B86"/>
    <w:rsid w:val="00E903AC"/>
    <w:rsid w:val="00E915CE"/>
    <w:rsid w:val="00E95315"/>
    <w:rsid w:val="00E9737B"/>
    <w:rsid w:val="00E97BC2"/>
    <w:rsid w:val="00EA4188"/>
    <w:rsid w:val="00EA579C"/>
    <w:rsid w:val="00EA5B3D"/>
    <w:rsid w:val="00EB44C0"/>
    <w:rsid w:val="00EC1BEE"/>
    <w:rsid w:val="00EC557C"/>
    <w:rsid w:val="00EC5AF4"/>
    <w:rsid w:val="00EC6FA3"/>
    <w:rsid w:val="00ED49F1"/>
    <w:rsid w:val="00EE305C"/>
    <w:rsid w:val="00EE6C35"/>
    <w:rsid w:val="00EF1596"/>
    <w:rsid w:val="00EF26FC"/>
    <w:rsid w:val="00EF493F"/>
    <w:rsid w:val="00EF72F9"/>
    <w:rsid w:val="00F00605"/>
    <w:rsid w:val="00F00E89"/>
    <w:rsid w:val="00F035A1"/>
    <w:rsid w:val="00F058F1"/>
    <w:rsid w:val="00F06A6C"/>
    <w:rsid w:val="00F13F78"/>
    <w:rsid w:val="00F14209"/>
    <w:rsid w:val="00F14C0F"/>
    <w:rsid w:val="00F21915"/>
    <w:rsid w:val="00F258A0"/>
    <w:rsid w:val="00F312CD"/>
    <w:rsid w:val="00F31D6C"/>
    <w:rsid w:val="00F343B2"/>
    <w:rsid w:val="00F35DD4"/>
    <w:rsid w:val="00F377D9"/>
    <w:rsid w:val="00F4150E"/>
    <w:rsid w:val="00F42976"/>
    <w:rsid w:val="00F50AC6"/>
    <w:rsid w:val="00F5602E"/>
    <w:rsid w:val="00F5798B"/>
    <w:rsid w:val="00F60FA6"/>
    <w:rsid w:val="00F62381"/>
    <w:rsid w:val="00F63CCA"/>
    <w:rsid w:val="00F65C8E"/>
    <w:rsid w:val="00F66692"/>
    <w:rsid w:val="00F73B90"/>
    <w:rsid w:val="00F73BF7"/>
    <w:rsid w:val="00F74A3A"/>
    <w:rsid w:val="00F75B9C"/>
    <w:rsid w:val="00F80494"/>
    <w:rsid w:val="00F85F46"/>
    <w:rsid w:val="00F91A8D"/>
    <w:rsid w:val="00F93B3A"/>
    <w:rsid w:val="00FA28D8"/>
    <w:rsid w:val="00FA418A"/>
    <w:rsid w:val="00FA707A"/>
    <w:rsid w:val="00FB4C4C"/>
    <w:rsid w:val="00FC1A47"/>
    <w:rsid w:val="00FC6F16"/>
    <w:rsid w:val="00FD61EE"/>
    <w:rsid w:val="00FE1A78"/>
    <w:rsid w:val="00FE41E5"/>
    <w:rsid w:val="00FE7195"/>
    <w:rsid w:val="00FF06B4"/>
    <w:rsid w:val="00FF35B4"/>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72014"/>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 w:type="paragraph" w:styleId="BalloonText">
    <w:name w:val="Balloon Text"/>
    <w:basedOn w:val="Normal"/>
    <w:link w:val="BalloonTextChar"/>
    <w:uiPriority w:val="99"/>
    <w:semiHidden/>
    <w:unhideWhenUsed/>
    <w:rsid w:val="00D2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 w:type="paragraph" w:styleId="NormalWeb">
    <w:name w:val="Normal (Web)"/>
    <w:basedOn w:val="Normal"/>
    <w:uiPriority w:val="99"/>
    <w:unhideWhenUsed/>
    <w:rsid w:val="008F6FF1"/>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FootnoteText">
    <w:name w:val="footnote text"/>
    <w:basedOn w:val="Normal"/>
    <w:link w:val="FootnoteTextChar"/>
    <w:uiPriority w:val="99"/>
    <w:semiHidden/>
    <w:unhideWhenUsed/>
    <w:rsid w:val="009C5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898"/>
    <w:rPr>
      <w:sz w:val="20"/>
      <w:szCs w:val="20"/>
    </w:rPr>
  </w:style>
  <w:style w:type="character" w:styleId="FootnoteReference">
    <w:name w:val="footnote reference"/>
    <w:basedOn w:val="DefaultParagraphFont"/>
    <w:uiPriority w:val="99"/>
    <w:semiHidden/>
    <w:unhideWhenUsed/>
    <w:rsid w:val="009C5898"/>
    <w:rPr>
      <w:vertAlign w:val="superscript"/>
    </w:rPr>
  </w:style>
  <w:style w:type="paragraph" w:styleId="Revision">
    <w:name w:val="Revision"/>
    <w:hidden/>
    <w:uiPriority w:val="99"/>
    <w:semiHidden/>
    <w:rsid w:val="00E17413"/>
    <w:pPr>
      <w:spacing w:after="0" w:line="240" w:lineRule="auto"/>
    </w:pPr>
  </w:style>
  <w:style w:type="paragraph" w:customStyle="1" w:styleId="Default">
    <w:name w:val="Default"/>
    <w:rsid w:val="00B55B06"/>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uiPriority w:val="1"/>
    <w:qFormat/>
    <w:rsid w:val="007D61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1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FAC2-04BC-4C7B-9521-D56A0865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Mushure</dc:creator>
  <cp:keywords/>
  <dc:description/>
  <cp:lastModifiedBy>JSC</cp:lastModifiedBy>
  <cp:revision>2</cp:revision>
  <cp:lastPrinted>2024-01-03T09:47:00Z</cp:lastPrinted>
  <dcterms:created xsi:type="dcterms:W3CDTF">2024-11-08T08:59:00Z</dcterms:created>
  <dcterms:modified xsi:type="dcterms:W3CDTF">2024-11-08T08:59:00Z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8f3d334cdeb9d8797f14a2424cdad5871c7f42287b0bc6679a06ad64fd1da6c7</vt:lpwstr>
  </property>
</Properties>
</file>