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425D0D">
        <w:rPr>
          <w:rFonts w:ascii="Tahoma" w:hAnsi="Tahoma" w:cs="Tahoma"/>
          <w:b/>
          <w:sz w:val="24"/>
          <w:szCs w:val="24"/>
        </w:rPr>
        <w:t>NO.</w:t>
      </w:r>
      <w:proofErr w:type="gramEnd"/>
      <w:r w:rsidR="00425D0D">
        <w:rPr>
          <w:rFonts w:ascii="Tahoma" w:hAnsi="Tahoma" w:cs="Tahoma"/>
          <w:b/>
          <w:sz w:val="24"/>
          <w:szCs w:val="24"/>
        </w:rPr>
        <w:t xml:space="preserve"> LC/H/</w:t>
      </w:r>
      <w:r w:rsidR="00631AF4">
        <w:rPr>
          <w:rFonts w:ascii="Tahoma" w:hAnsi="Tahoma" w:cs="Tahoma"/>
          <w:b/>
          <w:sz w:val="24"/>
          <w:szCs w:val="24"/>
        </w:rPr>
        <w:t>21</w:t>
      </w:r>
      <w:r w:rsidR="00425D0D">
        <w:rPr>
          <w:rFonts w:ascii="Tahoma" w:hAnsi="Tahoma" w:cs="Tahoma"/>
          <w:b/>
          <w:sz w:val="24"/>
          <w:szCs w:val="24"/>
        </w:rPr>
        <w:t>/2021</w:t>
      </w:r>
    </w:p>
    <w:p w:rsidR="00AA4716" w:rsidRDefault="00425D0D" w:rsidP="000029A6">
      <w:pPr>
        <w:spacing w:after="0" w:line="360" w:lineRule="auto"/>
        <w:jc w:val="both"/>
        <w:rPr>
          <w:rFonts w:ascii="Tahoma" w:hAnsi="Tahoma" w:cs="Tahoma"/>
          <w:b/>
          <w:sz w:val="24"/>
          <w:szCs w:val="24"/>
        </w:rPr>
      </w:pPr>
      <w:r>
        <w:rPr>
          <w:rFonts w:ascii="Tahoma" w:hAnsi="Tahoma" w:cs="Tahoma"/>
          <w:b/>
          <w:sz w:val="24"/>
          <w:szCs w:val="24"/>
        </w:rPr>
        <w:t>HARARE, 08 JULY</w:t>
      </w:r>
      <w:r w:rsidR="0061198E">
        <w:rPr>
          <w:rFonts w:ascii="Tahoma" w:hAnsi="Tahoma" w:cs="Tahoma"/>
          <w:b/>
          <w:sz w:val="24"/>
          <w:szCs w:val="24"/>
        </w:rPr>
        <w:t xml:space="preserve">, </w:t>
      </w:r>
      <w:r w:rsidR="00997C5C">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LC/H/REV/04/20</w:t>
      </w:r>
    </w:p>
    <w:p w:rsidR="0008442D" w:rsidRPr="00DF3B3D" w:rsidRDefault="0008442D" w:rsidP="000029A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sidR="00425D0D">
        <w:rPr>
          <w:rFonts w:ascii="Tahoma" w:hAnsi="Tahoma" w:cs="Tahoma"/>
          <w:b/>
          <w:sz w:val="24"/>
          <w:szCs w:val="24"/>
        </w:rPr>
        <w:tab/>
      </w:r>
      <w:r w:rsidR="00425D0D">
        <w:rPr>
          <w:rFonts w:ascii="Tahoma" w:hAnsi="Tahoma" w:cs="Tahoma"/>
          <w:b/>
          <w:sz w:val="24"/>
          <w:szCs w:val="24"/>
        </w:rPr>
        <w:tab/>
      </w:r>
      <w:r w:rsidR="00425D0D">
        <w:rPr>
          <w:rFonts w:ascii="Tahoma" w:hAnsi="Tahoma" w:cs="Tahoma"/>
          <w:b/>
          <w:sz w:val="24"/>
          <w:szCs w:val="24"/>
        </w:rPr>
        <w:tab/>
      </w:r>
      <w:r w:rsidR="00425D0D">
        <w:rPr>
          <w:rFonts w:ascii="Tahoma" w:hAnsi="Tahoma" w:cs="Tahoma"/>
          <w:b/>
          <w:sz w:val="24"/>
          <w:szCs w:val="24"/>
        </w:rPr>
        <w:tab/>
      </w:r>
      <w:r w:rsidR="00425D0D">
        <w:rPr>
          <w:rFonts w:ascii="Tahoma" w:hAnsi="Tahoma" w:cs="Tahoma"/>
          <w:b/>
          <w:sz w:val="24"/>
          <w:szCs w:val="24"/>
        </w:rPr>
        <w:tab/>
        <w:t xml:space="preserve">      </w:t>
      </w:r>
    </w:p>
    <w:p w:rsidR="00AA4716" w:rsidRDefault="00DD3816" w:rsidP="000029A6">
      <w:pPr>
        <w:spacing w:after="0" w:line="360" w:lineRule="auto"/>
        <w:jc w:val="both"/>
        <w:rPr>
          <w:rFonts w:ascii="Tahoma" w:hAnsi="Tahoma" w:cs="Tahoma"/>
          <w:b/>
          <w:sz w:val="24"/>
          <w:szCs w:val="24"/>
        </w:rPr>
      </w:pPr>
      <w:r>
        <w:rPr>
          <w:rFonts w:ascii="Tahoma" w:hAnsi="Tahoma" w:cs="Tahoma"/>
          <w:b/>
          <w:sz w:val="24"/>
          <w:szCs w:val="24"/>
        </w:rPr>
        <w:t>AND 2</w:t>
      </w:r>
      <w:bookmarkStart w:id="0" w:name="_GoBack"/>
      <w:bookmarkEnd w:id="0"/>
      <w:r w:rsidR="00631AF4">
        <w:rPr>
          <w:rFonts w:ascii="Tahoma" w:hAnsi="Tahoma" w:cs="Tahoma"/>
          <w:b/>
          <w:sz w:val="24"/>
          <w:szCs w:val="24"/>
        </w:rPr>
        <w:t>6 MARCH</w:t>
      </w:r>
      <w:r w:rsidR="006F7ABF">
        <w:rPr>
          <w:rFonts w:ascii="Tahoma" w:hAnsi="Tahoma" w:cs="Tahoma"/>
          <w:b/>
          <w:sz w:val="24"/>
          <w:szCs w:val="24"/>
        </w:rPr>
        <w:t xml:space="preserve">, </w:t>
      </w:r>
      <w:r w:rsidR="00425D0D">
        <w:rPr>
          <w:rFonts w:ascii="Tahoma" w:hAnsi="Tahoma" w:cs="Tahoma"/>
          <w:b/>
          <w:sz w:val="24"/>
          <w:szCs w:val="24"/>
        </w:rPr>
        <w:t>2021</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425D0D" w:rsidP="00997C5C">
      <w:pPr>
        <w:spacing w:after="0" w:line="480" w:lineRule="auto"/>
        <w:jc w:val="both"/>
        <w:rPr>
          <w:rFonts w:ascii="Tahoma" w:hAnsi="Tahoma" w:cs="Tahoma"/>
          <w:b/>
          <w:sz w:val="24"/>
          <w:szCs w:val="24"/>
        </w:rPr>
      </w:pPr>
      <w:r>
        <w:rPr>
          <w:rFonts w:ascii="Tahoma" w:hAnsi="Tahoma" w:cs="Tahoma"/>
          <w:b/>
          <w:sz w:val="24"/>
          <w:szCs w:val="24"/>
        </w:rPr>
        <w:t>ZIMBABWE NATIONAL ROAD ADMINISTRATION</w:t>
      </w:r>
      <w:r w:rsidR="00F80FB6">
        <w:rPr>
          <w:rFonts w:ascii="Tahoma" w:hAnsi="Tahoma" w:cs="Tahoma"/>
          <w:b/>
          <w:sz w:val="24"/>
          <w:szCs w:val="24"/>
        </w:rPr>
        <w:tab/>
      </w:r>
      <w:r w:rsidR="00F80FB6">
        <w:rPr>
          <w:rFonts w:ascii="Tahoma" w:hAnsi="Tahoma" w:cs="Tahoma"/>
          <w:b/>
          <w:sz w:val="24"/>
          <w:szCs w:val="24"/>
        </w:rPr>
        <w:tab/>
      </w:r>
      <w:r w:rsidR="00997C5C">
        <w:rPr>
          <w:rFonts w:ascii="Tahoma" w:hAnsi="Tahoma" w:cs="Tahoma"/>
          <w:b/>
          <w:sz w:val="24"/>
          <w:szCs w:val="24"/>
        </w:rPr>
        <w:tab/>
        <w:t>Applicant</w:t>
      </w:r>
    </w:p>
    <w:p w:rsidR="004F2711" w:rsidRDefault="00997C5C" w:rsidP="00997C5C">
      <w:pPr>
        <w:spacing w:after="0" w:line="480" w:lineRule="auto"/>
        <w:jc w:val="both"/>
        <w:rPr>
          <w:rFonts w:ascii="Tahoma" w:hAnsi="Tahoma" w:cs="Tahoma"/>
          <w:b/>
          <w:sz w:val="24"/>
          <w:szCs w:val="24"/>
        </w:rPr>
      </w:pPr>
      <w:r>
        <w:rPr>
          <w:rFonts w:ascii="Tahoma" w:hAnsi="Tahoma" w:cs="Tahoma"/>
          <w:b/>
          <w:sz w:val="24"/>
          <w:szCs w:val="24"/>
        </w:rPr>
        <w:t>Versus</w:t>
      </w:r>
    </w:p>
    <w:p w:rsidR="00997C5C" w:rsidRDefault="00425D0D" w:rsidP="00997C5C">
      <w:pPr>
        <w:spacing w:after="0" w:line="480" w:lineRule="auto"/>
        <w:jc w:val="both"/>
        <w:rPr>
          <w:rFonts w:ascii="Tahoma" w:hAnsi="Tahoma" w:cs="Tahoma"/>
          <w:b/>
          <w:sz w:val="24"/>
          <w:szCs w:val="24"/>
        </w:rPr>
      </w:pPr>
      <w:r>
        <w:rPr>
          <w:rFonts w:ascii="Tahoma" w:hAnsi="Tahoma" w:cs="Tahoma"/>
          <w:b/>
          <w:sz w:val="24"/>
          <w:szCs w:val="24"/>
        </w:rPr>
        <w:t>GRANT CHIRAU</w:t>
      </w:r>
      <w:r>
        <w:rPr>
          <w:rFonts w:ascii="Tahoma" w:hAnsi="Tahoma" w:cs="Tahoma"/>
          <w:b/>
          <w:sz w:val="24"/>
          <w:szCs w:val="24"/>
        </w:rPr>
        <w:tab/>
      </w:r>
      <w:r>
        <w:rPr>
          <w:rFonts w:ascii="Tahoma" w:hAnsi="Tahoma" w:cs="Tahoma"/>
          <w:b/>
          <w:sz w:val="24"/>
          <w:szCs w:val="24"/>
        </w:rPr>
        <w:tab/>
      </w:r>
      <w:r w:rsidR="008D0502">
        <w:rPr>
          <w:rFonts w:ascii="Tahoma" w:hAnsi="Tahoma" w:cs="Tahoma"/>
          <w:b/>
          <w:sz w:val="24"/>
          <w:szCs w:val="24"/>
        </w:rPr>
        <w:tab/>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F80FB6">
        <w:rPr>
          <w:rFonts w:ascii="Tahoma" w:hAnsi="Tahoma" w:cs="Tahoma"/>
          <w:b/>
          <w:sz w:val="24"/>
          <w:szCs w:val="24"/>
        </w:rPr>
        <w:tab/>
      </w:r>
      <w:r w:rsidR="00997C5C">
        <w:rPr>
          <w:rFonts w:ascii="Tahoma" w:hAnsi="Tahoma" w:cs="Tahoma"/>
          <w:b/>
          <w:sz w:val="24"/>
          <w:szCs w:val="24"/>
        </w:rPr>
        <w:t>1</w:t>
      </w:r>
      <w:r w:rsidR="00997C5C" w:rsidRPr="00997C5C">
        <w:rPr>
          <w:rFonts w:ascii="Tahoma" w:hAnsi="Tahoma" w:cs="Tahoma"/>
          <w:b/>
          <w:sz w:val="24"/>
          <w:szCs w:val="24"/>
          <w:vertAlign w:val="superscript"/>
        </w:rPr>
        <w:t>st</w:t>
      </w:r>
      <w:r w:rsidR="00997C5C">
        <w:rPr>
          <w:rFonts w:ascii="Tahoma" w:hAnsi="Tahoma" w:cs="Tahoma"/>
          <w:b/>
          <w:sz w:val="24"/>
          <w:szCs w:val="24"/>
        </w:rPr>
        <w:t xml:space="preserve"> </w:t>
      </w:r>
      <w:r w:rsidR="004F2711">
        <w:rPr>
          <w:rFonts w:ascii="Tahoma" w:hAnsi="Tahoma" w:cs="Tahoma"/>
          <w:b/>
          <w:sz w:val="24"/>
          <w:szCs w:val="24"/>
        </w:rPr>
        <w:t>Respondent</w:t>
      </w:r>
      <w:r w:rsidR="00283F6F">
        <w:rPr>
          <w:rFonts w:ascii="Tahoma" w:hAnsi="Tahoma" w:cs="Tahoma"/>
          <w:b/>
          <w:sz w:val="24"/>
          <w:szCs w:val="24"/>
        </w:rPr>
        <w:tab/>
      </w:r>
    </w:p>
    <w:p w:rsidR="00283F6F" w:rsidRDefault="00425D0D" w:rsidP="00997C5C">
      <w:pPr>
        <w:spacing w:after="0" w:line="480" w:lineRule="auto"/>
        <w:jc w:val="both"/>
        <w:rPr>
          <w:rFonts w:ascii="Tahoma" w:hAnsi="Tahoma" w:cs="Tahoma"/>
          <w:b/>
          <w:sz w:val="24"/>
          <w:szCs w:val="24"/>
        </w:rPr>
      </w:pPr>
      <w:r>
        <w:rPr>
          <w:rFonts w:ascii="Tahoma" w:hAnsi="Tahoma" w:cs="Tahoma"/>
          <w:b/>
          <w:sz w:val="24"/>
          <w:szCs w:val="24"/>
        </w:rPr>
        <w:t>ZINARA APPEALS COMMITTEE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08442D">
        <w:rPr>
          <w:rFonts w:ascii="Tahoma" w:hAnsi="Tahoma" w:cs="Tahoma"/>
          <w:b/>
          <w:sz w:val="24"/>
          <w:szCs w:val="24"/>
        </w:rPr>
        <w:tab/>
      </w:r>
      <w:r w:rsidR="0008442D">
        <w:rPr>
          <w:rFonts w:ascii="Tahoma" w:hAnsi="Tahoma" w:cs="Tahoma"/>
          <w:b/>
          <w:sz w:val="24"/>
          <w:szCs w:val="24"/>
        </w:rPr>
        <w:tab/>
      </w:r>
      <w:r w:rsidR="00997C5C">
        <w:rPr>
          <w:rFonts w:ascii="Tahoma" w:hAnsi="Tahoma" w:cs="Tahoma"/>
          <w:b/>
          <w:sz w:val="24"/>
          <w:szCs w:val="24"/>
        </w:rPr>
        <w:t>2</w:t>
      </w:r>
      <w:r w:rsidR="00997C5C" w:rsidRPr="00997C5C">
        <w:rPr>
          <w:rFonts w:ascii="Tahoma" w:hAnsi="Tahoma" w:cs="Tahoma"/>
          <w:b/>
          <w:sz w:val="24"/>
          <w:szCs w:val="24"/>
          <w:vertAlign w:val="superscript"/>
        </w:rPr>
        <w:t>nd</w:t>
      </w:r>
      <w:r w:rsidR="00997C5C">
        <w:rPr>
          <w:rFonts w:ascii="Tahoma" w:hAnsi="Tahoma" w:cs="Tahoma"/>
          <w:b/>
          <w:sz w:val="24"/>
          <w:szCs w:val="24"/>
        </w:rPr>
        <w:t xml:space="preserve"> 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997C5C" w:rsidP="00AA4716">
      <w:pPr>
        <w:spacing w:after="0" w:line="360" w:lineRule="auto"/>
        <w:jc w:val="both"/>
        <w:rPr>
          <w:rFonts w:ascii="Tahoma" w:hAnsi="Tahoma" w:cs="Tahoma"/>
          <w:sz w:val="24"/>
          <w:szCs w:val="24"/>
        </w:rPr>
      </w:pPr>
      <w:r>
        <w:rPr>
          <w:rFonts w:ascii="Tahoma" w:hAnsi="Tahoma" w:cs="Tahoma"/>
          <w:sz w:val="24"/>
          <w:szCs w:val="24"/>
        </w:rPr>
        <w:t xml:space="preserve">For </w:t>
      </w:r>
      <w:r w:rsidR="0061198E">
        <w:rPr>
          <w:rFonts w:ascii="Tahoma" w:hAnsi="Tahoma" w:cs="Tahoma"/>
          <w:sz w:val="24"/>
          <w:szCs w:val="24"/>
        </w:rPr>
        <w:t>Applicant</w:t>
      </w:r>
      <w:r w:rsidR="008D0502">
        <w:rPr>
          <w:rFonts w:ascii="Tahoma" w:hAnsi="Tahoma" w:cs="Tahoma"/>
          <w:sz w:val="24"/>
          <w:szCs w:val="24"/>
        </w:rPr>
        <w:t>:</w:t>
      </w:r>
      <w:r w:rsidR="0061198E">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proofErr w:type="spellStart"/>
      <w:r w:rsidR="00425D0D">
        <w:rPr>
          <w:rFonts w:ascii="Tahoma" w:hAnsi="Tahoma" w:cs="Tahoma"/>
          <w:sz w:val="24"/>
          <w:szCs w:val="24"/>
        </w:rPr>
        <w:t>Kadzere</w:t>
      </w:r>
      <w:proofErr w:type="spellEnd"/>
      <w:r w:rsidR="00425D0D">
        <w:rPr>
          <w:rFonts w:ascii="Tahoma" w:hAnsi="Tahoma" w:cs="Tahoma"/>
          <w:sz w:val="24"/>
          <w:szCs w:val="24"/>
        </w:rPr>
        <w:t xml:space="preserve">, </w:t>
      </w:r>
      <w:proofErr w:type="spellStart"/>
      <w:r w:rsidR="00425D0D">
        <w:rPr>
          <w:rFonts w:ascii="Tahoma" w:hAnsi="Tahoma" w:cs="Tahoma"/>
          <w:sz w:val="24"/>
          <w:szCs w:val="24"/>
        </w:rPr>
        <w:t>Hungwe</w:t>
      </w:r>
      <w:proofErr w:type="spellEnd"/>
      <w:r w:rsidR="00425D0D">
        <w:rPr>
          <w:rFonts w:ascii="Tahoma" w:hAnsi="Tahoma" w:cs="Tahoma"/>
          <w:sz w:val="24"/>
          <w:szCs w:val="24"/>
        </w:rPr>
        <w:t xml:space="preserve"> &amp; </w:t>
      </w:r>
      <w:proofErr w:type="spellStart"/>
      <w:r w:rsidR="00425D0D">
        <w:rPr>
          <w:rFonts w:ascii="Tahoma" w:hAnsi="Tahoma" w:cs="Tahoma"/>
          <w:sz w:val="24"/>
          <w:szCs w:val="24"/>
        </w:rPr>
        <w:t>Mandevere</w:t>
      </w:r>
      <w:proofErr w:type="spellEnd"/>
    </w:p>
    <w:p w:rsidR="0008442D" w:rsidRDefault="0008442D" w:rsidP="0008442D">
      <w:pPr>
        <w:spacing w:after="0" w:line="360" w:lineRule="auto"/>
        <w:jc w:val="both"/>
        <w:rPr>
          <w:rFonts w:ascii="Tahoma" w:hAnsi="Tahoma" w:cs="Tahoma"/>
          <w:sz w:val="24"/>
          <w:szCs w:val="24"/>
        </w:rPr>
      </w:pPr>
      <w:r>
        <w:rPr>
          <w:rFonts w:ascii="Tahoma" w:hAnsi="Tahoma" w:cs="Tahoma"/>
          <w:sz w:val="24"/>
          <w:szCs w:val="24"/>
        </w:rPr>
        <w:t xml:space="preserve">For </w:t>
      </w:r>
      <w:r w:rsidR="004F2711">
        <w:rPr>
          <w:rFonts w:ascii="Tahoma" w:hAnsi="Tahoma" w:cs="Tahoma"/>
          <w:sz w:val="24"/>
          <w:szCs w:val="24"/>
        </w:rPr>
        <w:t>Respondent</w:t>
      </w:r>
      <w:r>
        <w:rPr>
          <w:rFonts w:ascii="Tahoma" w:hAnsi="Tahoma" w:cs="Tahoma"/>
          <w:sz w:val="24"/>
          <w:szCs w:val="24"/>
        </w:rPr>
        <w:t>s</w:t>
      </w:r>
      <w:r w:rsidR="008D0502">
        <w:rPr>
          <w:rFonts w:ascii="Tahoma" w:hAnsi="Tahoma" w:cs="Tahoma"/>
          <w:sz w:val="24"/>
          <w:szCs w:val="24"/>
        </w:rPr>
        <w:t>:</w:t>
      </w:r>
      <w:r w:rsidR="008D0502">
        <w:rPr>
          <w:rFonts w:ascii="Tahoma" w:hAnsi="Tahoma" w:cs="Tahoma"/>
          <w:sz w:val="24"/>
          <w:szCs w:val="24"/>
        </w:rPr>
        <w:tab/>
      </w:r>
      <w:r w:rsidR="00283F6F">
        <w:rPr>
          <w:rFonts w:ascii="Tahoma" w:hAnsi="Tahoma" w:cs="Tahoma"/>
          <w:sz w:val="24"/>
          <w:szCs w:val="24"/>
        </w:rPr>
        <w:tab/>
      </w:r>
      <w:r w:rsidR="00283F6F">
        <w:rPr>
          <w:rFonts w:ascii="Tahoma" w:hAnsi="Tahoma" w:cs="Tahoma"/>
          <w:sz w:val="24"/>
          <w:szCs w:val="24"/>
        </w:rPr>
        <w:tab/>
      </w:r>
      <w:r w:rsidR="004F2711">
        <w:rPr>
          <w:rFonts w:ascii="Tahoma" w:hAnsi="Tahoma" w:cs="Tahoma"/>
          <w:sz w:val="24"/>
          <w:szCs w:val="24"/>
        </w:rPr>
        <w:tab/>
      </w:r>
      <w:r w:rsidR="00425D0D">
        <w:rPr>
          <w:rFonts w:ascii="Tahoma" w:hAnsi="Tahoma" w:cs="Tahoma"/>
          <w:sz w:val="24"/>
          <w:szCs w:val="24"/>
        </w:rPr>
        <w:t>In Person</w:t>
      </w:r>
    </w:p>
    <w:p w:rsidR="00997C5C" w:rsidRPr="00DF3B3D" w:rsidRDefault="00997C5C" w:rsidP="00997C5C">
      <w:pPr>
        <w:spacing w:after="0" w:line="360" w:lineRule="auto"/>
        <w:ind w:left="4320" w:hanging="4320"/>
        <w:jc w:val="both"/>
        <w:rPr>
          <w:rFonts w:ascii="Tahoma" w:hAnsi="Tahoma" w:cs="Tahoma"/>
          <w:sz w:val="24"/>
          <w:szCs w:val="24"/>
        </w:rPr>
      </w:pP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771E47" w:rsidRDefault="00AB401F" w:rsidP="00425D0D">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sidR="00425D0D" w:rsidRPr="00425D0D">
        <w:rPr>
          <w:rFonts w:ascii="Tahoma" w:hAnsi="Tahoma" w:cs="Tahoma"/>
          <w:sz w:val="24"/>
          <w:szCs w:val="24"/>
        </w:rPr>
        <w:t>This is an application</w:t>
      </w:r>
      <w:r w:rsidR="00425D0D">
        <w:rPr>
          <w:rFonts w:ascii="Tahoma" w:hAnsi="Tahoma" w:cs="Tahoma"/>
          <w:sz w:val="24"/>
          <w:szCs w:val="24"/>
        </w:rPr>
        <w:t xml:space="preserve"> for review against the decision of the appeals committee of the applicant.</w:t>
      </w:r>
    </w:p>
    <w:p w:rsidR="00425D0D" w:rsidRDefault="00425D0D" w:rsidP="00425D0D">
      <w:pPr>
        <w:spacing w:after="0" w:line="360" w:lineRule="auto"/>
        <w:jc w:val="both"/>
        <w:rPr>
          <w:rFonts w:ascii="Tahoma" w:hAnsi="Tahoma" w:cs="Tahoma"/>
          <w:sz w:val="24"/>
          <w:szCs w:val="24"/>
        </w:rPr>
      </w:pPr>
    </w:p>
    <w:p w:rsidR="00425D0D" w:rsidRPr="00425D0D" w:rsidRDefault="00425D0D" w:rsidP="00425D0D">
      <w:pPr>
        <w:spacing w:after="0" w:line="360" w:lineRule="auto"/>
        <w:jc w:val="both"/>
        <w:rPr>
          <w:rFonts w:ascii="Tahoma" w:hAnsi="Tahoma" w:cs="Tahoma"/>
          <w:i/>
          <w:sz w:val="24"/>
          <w:szCs w:val="24"/>
        </w:rPr>
      </w:pPr>
      <w:r>
        <w:rPr>
          <w:rFonts w:ascii="Tahoma" w:hAnsi="Tahoma" w:cs="Tahoma"/>
          <w:sz w:val="24"/>
          <w:szCs w:val="24"/>
        </w:rPr>
        <w:tab/>
        <w:t>The 1</w:t>
      </w:r>
      <w:r w:rsidRPr="00425D0D">
        <w:rPr>
          <w:rFonts w:ascii="Tahoma" w:hAnsi="Tahoma" w:cs="Tahoma"/>
          <w:sz w:val="24"/>
          <w:szCs w:val="24"/>
          <w:vertAlign w:val="superscript"/>
        </w:rPr>
        <w:t>st</w:t>
      </w:r>
      <w:r>
        <w:rPr>
          <w:rFonts w:ascii="Tahoma" w:hAnsi="Tahoma" w:cs="Tahoma"/>
          <w:sz w:val="24"/>
          <w:szCs w:val="24"/>
        </w:rPr>
        <w:t xml:space="preserve"> respondent was an employee of the applicant before he was charged with misconduct i</w:t>
      </w:r>
      <w:r w:rsidR="004555FB">
        <w:rPr>
          <w:rFonts w:ascii="Tahoma" w:hAnsi="Tahoma" w:cs="Tahoma"/>
          <w:sz w:val="24"/>
          <w:szCs w:val="24"/>
        </w:rPr>
        <w:t xml:space="preserve">t being alleged that he had </w:t>
      </w:r>
      <w:proofErr w:type="spellStart"/>
      <w:r w:rsidR="004555FB">
        <w:rPr>
          <w:rFonts w:ascii="Tahoma" w:hAnsi="Tahoma" w:cs="Tahoma"/>
          <w:sz w:val="24"/>
          <w:szCs w:val="24"/>
        </w:rPr>
        <w:t>wil</w:t>
      </w:r>
      <w:r>
        <w:rPr>
          <w:rFonts w:ascii="Tahoma" w:hAnsi="Tahoma" w:cs="Tahoma"/>
          <w:sz w:val="24"/>
          <w:szCs w:val="24"/>
        </w:rPr>
        <w:t>fully</w:t>
      </w:r>
      <w:proofErr w:type="spellEnd"/>
      <w:r>
        <w:rPr>
          <w:rFonts w:ascii="Tahoma" w:hAnsi="Tahoma" w:cs="Tahoma"/>
          <w:sz w:val="24"/>
          <w:szCs w:val="24"/>
        </w:rPr>
        <w:t xml:space="preserve"> refused to comply with established procedure/standing instructions or alternatively, failure to take </w:t>
      </w:r>
      <w:r w:rsidR="00D058AE">
        <w:rPr>
          <w:rFonts w:ascii="Tahoma" w:hAnsi="Tahoma" w:cs="Tahoma"/>
          <w:sz w:val="24"/>
          <w:szCs w:val="24"/>
        </w:rPr>
        <w:t>disciplinary/grievance action.</w:t>
      </w:r>
    </w:p>
    <w:p w:rsidR="002D40E8" w:rsidRDefault="002D40E8" w:rsidP="00BF2F8F">
      <w:pPr>
        <w:spacing w:after="0" w:line="360" w:lineRule="auto"/>
        <w:jc w:val="both"/>
        <w:rPr>
          <w:rFonts w:ascii="Tahoma" w:hAnsi="Tahoma" w:cs="Tahoma"/>
          <w:sz w:val="24"/>
          <w:szCs w:val="24"/>
        </w:rPr>
      </w:pPr>
    </w:p>
    <w:p w:rsidR="00C71AE7" w:rsidRDefault="00D058AE" w:rsidP="00BF2F8F">
      <w:pPr>
        <w:spacing w:after="0" w:line="360" w:lineRule="auto"/>
        <w:jc w:val="both"/>
        <w:rPr>
          <w:rFonts w:ascii="Tahoma" w:hAnsi="Tahoma" w:cs="Tahoma"/>
          <w:sz w:val="24"/>
          <w:szCs w:val="24"/>
        </w:rPr>
      </w:pPr>
      <w:r>
        <w:rPr>
          <w:rFonts w:ascii="Tahoma" w:hAnsi="Tahoma" w:cs="Tahoma"/>
          <w:sz w:val="24"/>
          <w:szCs w:val="24"/>
        </w:rPr>
        <w:lastRenderedPageBreak/>
        <w:tab/>
        <w:t>A hearing was conducted by the applicants</w:t>
      </w:r>
      <w:r w:rsidR="00C71AE7">
        <w:rPr>
          <w:rFonts w:ascii="Tahoma" w:hAnsi="Tahoma" w:cs="Tahoma"/>
          <w:sz w:val="24"/>
          <w:szCs w:val="24"/>
        </w:rPr>
        <w:t>’ disciplinary committee which found the 1</w:t>
      </w:r>
      <w:r w:rsidR="00C71AE7" w:rsidRPr="00C71AE7">
        <w:rPr>
          <w:rFonts w:ascii="Tahoma" w:hAnsi="Tahoma" w:cs="Tahoma"/>
          <w:sz w:val="24"/>
          <w:szCs w:val="24"/>
          <w:vertAlign w:val="superscript"/>
        </w:rPr>
        <w:t>st</w:t>
      </w:r>
      <w:r w:rsidR="00C71AE7">
        <w:rPr>
          <w:rFonts w:ascii="Tahoma" w:hAnsi="Tahoma" w:cs="Tahoma"/>
          <w:sz w:val="24"/>
          <w:szCs w:val="24"/>
        </w:rPr>
        <w:t xml:space="preserve"> respondent not guilty. The applicant appealed to 2</w:t>
      </w:r>
      <w:r w:rsidR="00C71AE7" w:rsidRPr="00C71AE7">
        <w:rPr>
          <w:rFonts w:ascii="Tahoma" w:hAnsi="Tahoma" w:cs="Tahoma"/>
          <w:sz w:val="24"/>
          <w:szCs w:val="24"/>
          <w:vertAlign w:val="superscript"/>
        </w:rPr>
        <w:t>nd</w:t>
      </w:r>
      <w:r w:rsidR="00C71AE7">
        <w:rPr>
          <w:rFonts w:ascii="Tahoma" w:hAnsi="Tahoma" w:cs="Tahoma"/>
          <w:sz w:val="24"/>
          <w:szCs w:val="24"/>
        </w:rPr>
        <w:t xml:space="preserve"> respondent. The 2</w:t>
      </w:r>
      <w:r w:rsidR="00C71AE7" w:rsidRPr="00C71AE7">
        <w:rPr>
          <w:rFonts w:ascii="Tahoma" w:hAnsi="Tahoma" w:cs="Tahoma"/>
          <w:sz w:val="24"/>
          <w:szCs w:val="24"/>
          <w:vertAlign w:val="superscript"/>
        </w:rPr>
        <w:t>nd</w:t>
      </w:r>
      <w:r w:rsidR="00C71AE7">
        <w:rPr>
          <w:rFonts w:ascii="Tahoma" w:hAnsi="Tahoma" w:cs="Tahoma"/>
          <w:sz w:val="24"/>
          <w:szCs w:val="24"/>
        </w:rPr>
        <w:t xml:space="preserve"> respondent heard the appeal and came up with a determination that is the subject of this application for review. </w:t>
      </w:r>
    </w:p>
    <w:p w:rsidR="00C71AE7" w:rsidRDefault="00C71AE7" w:rsidP="00BF2F8F">
      <w:pPr>
        <w:spacing w:after="0" w:line="360" w:lineRule="auto"/>
        <w:jc w:val="both"/>
        <w:rPr>
          <w:rFonts w:ascii="Tahoma" w:hAnsi="Tahoma" w:cs="Tahoma"/>
          <w:sz w:val="24"/>
          <w:szCs w:val="24"/>
        </w:rPr>
      </w:pPr>
    </w:p>
    <w:p w:rsidR="00D058AE" w:rsidRPr="007F62AC" w:rsidRDefault="00C71AE7" w:rsidP="00C71AE7">
      <w:pPr>
        <w:spacing w:after="0" w:line="360" w:lineRule="auto"/>
        <w:ind w:firstLine="720"/>
        <w:jc w:val="both"/>
        <w:rPr>
          <w:rFonts w:ascii="Tahoma" w:hAnsi="Tahoma" w:cs="Tahoma"/>
          <w:i/>
          <w:sz w:val="24"/>
          <w:szCs w:val="24"/>
        </w:rPr>
      </w:pPr>
      <w:r>
        <w:rPr>
          <w:rFonts w:ascii="Tahoma" w:hAnsi="Tahoma" w:cs="Tahoma"/>
          <w:sz w:val="24"/>
          <w:szCs w:val="24"/>
        </w:rPr>
        <w:t>The parties appear to be agreed that</w:t>
      </w:r>
      <w:r w:rsidR="007F62AC">
        <w:rPr>
          <w:rFonts w:ascii="Tahoma" w:hAnsi="Tahoma" w:cs="Tahoma"/>
          <w:sz w:val="24"/>
          <w:szCs w:val="24"/>
        </w:rPr>
        <w:t xml:space="preserve"> “the outcome of the appeal hearing” is an irregular way to present a decision of an appeals committee. Each of the three member panel wrote their own decision and the three decisions were presented as the outcome of the appeal hearing. The applicant was aggrieved with this procedural issue and filed this application for review seeking that the matter be remitted to the applicant’s appeals committee and the matter to be heard </w:t>
      </w:r>
      <w:proofErr w:type="spellStart"/>
      <w:r w:rsidR="007F62AC" w:rsidRPr="007F62AC">
        <w:rPr>
          <w:rFonts w:ascii="Tahoma" w:hAnsi="Tahoma" w:cs="Tahoma"/>
          <w:i/>
          <w:sz w:val="24"/>
          <w:szCs w:val="24"/>
        </w:rPr>
        <w:t>denovo</w:t>
      </w:r>
      <w:proofErr w:type="spellEnd"/>
      <w:r w:rsidR="007F62AC" w:rsidRPr="007F62AC">
        <w:rPr>
          <w:rFonts w:ascii="Tahoma" w:hAnsi="Tahoma" w:cs="Tahoma"/>
          <w:i/>
          <w:sz w:val="24"/>
          <w:szCs w:val="24"/>
        </w:rPr>
        <w:t>.</w:t>
      </w:r>
    </w:p>
    <w:p w:rsidR="007F62AC" w:rsidRDefault="007F62AC" w:rsidP="00C71AE7">
      <w:pPr>
        <w:spacing w:after="0" w:line="360" w:lineRule="auto"/>
        <w:ind w:firstLine="720"/>
        <w:jc w:val="both"/>
        <w:rPr>
          <w:rFonts w:ascii="Tahoma" w:hAnsi="Tahoma" w:cs="Tahoma"/>
          <w:sz w:val="24"/>
          <w:szCs w:val="24"/>
        </w:rPr>
      </w:pPr>
    </w:p>
    <w:p w:rsidR="007F62AC" w:rsidRDefault="007F62AC" w:rsidP="00C71AE7">
      <w:pPr>
        <w:spacing w:after="0" w:line="360" w:lineRule="auto"/>
        <w:ind w:firstLine="720"/>
        <w:jc w:val="both"/>
        <w:rPr>
          <w:rFonts w:ascii="Tahoma" w:hAnsi="Tahoma" w:cs="Tahoma"/>
          <w:sz w:val="24"/>
          <w:szCs w:val="24"/>
        </w:rPr>
      </w:pPr>
      <w:r>
        <w:rPr>
          <w:rFonts w:ascii="Tahoma" w:hAnsi="Tahoma" w:cs="Tahoma"/>
          <w:sz w:val="24"/>
          <w:szCs w:val="24"/>
        </w:rPr>
        <w:t>The 1</w:t>
      </w:r>
      <w:r w:rsidRPr="007F62AC">
        <w:rPr>
          <w:rFonts w:ascii="Tahoma" w:hAnsi="Tahoma" w:cs="Tahoma"/>
          <w:sz w:val="24"/>
          <w:szCs w:val="24"/>
          <w:vertAlign w:val="superscript"/>
        </w:rPr>
        <w:t>st</w:t>
      </w:r>
      <w:r>
        <w:rPr>
          <w:rFonts w:ascii="Tahoma" w:hAnsi="Tahoma" w:cs="Tahoma"/>
          <w:sz w:val="24"/>
          <w:szCs w:val="24"/>
        </w:rPr>
        <w:t xml:space="preserve"> respondent opposed the application and raised the preliminary points to the following effect that:</w:t>
      </w:r>
    </w:p>
    <w:p w:rsidR="007F62AC" w:rsidRDefault="007F62AC" w:rsidP="00C71AE7">
      <w:pPr>
        <w:spacing w:after="0" w:line="360" w:lineRule="auto"/>
        <w:ind w:firstLine="720"/>
        <w:jc w:val="both"/>
        <w:rPr>
          <w:rFonts w:ascii="Tahoma" w:hAnsi="Tahoma" w:cs="Tahoma"/>
          <w:sz w:val="24"/>
          <w:szCs w:val="24"/>
        </w:rPr>
      </w:pPr>
    </w:p>
    <w:p w:rsidR="007F62AC" w:rsidRDefault="007F62AC" w:rsidP="007F62AC">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 xml:space="preserve">The application is improperly before the court as it was served 11 days after being lodged with the Registrar of this </w:t>
      </w:r>
      <w:proofErr w:type="spellStart"/>
      <w:r>
        <w:rPr>
          <w:rFonts w:ascii="Tahoma" w:hAnsi="Tahoma" w:cs="Tahoma"/>
          <w:sz w:val="24"/>
          <w:szCs w:val="24"/>
        </w:rPr>
        <w:t>honourable</w:t>
      </w:r>
      <w:proofErr w:type="spellEnd"/>
      <w:r>
        <w:rPr>
          <w:rFonts w:ascii="Tahoma" w:hAnsi="Tahoma" w:cs="Tahoma"/>
          <w:sz w:val="24"/>
          <w:szCs w:val="24"/>
        </w:rPr>
        <w:t xml:space="preserve"> court instead of 5 days prescribed by the Labour Court rules, 2017.</w:t>
      </w:r>
    </w:p>
    <w:p w:rsidR="007F62AC" w:rsidRDefault="007F62AC" w:rsidP="007F62AC">
      <w:pPr>
        <w:pStyle w:val="ListParagraph"/>
        <w:spacing w:after="0" w:line="360" w:lineRule="auto"/>
        <w:ind w:left="2520"/>
        <w:jc w:val="both"/>
        <w:rPr>
          <w:rFonts w:ascii="Tahoma" w:hAnsi="Tahoma" w:cs="Tahoma"/>
          <w:sz w:val="24"/>
          <w:szCs w:val="24"/>
        </w:rPr>
      </w:pPr>
    </w:p>
    <w:p w:rsidR="007F62AC" w:rsidRDefault="007F62AC" w:rsidP="007F62AC">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The application is a nullity since he</w:t>
      </w:r>
      <w:r w:rsidR="00B13D26">
        <w:rPr>
          <w:rFonts w:ascii="Tahoma" w:hAnsi="Tahoma" w:cs="Tahoma"/>
          <w:sz w:val="24"/>
          <w:szCs w:val="24"/>
        </w:rPr>
        <w:t>,</w:t>
      </w:r>
      <w:r>
        <w:rPr>
          <w:rFonts w:ascii="Tahoma" w:hAnsi="Tahoma" w:cs="Tahoma"/>
          <w:sz w:val="24"/>
          <w:szCs w:val="24"/>
        </w:rPr>
        <w:t xml:space="preserve"> </w:t>
      </w:r>
      <w:r w:rsidR="004555FB">
        <w:rPr>
          <w:rFonts w:ascii="Tahoma" w:hAnsi="Tahoma" w:cs="Tahoma"/>
          <w:sz w:val="24"/>
          <w:szCs w:val="24"/>
        </w:rPr>
        <w:t xml:space="preserve">the respondent </w:t>
      </w:r>
      <w:r>
        <w:rPr>
          <w:rFonts w:ascii="Tahoma" w:hAnsi="Tahoma" w:cs="Tahoma"/>
          <w:sz w:val="24"/>
          <w:szCs w:val="24"/>
        </w:rPr>
        <w:t>has not been served with the</w:t>
      </w:r>
      <w:r w:rsidR="00C11F99">
        <w:rPr>
          <w:rFonts w:ascii="Tahoma" w:hAnsi="Tahoma" w:cs="Tahoma"/>
          <w:sz w:val="24"/>
          <w:szCs w:val="24"/>
        </w:rPr>
        <w:t xml:space="preserve"> decision of the Disciplinary appeals committee.</w:t>
      </w:r>
    </w:p>
    <w:p w:rsidR="00C11F99" w:rsidRPr="00C11F99" w:rsidRDefault="00C11F99" w:rsidP="00C11F99">
      <w:pPr>
        <w:pStyle w:val="ListParagraph"/>
        <w:rPr>
          <w:rFonts w:ascii="Tahoma" w:hAnsi="Tahoma" w:cs="Tahoma"/>
          <w:sz w:val="24"/>
          <w:szCs w:val="24"/>
        </w:rPr>
      </w:pPr>
    </w:p>
    <w:p w:rsidR="00C11F99" w:rsidRDefault="00C11F99" w:rsidP="00C11F99">
      <w:pPr>
        <w:pStyle w:val="ListParagraph"/>
        <w:spacing w:after="0" w:line="360" w:lineRule="auto"/>
        <w:ind w:left="2520"/>
        <w:jc w:val="both"/>
        <w:rPr>
          <w:rFonts w:ascii="Tahoma" w:hAnsi="Tahoma" w:cs="Tahoma"/>
          <w:sz w:val="24"/>
          <w:szCs w:val="24"/>
        </w:rPr>
      </w:pPr>
      <w:r>
        <w:rPr>
          <w:rFonts w:ascii="Tahoma" w:hAnsi="Tahoma" w:cs="Tahoma"/>
          <w:sz w:val="24"/>
          <w:szCs w:val="24"/>
        </w:rPr>
        <w:t xml:space="preserve">Other preliminary points were raised during the hearing and these </w:t>
      </w:r>
      <w:proofErr w:type="gramStart"/>
      <w:r>
        <w:rPr>
          <w:rFonts w:ascii="Tahoma" w:hAnsi="Tahoma" w:cs="Tahoma"/>
          <w:sz w:val="24"/>
          <w:szCs w:val="24"/>
        </w:rPr>
        <w:t>were that</w:t>
      </w:r>
      <w:proofErr w:type="gramEnd"/>
      <w:r>
        <w:rPr>
          <w:rFonts w:ascii="Tahoma" w:hAnsi="Tahoma" w:cs="Tahoma"/>
          <w:sz w:val="24"/>
          <w:szCs w:val="24"/>
        </w:rPr>
        <w:t>;</w:t>
      </w:r>
    </w:p>
    <w:p w:rsidR="00872006" w:rsidRDefault="00872006" w:rsidP="00872006">
      <w:pPr>
        <w:spacing w:after="0" w:line="360" w:lineRule="auto"/>
        <w:jc w:val="both"/>
        <w:rPr>
          <w:rFonts w:ascii="Tahoma" w:hAnsi="Tahoma" w:cs="Tahoma"/>
          <w:sz w:val="24"/>
          <w:szCs w:val="24"/>
        </w:rPr>
      </w:pPr>
      <w:r>
        <w:rPr>
          <w:rFonts w:ascii="Tahoma" w:hAnsi="Tahoma" w:cs="Tahoma"/>
          <w:sz w:val="24"/>
          <w:szCs w:val="24"/>
        </w:rPr>
        <w:tab/>
      </w:r>
    </w:p>
    <w:p w:rsidR="00872006" w:rsidRDefault="00872006" w:rsidP="00872006">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 xml:space="preserve">Applicant is suing a non </w:t>
      </w:r>
      <w:proofErr w:type="spellStart"/>
      <w:r>
        <w:rPr>
          <w:rFonts w:ascii="Tahoma" w:hAnsi="Tahoma" w:cs="Tahoma"/>
          <w:sz w:val="24"/>
          <w:szCs w:val="24"/>
        </w:rPr>
        <w:t>existant</w:t>
      </w:r>
      <w:proofErr w:type="spellEnd"/>
      <w:r>
        <w:rPr>
          <w:rFonts w:ascii="Tahoma" w:hAnsi="Tahoma" w:cs="Tahoma"/>
          <w:sz w:val="24"/>
          <w:szCs w:val="24"/>
        </w:rPr>
        <w:t xml:space="preserve"> party, a party who is not recognized as a person in law either natural or juristic.</w:t>
      </w:r>
    </w:p>
    <w:p w:rsidR="00872006" w:rsidRDefault="00872006" w:rsidP="00872006">
      <w:pPr>
        <w:spacing w:after="0" w:line="360" w:lineRule="auto"/>
        <w:jc w:val="both"/>
        <w:rPr>
          <w:rFonts w:ascii="Tahoma" w:hAnsi="Tahoma" w:cs="Tahoma"/>
          <w:sz w:val="24"/>
          <w:szCs w:val="24"/>
        </w:rPr>
      </w:pPr>
    </w:p>
    <w:p w:rsidR="00872006" w:rsidRDefault="00872006" w:rsidP="00872006">
      <w:pPr>
        <w:spacing w:after="0" w:line="360" w:lineRule="auto"/>
        <w:ind w:left="2160"/>
        <w:jc w:val="both"/>
        <w:rPr>
          <w:rFonts w:ascii="Tahoma" w:hAnsi="Tahoma" w:cs="Tahoma"/>
          <w:sz w:val="24"/>
          <w:szCs w:val="24"/>
        </w:rPr>
      </w:pPr>
      <w:r>
        <w:rPr>
          <w:rFonts w:ascii="Tahoma" w:hAnsi="Tahoma" w:cs="Tahoma"/>
          <w:sz w:val="24"/>
          <w:szCs w:val="24"/>
        </w:rPr>
        <w:t>The 2</w:t>
      </w:r>
      <w:r w:rsidRPr="00872006">
        <w:rPr>
          <w:rFonts w:ascii="Tahoma" w:hAnsi="Tahoma" w:cs="Tahoma"/>
          <w:sz w:val="24"/>
          <w:szCs w:val="24"/>
          <w:vertAlign w:val="superscript"/>
        </w:rPr>
        <w:t>nd</w:t>
      </w:r>
      <w:r>
        <w:rPr>
          <w:rFonts w:ascii="Tahoma" w:hAnsi="Tahoma" w:cs="Tahoma"/>
          <w:sz w:val="24"/>
          <w:szCs w:val="24"/>
        </w:rPr>
        <w:t xml:space="preserve"> respondent (</w:t>
      </w:r>
      <w:proofErr w:type="spellStart"/>
      <w:r>
        <w:rPr>
          <w:rFonts w:ascii="Tahoma" w:hAnsi="Tahoma" w:cs="Tahoma"/>
          <w:sz w:val="24"/>
          <w:szCs w:val="24"/>
        </w:rPr>
        <w:t>zinara</w:t>
      </w:r>
      <w:proofErr w:type="spellEnd"/>
      <w:r>
        <w:rPr>
          <w:rFonts w:ascii="Tahoma" w:hAnsi="Tahoma" w:cs="Tahoma"/>
          <w:sz w:val="24"/>
          <w:szCs w:val="24"/>
        </w:rPr>
        <w:t xml:space="preserve"> appeals committee) is alleged to be neither a juristic person nor a natural person and can therefore not sue or be sued. It is not a legal persona and has no capacity to sue or be sued in its own name.</w:t>
      </w:r>
    </w:p>
    <w:p w:rsidR="00872006" w:rsidRDefault="00872006" w:rsidP="00872006">
      <w:pPr>
        <w:spacing w:after="0" w:line="360" w:lineRule="auto"/>
        <w:ind w:left="2160"/>
        <w:jc w:val="both"/>
        <w:rPr>
          <w:rFonts w:ascii="Tahoma" w:hAnsi="Tahoma" w:cs="Tahoma"/>
          <w:sz w:val="24"/>
          <w:szCs w:val="24"/>
        </w:rPr>
      </w:pPr>
    </w:p>
    <w:p w:rsidR="00872006" w:rsidRDefault="004555FB" w:rsidP="00872006">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The applicant i</w:t>
      </w:r>
      <w:r w:rsidR="00872006">
        <w:rPr>
          <w:rFonts w:ascii="Tahoma" w:hAnsi="Tahoma" w:cs="Tahoma"/>
          <w:sz w:val="24"/>
          <w:szCs w:val="24"/>
        </w:rPr>
        <w:t>s suing itself.</w:t>
      </w:r>
    </w:p>
    <w:p w:rsidR="00270FFD" w:rsidRDefault="00270FFD" w:rsidP="00270FFD">
      <w:pPr>
        <w:pStyle w:val="ListParagraph"/>
        <w:spacing w:after="0" w:line="360" w:lineRule="auto"/>
        <w:ind w:left="2520"/>
        <w:jc w:val="both"/>
        <w:rPr>
          <w:rFonts w:ascii="Tahoma" w:hAnsi="Tahoma" w:cs="Tahoma"/>
          <w:sz w:val="24"/>
          <w:szCs w:val="24"/>
        </w:rPr>
      </w:pPr>
    </w:p>
    <w:p w:rsidR="00872006" w:rsidRDefault="004555FB" w:rsidP="00872006">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 xml:space="preserve">The </w:t>
      </w:r>
      <w:r w:rsidR="00B13D26">
        <w:rPr>
          <w:rFonts w:ascii="Tahoma" w:hAnsi="Tahoma" w:cs="Tahoma"/>
          <w:sz w:val="24"/>
          <w:szCs w:val="24"/>
        </w:rPr>
        <w:t>a</w:t>
      </w:r>
      <w:r w:rsidR="00872006">
        <w:rPr>
          <w:rFonts w:ascii="Tahoma" w:hAnsi="Tahoma" w:cs="Tahoma"/>
          <w:sz w:val="24"/>
          <w:szCs w:val="24"/>
        </w:rPr>
        <w:t>pplicant has failed to exhaust domestic remedies.</w:t>
      </w:r>
    </w:p>
    <w:p w:rsidR="00270FFD" w:rsidRPr="00270FFD" w:rsidRDefault="00270FFD" w:rsidP="00270FFD">
      <w:pPr>
        <w:pStyle w:val="ListParagraph"/>
        <w:rPr>
          <w:rFonts w:ascii="Tahoma" w:hAnsi="Tahoma" w:cs="Tahoma"/>
          <w:sz w:val="24"/>
          <w:szCs w:val="24"/>
        </w:rPr>
      </w:pPr>
    </w:p>
    <w:p w:rsidR="00872006" w:rsidRDefault="00872006" w:rsidP="00872006">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There is no prayer to have the three decisions set aside therefore the court cannot remit.</w:t>
      </w:r>
    </w:p>
    <w:p w:rsidR="00270FFD" w:rsidRPr="00270FFD" w:rsidRDefault="00270FFD" w:rsidP="00270FFD">
      <w:pPr>
        <w:pStyle w:val="ListParagraph"/>
        <w:rPr>
          <w:rFonts w:ascii="Tahoma" w:hAnsi="Tahoma" w:cs="Tahoma"/>
          <w:sz w:val="24"/>
          <w:szCs w:val="24"/>
        </w:rPr>
      </w:pPr>
    </w:p>
    <w:p w:rsidR="00872006" w:rsidRDefault="00872006" w:rsidP="00872006">
      <w:pPr>
        <w:spacing w:after="0" w:line="360" w:lineRule="auto"/>
        <w:jc w:val="both"/>
        <w:rPr>
          <w:rFonts w:ascii="Tahoma" w:hAnsi="Tahoma" w:cs="Tahoma"/>
          <w:sz w:val="24"/>
          <w:szCs w:val="24"/>
        </w:rPr>
      </w:pPr>
      <w:r>
        <w:rPr>
          <w:rFonts w:ascii="Tahoma" w:hAnsi="Tahoma" w:cs="Tahoma"/>
          <w:sz w:val="24"/>
          <w:szCs w:val="24"/>
        </w:rPr>
        <w:t xml:space="preserve">I will consider the preliminary </w:t>
      </w:r>
      <w:proofErr w:type="gramStart"/>
      <w:r>
        <w:rPr>
          <w:rFonts w:ascii="Tahoma" w:hAnsi="Tahoma" w:cs="Tahoma"/>
          <w:sz w:val="24"/>
          <w:szCs w:val="24"/>
        </w:rPr>
        <w:t>points</w:t>
      </w:r>
      <w:proofErr w:type="gramEnd"/>
      <w:r>
        <w:rPr>
          <w:rFonts w:ascii="Tahoma" w:hAnsi="Tahoma" w:cs="Tahoma"/>
          <w:sz w:val="24"/>
          <w:szCs w:val="24"/>
        </w:rPr>
        <w:t xml:space="preserve"> one after the other.</w:t>
      </w:r>
    </w:p>
    <w:p w:rsidR="007010FA" w:rsidRDefault="007010FA" w:rsidP="00872006">
      <w:pPr>
        <w:spacing w:after="0" w:line="360" w:lineRule="auto"/>
        <w:jc w:val="both"/>
        <w:rPr>
          <w:rFonts w:ascii="Tahoma" w:hAnsi="Tahoma" w:cs="Tahoma"/>
          <w:sz w:val="24"/>
          <w:szCs w:val="24"/>
        </w:rPr>
      </w:pPr>
    </w:p>
    <w:p w:rsidR="007010FA" w:rsidRPr="007010FA" w:rsidRDefault="007010FA" w:rsidP="00872006">
      <w:pPr>
        <w:spacing w:after="0" w:line="360" w:lineRule="auto"/>
        <w:jc w:val="both"/>
        <w:rPr>
          <w:rFonts w:ascii="Tahoma" w:hAnsi="Tahoma" w:cs="Tahoma"/>
          <w:sz w:val="24"/>
          <w:szCs w:val="24"/>
          <w:u w:val="single"/>
        </w:rPr>
      </w:pPr>
      <w:r w:rsidRPr="007010FA">
        <w:rPr>
          <w:rFonts w:ascii="Tahoma" w:hAnsi="Tahoma" w:cs="Tahoma"/>
          <w:sz w:val="24"/>
          <w:szCs w:val="24"/>
          <w:u w:val="single"/>
        </w:rPr>
        <w:t xml:space="preserve">Application was served 11 days after being lodged with the Registrar instead of 5 </w:t>
      </w:r>
      <w:r w:rsidR="004555FB">
        <w:rPr>
          <w:rFonts w:ascii="Tahoma" w:hAnsi="Tahoma" w:cs="Tahoma"/>
          <w:sz w:val="24"/>
          <w:szCs w:val="24"/>
          <w:u w:val="single"/>
        </w:rPr>
        <w:t xml:space="preserve">days </w:t>
      </w:r>
      <w:r w:rsidRPr="007010FA">
        <w:rPr>
          <w:rFonts w:ascii="Tahoma" w:hAnsi="Tahoma" w:cs="Tahoma"/>
          <w:sz w:val="24"/>
          <w:szCs w:val="24"/>
          <w:u w:val="single"/>
        </w:rPr>
        <w:t>as required by the Rules</w:t>
      </w:r>
    </w:p>
    <w:p w:rsidR="007010FA" w:rsidRDefault="007010FA" w:rsidP="00872006">
      <w:pPr>
        <w:spacing w:after="0" w:line="360" w:lineRule="auto"/>
        <w:jc w:val="both"/>
        <w:rPr>
          <w:rFonts w:ascii="Tahoma" w:hAnsi="Tahoma" w:cs="Tahoma"/>
          <w:sz w:val="24"/>
          <w:szCs w:val="24"/>
        </w:rPr>
      </w:pPr>
    </w:p>
    <w:p w:rsidR="007010FA" w:rsidRDefault="007010FA" w:rsidP="00872006">
      <w:pPr>
        <w:spacing w:after="0" w:line="360" w:lineRule="auto"/>
        <w:jc w:val="both"/>
        <w:rPr>
          <w:rFonts w:ascii="Tahoma" w:hAnsi="Tahoma" w:cs="Tahoma"/>
          <w:sz w:val="24"/>
          <w:szCs w:val="24"/>
        </w:rPr>
      </w:pPr>
      <w:r>
        <w:rPr>
          <w:rFonts w:ascii="Tahoma" w:hAnsi="Tahoma" w:cs="Tahoma"/>
          <w:sz w:val="24"/>
          <w:szCs w:val="24"/>
        </w:rPr>
        <w:tab/>
        <w:t>The applicant admits that</w:t>
      </w:r>
      <w:r w:rsidR="00411FEA">
        <w:rPr>
          <w:rFonts w:ascii="Tahoma" w:hAnsi="Tahoma" w:cs="Tahoma"/>
          <w:sz w:val="24"/>
          <w:szCs w:val="24"/>
        </w:rPr>
        <w:t xml:space="preserve"> it served the application outside the required 5 days. It however made an oral application for condonation. The reason given for the delay was that they were failing to locate the 1</w:t>
      </w:r>
      <w:r w:rsidR="00411FEA" w:rsidRPr="00411FEA">
        <w:rPr>
          <w:rFonts w:ascii="Tahoma" w:hAnsi="Tahoma" w:cs="Tahoma"/>
          <w:sz w:val="24"/>
          <w:szCs w:val="24"/>
          <w:vertAlign w:val="superscript"/>
        </w:rPr>
        <w:t>st</w:t>
      </w:r>
      <w:r w:rsidR="00411FEA">
        <w:rPr>
          <w:rFonts w:ascii="Tahoma" w:hAnsi="Tahoma" w:cs="Tahoma"/>
          <w:sz w:val="24"/>
          <w:szCs w:val="24"/>
        </w:rPr>
        <w:t xml:space="preserve"> respondent’s residential address. They also submitted that the delay was not inordinate and that the 1</w:t>
      </w:r>
      <w:r w:rsidR="00411FEA" w:rsidRPr="00411FEA">
        <w:rPr>
          <w:rFonts w:ascii="Tahoma" w:hAnsi="Tahoma" w:cs="Tahoma"/>
          <w:sz w:val="24"/>
          <w:szCs w:val="24"/>
          <w:vertAlign w:val="superscript"/>
        </w:rPr>
        <w:t>st</w:t>
      </w:r>
      <w:r w:rsidR="00411FEA">
        <w:rPr>
          <w:rFonts w:ascii="Tahoma" w:hAnsi="Tahoma" w:cs="Tahoma"/>
          <w:sz w:val="24"/>
          <w:szCs w:val="24"/>
        </w:rPr>
        <w:t xml:space="preserve"> respondent suffered no prejudice. They also argue that they have good prospects of success on the merits.</w:t>
      </w:r>
    </w:p>
    <w:p w:rsidR="004153EA" w:rsidRDefault="004153EA" w:rsidP="00872006">
      <w:pPr>
        <w:spacing w:after="0" w:line="360" w:lineRule="auto"/>
        <w:jc w:val="both"/>
        <w:rPr>
          <w:rFonts w:ascii="Tahoma" w:hAnsi="Tahoma" w:cs="Tahoma"/>
          <w:sz w:val="24"/>
          <w:szCs w:val="24"/>
        </w:rPr>
      </w:pPr>
    </w:p>
    <w:p w:rsidR="004153EA" w:rsidRDefault="004153EA" w:rsidP="00872006">
      <w:pPr>
        <w:spacing w:after="0" w:line="360" w:lineRule="auto"/>
        <w:jc w:val="both"/>
        <w:rPr>
          <w:rFonts w:ascii="Tahoma" w:hAnsi="Tahoma" w:cs="Tahoma"/>
          <w:sz w:val="24"/>
          <w:szCs w:val="24"/>
        </w:rPr>
      </w:pPr>
      <w:r>
        <w:rPr>
          <w:rFonts w:ascii="Tahoma" w:hAnsi="Tahoma" w:cs="Tahoma"/>
          <w:sz w:val="24"/>
          <w:szCs w:val="24"/>
        </w:rPr>
        <w:tab/>
        <w:t>The court considered that the delay was not inordinate, the explanation for the delay is reasonable and there really was no prejudice suffered by the 1</w:t>
      </w:r>
      <w:r w:rsidRPr="004153EA">
        <w:rPr>
          <w:rFonts w:ascii="Tahoma" w:hAnsi="Tahoma" w:cs="Tahoma"/>
          <w:sz w:val="24"/>
          <w:szCs w:val="24"/>
          <w:vertAlign w:val="superscript"/>
        </w:rPr>
        <w:t>st</w:t>
      </w:r>
      <w:r>
        <w:rPr>
          <w:rFonts w:ascii="Tahoma" w:hAnsi="Tahoma" w:cs="Tahoma"/>
          <w:sz w:val="24"/>
          <w:szCs w:val="24"/>
        </w:rPr>
        <w:t xml:space="preserve"> respondent. The case of </w:t>
      </w:r>
      <w:proofErr w:type="spellStart"/>
      <w:r w:rsidRPr="004153EA">
        <w:rPr>
          <w:rFonts w:ascii="Tahoma" w:hAnsi="Tahoma" w:cs="Tahoma"/>
          <w:i/>
        </w:rPr>
        <w:t>Tichawana</w:t>
      </w:r>
      <w:proofErr w:type="spellEnd"/>
      <w:r w:rsidRPr="004153EA">
        <w:rPr>
          <w:rFonts w:ascii="Tahoma" w:hAnsi="Tahoma" w:cs="Tahoma"/>
          <w:i/>
        </w:rPr>
        <w:t xml:space="preserve"> </w:t>
      </w:r>
      <w:proofErr w:type="spellStart"/>
      <w:r w:rsidRPr="004153EA">
        <w:rPr>
          <w:rFonts w:ascii="Tahoma" w:hAnsi="Tahoma" w:cs="Tahoma"/>
          <w:i/>
        </w:rPr>
        <w:t>Nyahuna</w:t>
      </w:r>
      <w:proofErr w:type="spellEnd"/>
      <w:r w:rsidRPr="004153EA">
        <w:rPr>
          <w:rFonts w:ascii="Tahoma" w:hAnsi="Tahoma" w:cs="Tahoma"/>
          <w:i/>
        </w:rPr>
        <w:t xml:space="preserve"> v Barclays Bank</w:t>
      </w:r>
      <w:r>
        <w:rPr>
          <w:rFonts w:ascii="Tahoma" w:hAnsi="Tahoma" w:cs="Tahoma"/>
          <w:sz w:val="24"/>
          <w:szCs w:val="24"/>
        </w:rPr>
        <w:t xml:space="preserve"> </w:t>
      </w:r>
      <w:r w:rsidR="00B13D26">
        <w:rPr>
          <w:rFonts w:ascii="Tahoma" w:hAnsi="Tahoma" w:cs="Tahoma"/>
          <w:sz w:val="24"/>
          <w:szCs w:val="24"/>
        </w:rPr>
        <w:t xml:space="preserve">SC 67/05 </w:t>
      </w:r>
      <w:r>
        <w:rPr>
          <w:rFonts w:ascii="Tahoma" w:hAnsi="Tahoma" w:cs="Tahoma"/>
          <w:sz w:val="24"/>
          <w:szCs w:val="24"/>
        </w:rPr>
        <w:t xml:space="preserve">states that it is not every irregularity that vitiates proceedings the </w:t>
      </w:r>
      <w:proofErr w:type="spellStart"/>
      <w:r>
        <w:rPr>
          <w:rFonts w:ascii="Tahoma" w:hAnsi="Tahoma" w:cs="Tahoma"/>
          <w:sz w:val="24"/>
          <w:szCs w:val="24"/>
        </w:rPr>
        <w:t>otherside</w:t>
      </w:r>
      <w:proofErr w:type="spellEnd"/>
      <w:r>
        <w:rPr>
          <w:rFonts w:ascii="Tahoma" w:hAnsi="Tahoma" w:cs="Tahoma"/>
          <w:sz w:val="24"/>
          <w:szCs w:val="24"/>
        </w:rPr>
        <w:t xml:space="preserve"> must show that they have suffered </w:t>
      </w:r>
      <w:r>
        <w:rPr>
          <w:rFonts w:ascii="Tahoma" w:hAnsi="Tahoma" w:cs="Tahoma"/>
          <w:sz w:val="24"/>
          <w:szCs w:val="24"/>
        </w:rPr>
        <w:lastRenderedPageBreak/>
        <w:t xml:space="preserve">prejudice. In </w:t>
      </w:r>
      <w:proofErr w:type="spellStart"/>
      <w:r w:rsidRPr="00165B8B">
        <w:rPr>
          <w:rFonts w:ascii="Tahoma" w:hAnsi="Tahoma" w:cs="Tahoma"/>
          <w:i/>
          <w:sz w:val="24"/>
          <w:szCs w:val="24"/>
        </w:rPr>
        <w:t>casu</w:t>
      </w:r>
      <w:proofErr w:type="spellEnd"/>
      <w:r>
        <w:rPr>
          <w:rFonts w:ascii="Tahoma" w:hAnsi="Tahoma" w:cs="Tahoma"/>
          <w:sz w:val="24"/>
          <w:szCs w:val="24"/>
        </w:rPr>
        <w:t>, the 1</w:t>
      </w:r>
      <w:r w:rsidRPr="004153EA">
        <w:rPr>
          <w:rFonts w:ascii="Tahoma" w:hAnsi="Tahoma" w:cs="Tahoma"/>
          <w:sz w:val="24"/>
          <w:szCs w:val="24"/>
          <w:vertAlign w:val="superscript"/>
        </w:rPr>
        <w:t>st</w:t>
      </w:r>
      <w:r>
        <w:rPr>
          <w:rFonts w:ascii="Tahoma" w:hAnsi="Tahoma" w:cs="Tahoma"/>
          <w:sz w:val="24"/>
          <w:szCs w:val="24"/>
        </w:rPr>
        <w:t xml:space="preserve"> Respondent has not been able to show</w:t>
      </w:r>
      <w:r w:rsidR="00165B8B">
        <w:rPr>
          <w:rFonts w:ascii="Tahoma" w:hAnsi="Tahoma" w:cs="Tahoma"/>
          <w:sz w:val="24"/>
          <w:szCs w:val="24"/>
        </w:rPr>
        <w:t xml:space="preserve"> that it suffere</w:t>
      </w:r>
      <w:r w:rsidR="00B13D26">
        <w:rPr>
          <w:rFonts w:ascii="Tahoma" w:hAnsi="Tahoma" w:cs="Tahoma"/>
          <w:sz w:val="24"/>
          <w:szCs w:val="24"/>
        </w:rPr>
        <w:t>d any prejudice. The interests o</w:t>
      </w:r>
      <w:r w:rsidR="00165B8B">
        <w:rPr>
          <w:rFonts w:ascii="Tahoma" w:hAnsi="Tahoma" w:cs="Tahoma"/>
          <w:sz w:val="24"/>
          <w:szCs w:val="24"/>
        </w:rPr>
        <w:t xml:space="preserve">f justice will be best served by </w:t>
      </w:r>
      <w:r w:rsidR="00E04DF4">
        <w:rPr>
          <w:rFonts w:ascii="Tahoma" w:hAnsi="Tahoma" w:cs="Tahoma"/>
          <w:sz w:val="24"/>
          <w:szCs w:val="24"/>
        </w:rPr>
        <w:t>the condonation of</w:t>
      </w:r>
      <w:r w:rsidR="00B13D26">
        <w:rPr>
          <w:rFonts w:ascii="Tahoma" w:hAnsi="Tahoma" w:cs="Tahoma"/>
          <w:sz w:val="24"/>
          <w:szCs w:val="24"/>
        </w:rPr>
        <w:t xml:space="preserve"> the</w:t>
      </w:r>
      <w:r w:rsidR="00165B8B">
        <w:rPr>
          <w:rFonts w:ascii="Tahoma" w:hAnsi="Tahoma" w:cs="Tahoma"/>
          <w:sz w:val="24"/>
          <w:szCs w:val="24"/>
        </w:rPr>
        <w:t xml:space="preserve"> late service. The application for condonation is accordingly granted.</w:t>
      </w:r>
    </w:p>
    <w:p w:rsidR="00847645" w:rsidRDefault="00847645" w:rsidP="00872006">
      <w:pPr>
        <w:spacing w:after="0" w:line="360" w:lineRule="auto"/>
        <w:jc w:val="both"/>
        <w:rPr>
          <w:rFonts w:ascii="Tahoma" w:hAnsi="Tahoma" w:cs="Tahoma"/>
          <w:sz w:val="24"/>
          <w:szCs w:val="24"/>
        </w:rPr>
      </w:pPr>
    </w:p>
    <w:p w:rsidR="00847645" w:rsidRPr="00847645" w:rsidRDefault="00847645" w:rsidP="00872006">
      <w:pPr>
        <w:spacing w:after="0" w:line="360" w:lineRule="auto"/>
        <w:jc w:val="both"/>
        <w:rPr>
          <w:rFonts w:ascii="Tahoma" w:hAnsi="Tahoma" w:cs="Tahoma"/>
          <w:sz w:val="24"/>
          <w:szCs w:val="24"/>
          <w:u w:val="single"/>
        </w:rPr>
      </w:pPr>
      <w:r w:rsidRPr="00847645">
        <w:rPr>
          <w:rFonts w:ascii="Tahoma" w:hAnsi="Tahoma" w:cs="Tahoma"/>
          <w:sz w:val="24"/>
          <w:szCs w:val="24"/>
          <w:u w:val="single"/>
        </w:rPr>
        <w:t>Application is a nullity since the 1</w:t>
      </w:r>
      <w:r w:rsidRPr="00847645">
        <w:rPr>
          <w:rFonts w:ascii="Tahoma" w:hAnsi="Tahoma" w:cs="Tahoma"/>
          <w:sz w:val="24"/>
          <w:szCs w:val="24"/>
          <w:u w:val="single"/>
          <w:vertAlign w:val="superscript"/>
        </w:rPr>
        <w:t>st</w:t>
      </w:r>
      <w:r w:rsidRPr="00847645">
        <w:rPr>
          <w:rFonts w:ascii="Tahoma" w:hAnsi="Tahoma" w:cs="Tahoma"/>
          <w:sz w:val="24"/>
          <w:szCs w:val="24"/>
          <w:u w:val="single"/>
        </w:rPr>
        <w:t xml:space="preserve"> respondent was not served with the appeals committee’s determination</w:t>
      </w:r>
    </w:p>
    <w:p w:rsidR="00847645" w:rsidRDefault="00847645" w:rsidP="00872006">
      <w:pPr>
        <w:spacing w:after="0" w:line="360" w:lineRule="auto"/>
        <w:jc w:val="both"/>
        <w:rPr>
          <w:rFonts w:ascii="Tahoma" w:hAnsi="Tahoma" w:cs="Tahoma"/>
          <w:sz w:val="24"/>
          <w:szCs w:val="24"/>
        </w:rPr>
      </w:pPr>
    </w:p>
    <w:p w:rsidR="00847645" w:rsidRDefault="00847645" w:rsidP="00872006">
      <w:pPr>
        <w:spacing w:after="0" w:line="360" w:lineRule="auto"/>
        <w:jc w:val="both"/>
        <w:rPr>
          <w:rFonts w:ascii="Tahoma" w:hAnsi="Tahoma" w:cs="Tahoma"/>
          <w:sz w:val="24"/>
          <w:szCs w:val="24"/>
        </w:rPr>
      </w:pPr>
      <w:r>
        <w:rPr>
          <w:rFonts w:ascii="Tahoma" w:hAnsi="Tahoma" w:cs="Tahoma"/>
          <w:sz w:val="24"/>
          <w:szCs w:val="24"/>
        </w:rPr>
        <w:tab/>
        <w:t>This preliminary point was not persisted with in argument and the court is of the view that the 1</w:t>
      </w:r>
      <w:r w:rsidRPr="00847645">
        <w:rPr>
          <w:rFonts w:ascii="Tahoma" w:hAnsi="Tahoma" w:cs="Tahoma"/>
          <w:sz w:val="24"/>
          <w:szCs w:val="24"/>
          <w:vertAlign w:val="superscript"/>
        </w:rPr>
        <w:t>st</w:t>
      </w:r>
      <w:r>
        <w:rPr>
          <w:rFonts w:ascii="Tahoma" w:hAnsi="Tahoma" w:cs="Tahoma"/>
          <w:sz w:val="24"/>
          <w:szCs w:val="24"/>
        </w:rPr>
        <w:t xml:space="preserve"> respondent abandoned it.</w:t>
      </w:r>
    </w:p>
    <w:p w:rsidR="00847645" w:rsidRDefault="00847645" w:rsidP="00872006">
      <w:pPr>
        <w:spacing w:after="0" w:line="360" w:lineRule="auto"/>
        <w:jc w:val="both"/>
        <w:rPr>
          <w:rFonts w:ascii="Tahoma" w:hAnsi="Tahoma" w:cs="Tahoma"/>
          <w:sz w:val="24"/>
          <w:szCs w:val="24"/>
        </w:rPr>
      </w:pPr>
    </w:p>
    <w:p w:rsidR="00847645" w:rsidRPr="00847645" w:rsidRDefault="00847645" w:rsidP="00872006">
      <w:pPr>
        <w:spacing w:after="0" w:line="360" w:lineRule="auto"/>
        <w:jc w:val="both"/>
        <w:rPr>
          <w:rFonts w:ascii="Tahoma" w:hAnsi="Tahoma" w:cs="Tahoma"/>
          <w:sz w:val="24"/>
          <w:szCs w:val="24"/>
          <w:u w:val="single"/>
        </w:rPr>
      </w:pPr>
      <w:r w:rsidRPr="00847645">
        <w:rPr>
          <w:rFonts w:ascii="Tahoma" w:hAnsi="Tahoma" w:cs="Tahoma"/>
          <w:sz w:val="24"/>
          <w:szCs w:val="24"/>
          <w:u w:val="single"/>
        </w:rPr>
        <w:t xml:space="preserve">The applicant is suing a non </w:t>
      </w:r>
      <w:proofErr w:type="spellStart"/>
      <w:r w:rsidRPr="00847645">
        <w:rPr>
          <w:rFonts w:ascii="Tahoma" w:hAnsi="Tahoma" w:cs="Tahoma"/>
          <w:sz w:val="24"/>
          <w:szCs w:val="24"/>
          <w:u w:val="single"/>
        </w:rPr>
        <w:t>existant</w:t>
      </w:r>
      <w:proofErr w:type="spellEnd"/>
      <w:r w:rsidRPr="00847645">
        <w:rPr>
          <w:rFonts w:ascii="Tahoma" w:hAnsi="Tahoma" w:cs="Tahoma"/>
          <w:sz w:val="24"/>
          <w:szCs w:val="24"/>
          <w:u w:val="single"/>
        </w:rPr>
        <w:t xml:space="preserve"> party</w:t>
      </w:r>
    </w:p>
    <w:p w:rsidR="00847645" w:rsidRDefault="00847645" w:rsidP="00872006">
      <w:pPr>
        <w:spacing w:after="0" w:line="360" w:lineRule="auto"/>
        <w:jc w:val="both"/>
        <w:rPr>
          <w:rFonts w:ascii="Tahoma" w:hAnsi="Tahoma" w:cs="Tahoma"/>
          <w:sz w:val="24"/>
          <w:szCs w:val="24"/>
        </w:rPr>
      </w:pPr>
    </w:p>
    <w:p w:rsidR="00847645" w:rsidRDefault="00847645" w:rsidP="00872006">
      <w:pPr>
        <w:spacing w:after="0" w:line="360" w:lineRule="auto"/>
        <w:jc w:val="both"/>
        <w:rPr>
          <w:rFonts w:ascii="Tahoma" w:hAnsi="Tahoma" w:cs="Tahoma"/>
          <w:sz w:val="24"/>
          <w:szCs w:val="24"/>
        </w:rPr>
      </w:pPr>
      <w:r>
        <w:rPr>
          <w:rFonts w:ascii="Tahoma" w:hAnsi="Tahoma" w:cs="Tahoma"/>
          <w:sz w:val="24"/>
          <w:szCs w:val="24"/>
        </w:rPr>
        <w:t>It has been argued that the 2</w:t>
      </w:r>
      <w:r w:rsidRPr="00847645">
        <w:rPr>
          <w:rFonts w:ascii="Tahoma" w:hAnsi="Tahoma" w:cs="Tahoma"/>
          <w:sz w:val="24"/>
          <w:szCs w:val="24"/>
          <w:vertAlign w:val="superscript"/>
        </w:rPr>
        <w:t>nd</w:t>
      </w:r>
      <w:r>
        <w:rPr>
          <w:rFonts w:ascii="Tahoma" w:hAnsi="Tahoma" w:cs="Tahoma"/>
          <w:sz w:val="24"/>
          <w:szCs w:val="24"/>
        </w:rPr>
        <w:t xml:space="preserve"> respondent is neither a natural person nor a juristic person. It has no capacity to sue or be sued.</w:t>
      </w:r>
    </w:p>
    <w:p w:rsidR="005A046F" w:rsidRDefault="005A046F" w:rsidP="00872006">
      <w:pPr>
        <w:spacing w:after="0" w:line="360" w:lineRule="auto"/>
        <w:jc w:val="both"/>
        <w:rPr>
          <w:rFonts w:ascii="Tahoma" w:hAnsi="Tahoma" w:cs="Tahoma"/>
          <w:sz w:val="24"/>
          <w:szCs w:val="24"/>
        </w:rPr>
      </w:pPr>
    </w:p>
    <w:p w:rsidR="005A046F" w:rsidRDefault="005A046F" w:rsidP="00872006">
      <w:pPr>
        <w:spacing w:after="0" w:line="360" w:lineRule="auto"/>
        <w:jc w:val="both"/>
        <w:rPr>
          <w:rFonts w:ascii="Tahoma" w:hAnsi="Tahoma" w:cs="Tahoma"/>
          <w:sz w:val="24"/>
          <w:szCs w:val="24"/>
        </w:rPr>
      </w:pPr>
      <w:r>
        <w:rPr>
          <w:rFonts w:ascii="Tahoma" w:hAnsi="Tahoma" w:cs="Tahoma"/>
          <w:sz w:val="24"/>
          <w:szCs w:val="24"/>
        </w:rPr>
        <w:tab/>
        <w:t>The applicant submitted in response that this is a technical issue that should not defeat the application. The applicant argued that not only is the point raised</w:t>
      </w:r>
      <w:r w:rsidR="007159B8">
        <w:rPr>
          <w:rFonts w:ascii="Tahoma" w:hAnsi="Tahoma" w:cs="Tahoma"/>
          <w:sz w:val="24"/>
          <w:szCs w:val="24"/>
        </w:rPr>
        <w:t xml:space="preserve"> technical, it is also academic and should</w:t>
      </w:r>
      <w:r w:rsidR="00875FAC">
        <w:rPr>
          <w:rFonts w:ascii="Tahoma" w:hAnsi="Tahoma" w:cs="Tahoma"/>
          <w:sz w:val="24"/>
          <w:szCs w:val="24"/>
        </w:rPr>
        <w:t xml:space="preserve"> not defeat the application. The matter should be disposed of on the basis of its merit reliance for this proposition was placed on the case of </w:t>
      </w:r>
      <w:r w:rsidR="00875FAC" w:rsidRPr="00875FAC">
        <w:rPr>
          <w:rFonts w:ascii="Tahoma" w:hAnsi="Tahoma" w:cs="Tahoma"/>
          <w:i/>
        </w:rPr>
        <w:t>POSB Workers Committee v POSB</w:t>
      </w:r>
      <w:r w:rsidR="00875FAC">
        <w:rPr>
          <w:rFonts w:ascii="Tahoma" w:hAnsi="Tahoma" w:cs="Tahoma"/>
          <w:sz w:val="24"/>
          <w:szCs w:val="24"/>
        </w:rPr>
        <w:t xml:space="preserve"> LC/H/16/12.</w:t>
      </w:r>
    </w:p>
    <w:p w:rsidR="00875FAC" w:rsidRDefault="00875FAC" w:rsidP="00872006">
      <w:pPr>
        <w:spacing w:after="0" w:line="360" w:lineRule="auto"/>
        <w:jc w:val="both"/>
        <w:rPr>
          <w:rFonts w:ascii="Tahoma" w:hAnsi="Tahoma" w:cs="Tahoma"/>
          <w:sz w:val="24"/>
          <w:szCs w:val="24"/>
        </w:rPr>
      </w:pPr>
    </w:p>
    <w:p w:rsidR="00875FAC" w:rsidRDefault="00875FAC" w:rsidP="00872006">
      <w:pPr>
        <w:spacing w:after="0" w:line="360" w:lineRule="auto"/>
        <w:jc w:val="both"/>
        <w:rPr>
          <w:rFonts w:ascii="Tahoma" w:hAnsi="Tahoma" w:cs="Tahoma"/>
          <w:sz w:val="24"/>
          <w:szCs w:val="24"/>
        </w:rPr>
      </w:pPr>
      <w:r>
        <w:rPr>
          <w:rFonts w:ascii="Tahoma" w:hAnsi="Tahoma" w:cs="Tahoma"/>
          <w:sz w:val="24"/>
          <w:szCs w:val="24"/>
        </w:rPr>
        <w:tab/>
        <w:t>It was further submitted that the 2</w:t>
      </w:r>
      <w:r w:rsidRPr="00875FAC">
        <w:rPr>
          <w:rFonts w:ascii="Tahoma" w:hAnsi="Tahoma" w:cs="Tahoma"/>
          <w:sz w:val="24"/>
          <w:szCs w:val="24"/>
          <w:vertAlign w:val="superscript"/>
        </w:rPr>
        <w:t>nd</w:t>
      </w:r>
      <w:r>
        <w:rPr>
          <w:rFonts w:ascii="Tahoma" w:hAnsi="Tahoma" w:cs="Tahoma"/>
          <w:sz w:val="24"/>
          <w:szCs w:val="24"/>
        </w:rPr>
        <w:t xml:space="preserve"> respondent is an independent and impartial body whose decisions and proceedings can be challenged by either of the parties.</w:t>
      </w:r>
    </w:p>
    <w:p w:rsidR="00875FAC" w:rsidRDefault="00875FAC" w:rsidP="00872006">
      <w:pPr>
        <w:spacing w:after="0" w:line="360" w:lineRule="auto"/>
        <w:jc w:val="both"/>
        <w:rPr>
          <w:rFonts w:ascii="Tahoma" w:hAnsi="Tahoma" w:cs="Tahoma"/>
          <w:sz w:val="24"/>
          <w:szCs w:val="24"/>
        </w:rPr>
      </w:pPr>
    </w:p>
    <w:p w:rsidR="00875FAC" w:rsidRDefault="00875FAC" w:rsidP="00872006">
      <w:pPr>
        <w:spacing w:after="0" w:line="360" w:lineRule="auto"/>
        <w:jc w:val="both"/>
        <w:rPr>
          <w:rFonts w:ascii="Tahoma" w:hAnsi="Tahoma" w:cs="Tahoma"/>
          <w:sz w:val="24"/>
          <w:szCs w:val="24"/>
        </w:rPr>
      </w:pPr>
      <w:r>
        <w:rPr>
          <w:rFonts w:ascii="Tahoma" w:hAnsi="Tahoma" w:cs="Tahoma"/>
          <w:sz w:val="24"/>
          <w:szCs w:val="24"/>
        </w:rPr>
        <w:tab/>
        <w:t>The applicant</w:t>
      </w:r>
      <w:r w:rsidR="00B13D26">
        <w:rPr>
          <w:rFonts w:ascii="Tahoma" w:hAnsi="Tahoma" w:cs="Tahoma"/>
          <w:sz w:val="24"/>
          <w:szCs w:val="24"/>
        </w:rPr>
        <w:t>,</w:t>
      </w:r>
      <w:r>
        <w:rPr>
          <w:rFonts w:ascii="Tahoma" w:hAnsi="Tahoma" w:cs="Tahoma"/>
          <w:sz w:val="24"/>
          <w:szCs w:val="24"/>
        </w:rPr>
        <w:t xml:space="preserve"> I think misses the point raised in this preliminary point. The challenge is not that the 2</w:t>
      </w:r>
      <w:r w:rsidRPr="00875FAC">
        <w:rPr>
          <w:rFonts w:ascii="Tahoma" w:hAnsi="Tahoma" w:cs="Tahoma"/>
          <w:sz w:val="24"/>
          <w:szCs w:val="24"/>
          <w:vertAlign w:val="superscript"/>
        </w:rPr>
        <w:t>nd</w:t>
      </w:r>
      <w:r>
        <w:rPr>
          <w:rFonts w:ascii="Tahoma" w:hAnsi="Tahoma" w:cs="Tahoma"/>
          <w:sz w:val="24"/>
          <w:szCs w:val="24"/>
        </w:rPr>
        <w:t xml:space="preserve"> respondent is not an independent body </w:t>
      </w:r>
      <w:proofErr w:type="gramStart"/>
      <w:r>
        <w:rPr>
          <w:rFonts w:ascii="Tahoma" w:hAnsi="Tahoma" w:cs="Tahoma"/>
          <w:sz w:val="24"/>
          <w:szCs w:val="24"/>
        </w:rPr>
        <w:t>nor</w:t>
      </w:r>
      <w:proofErr w:type="gramEnd"/>
      <w:r>
        <w:rPr>
          <w:rFonts w:ascii="Tahoma" w:hAnsi="Tahoma" w:cs="Tahoma"/>
          <w:sz w:val="24"/>
          <w:szCs w:val="24"/>
        </w:rPr>
        <w:t xml:space="preserve"> that it is not an impartial body.</w:t>
      </w:r>
    </w:p>
    <w:p w:rsidR="009F6D69" w:rsidRDefault="009F6D69" w:rsidP="00872006">
      <w:pPr>
        <w:spacing w:after="0" w:line="360" w:lineRule="auto"/>
        <w:jc w:val="both"/>
        <w:rPr>
          <w:rFonts w:ascii="Tahoma" w:hAnsi="Tahoma" w:cs="Tahoma"/>
          <w:sz w:val="24"/>
          <w:szCs w:val="24"/>
        </w:rPr>
      </w:pPr>
    </w:p>
    <w:p w:rsidR="009F6D69" w:rsidRDefault="009F6D69" w:rsidP="00872006">
      <w:pPr>
        <w:spacing w:after="0" w:line="360" w:lineRule="auto"/>
        <w:jc w:val="both"/>
        <w:rPr>
          <w:rFonts w:ascii="Tahoma" w:hAnsi="Tahoma" w:cs="Tahoma"/>
          <w:sz w:val="24"/>
          <w:szCs w:val="24"/>
        </w:rPr>
      </w:pPr>
      <w:r>
        <w:rPr>
          <w:rFonts w:ascii="Tahoma" w:hAnsi="Tahoma" w:cs="Tahoma"/>
          <w:sz w:val="24"/>
          <w:szCs w:val="24"/>
        </w:rPr>
        <w:lastRenderedPageBreak/>
        <w:tab/>
        <w:t xml:space="preserve">The challenge is that it has no capacity to sue or be </w:t>
      </w:r>
      <w:proofErr w:type="gramStart"/>
      <w:r>
        <w:rPr>
          <w:rFonts w:ascii="Tahoma" w:hAnsi="Tahoma" w:cs="Tahoma"/>
          <w:sz w:val="24"/>
          <w:szCs w:val="24"/>
        </w:rPr>
        <w:t>sued,</w:t>
      </w:r>
      <w:proofErr w:type="gramEnd"/>
      <w:r>
        <w:rPr>
          <w:rFonts w:ascii="Tahoma" w:hAnsi="Tahoma" w:cs="Tahoma"/>
          <w:sz w:val="24"/>
          <w:szCs w:val="24"/>
        </w:rPr>
        <w:t xml:space="preserve"> it is neither a natural person nor a juristic person.</w:t>
      </w:r>
    </w:p>
    <w:p w:rsidR="00D74201" w:rsidRDefault="00D74201" w:rsidP="00872006">
      <w:pPr>
        <w:spacing w:after="0" w:line="360" w:lineRule="auto"/>
        <w:jc w:val="both"/>
        <w:rPr>
          <w:rFonts w:ascii="Tahoma" w:hAnsi="Tahoma" w:cs="Tahoma"/>
          <w:sz w:val="24"/>
          <w:szCs w:val="24"/>
        </w:rPr>
      </w:pPr>
    </w:p>
    <w:p w:rsidR="00D74201" w:rsidRDefault="00D74201" w:rsidP="00872006">
      <w:pPr>
        <w:spacing w:after="0" w:line="360" w:lineRule="auto"/>
        <w:jc w:val="both"/>
        <w:rPr>
          <w:rFonts w:ascii="Tahoma" w:hAnsi="Tahoma" w:cs="Tahoma"/>
          <w:sz w:val="24"/>
          <w:szCs w:val="24"/>
        </w:rPr>
      </w:pPr>
      <w:r>
        <w:rPr>
          <w:rFonts w:ascii="Tahoma" w:hAnsi="Tahoma" w:cs="Tahoma"/>
          <w:sz w:val="24"/>
          <w:szCs w:val="24"/>
        </w:rPr>
        <w:tab/>
        <w:t>The 1</w:t>
      </w:r>
      <w:r w:rsidRPr="00D74201">
        <w:rPr>
          <w:rFonts w:ascii="Tahoma" w:hAnsi="Tahoma" w:cs="Tahoma"/>
          <w:sz w:val="24"/>
          <w:szCs w:val="24"/>
          <w:vertAlign w:val="superscript"/>
        </w:rPr>
        <w:t>st</w:t>
      </w:r>
      <w:r>
        <w:rPr>
          <w:rFonts w:ascii="Tahoma" w:hAnsi="Tahoma" w:cs="Tahoma"/>
          <w:sz w:val="24"/>
          <w:szCs w:val="24"/>
        </w:rPr>
        <w:t xml:space="preserve"> respondent argued further that in the case of </w:t>
      </w:r>
      <w:r w:rsidRPr="00D74201">
        <w:rPr>
          <w:rFonts w:ascii="Tahoma" w:hAnsi="Tahoma" w:cs="Tahoma"/>
          <w:i/>
        </w:rPr>
        <w:t>CT Bolts v Workers</w:t>
      </w:r>
      <w:r>
        <w:rPr>
          <w:rFonts w:ascii="Tahoma" w:hAnsi="Tahoma" w:cs="Tahoma"/>
          <w:sz w:val="24"/>
          <w:szCs w:val="24"/>
        </w:rPr>
        <w:t xml:space="preserve"> </w:t>
      </w:r>
      <w:r w:rsidRPr="00D74201">
        <w:rPr>
          <w:rFonts w:ascii="Tahoma" w:hAnsi="Tahoma" w:cs="Tahoma"/>
          <w:i/>
        </w:rPr>
        <w:t>Committee</w:t>
      </w:r>
      <w:r>
        <w:rPr>
          <w:rFonts w:ascii="Tahoma" w:hAnsi="Tahoma" w:cs="Tahoma"/>
          <w:sz w:val="24"/>
          <w:szCs w:val="24"/>
        </w:rPr>
        <w:t xml:space="preserve"> (SC 91/11). The principle was clearly established by the </w:t>
      </w:r>
      <w:proofErr w:type="spellStart"/>
      <w:r>
        <w:rPr>
          <w:rFonts w:ascii="Tahoma" w:hAnsi="Tahoma" w:cs="Tahoma"/>
          <w:sz w:val="24"/>
          <w:szCs w:val="24"/>
        </w:rPr>
        <w:t>honourable</w:t>
      </w:r>
      <w:proofErr w:type="spellEnd"/>
      <w:r>
        <w:rPr>
          <w:rFonts w:ascii="Tahoma" w:hAnsi="Tahoma" w:cs="Tahoma"/>
          <w:sz w:val="24"/>
          <w:szCs w:val="24"/>
        </w:rPr>
        <w:t xml:space="preserve"> Judge of appeal (as he then was) in the following terms</w:t>
      </w:r>
      <w:r w:rsidR="00475087">
        <w:rPr>
          <w:rFonts w:ascii="Tahoma" w:hAnsi="Tahoma" w:cs="Tahoma"/>
          <w:sz w:val="24"/>
          <w:szCs w:val="24"/>
        </w:rPr>
        <w:t>;</w:t>
      </w:r>
    </w:p>
    <w:p w:rsidR="00475087" w:rsidRDefault="00475087" w:rsidP="00872006">
      <w:pPr>
        <w:spacing w:after="0" w:line="360" w:lineRule="auto"/>
        <w:jc w:val="both"/>
        <w:rPr>
          <w:rFonts w:ascii="Tahoma" w:hAnsi="Tahoma" w:cs="Tahoma"/>
          <w:sz w:val="24"/>
          <w:szCs w:val="24"/>
        </w:rPr>
      </w:pPr>
      <w:r>
        <w:rPr>
          <w:rFonts w:ascii="Tahoma" w:hAnsi="Tahoma" w:cs="Tahoma"/>
          <w:sz w:val="24"/>
          <w:szCs w:val="24"/>
        </w:rPr>
        <w:tab/>
      </w:r>
    </w:p>
    <w:p w:rsidR="00475087" w:rsidRPr="00475087" w:rsidRDefault="00475087" w:rsidP="00475087">
      <w:pPr>
        <w:spacing w:after="0" w:line="360" w:lineRule="auto"/>
        <w:ind w:left="1440"/>
        <w:jc w:val="both"/>
        <w:rPr>
          <w:rFonts w:ascii="Tahoma" w:hAnsi="Tahoma" w:cs="Tahoma"/>
          <w:i/>
        </w:rPr>
      </w:pPr>
      <w:r>
        <w:rPr>
          <w:rFonts w:ascii="Tahoma" w:hAnsi="Tahoma" w:cs="Tahoma"/>
          <w:sz w:val="24"/>
          <w:szCs w:val="24"/>
        </w:rPr>
        <w:t>“</w:t>
      </w:r>
      <w:r w:rsidRPr="00475087">
        <w:rPr>
          <w:rFonts w:ascii="Tahoma" w:hAnsi="Tahoma" w:cs="Tahoma"/>
          <w:i/>
        </w:rPr>
        <w:t>Under the common law, an unincorporated association, not being a legal persona, cannot as a general rule, sue nor be sued in its name apart from the individual members, whose names have to be cited in the summons---</w:t>
      </w:r>
    </w:p>
    <w:p w:rsidR="00475087" w:rsidRPr="00475087" w:rsidRDefault="00475087" w:rsidP="00475087">
      <w:pPr>
        <w:spacing w:after="0" w:line="360" w:lineRule="auto"/>
        <w:ind w:left="1440"/>
        <w:jc w:val="both"/>
        <w:rPr>
          <w:rFonts w:ascii="Tahoma" w:hAnsi="Tahoma" w:cs="Tahoma"/>
          <w:i/>
        </w:rPr>
      </w:pPr>
      <w:r w:rsidRPr="00475087">
        <w:rPr>
          <w:rFonts w:ascii="Tahoma" w:hAnsi="Tahoma" w:cs="Tahoma"/>
          <w:i/>
        </w:rPr>
        <w:t>The respondent, not being a legal persona, is not properly before this court. The proceedings before the Labour Court and prior to that, the arbitrator, were similarly void.”</w:t>
      </w:r>
    </w:p>
    <w:p w:rsidR="00475087" w:rsidRDefault="00475087" w:rsidP="00475087">
      <w:pPr>
        <w:spacing w:after="0" w:line="360" w:lineRule="auto"/>
        <w:jc w:val="both"/>
        <w:rPr>
          <w:rFonts w:ascii="Tahoma" w:hAnsi="Tahoma" w:cs="Tahoma"/>
          <w:sz w:val="24"/>
          <w:szCs w:val="24"/>
        </w:rPr>
      </w:pPr>
    </w:p>
    <w:p w:rsidR="00475087" w:rsidRDefault="00475087" w:rsidP="00475087">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475087">
        <w:rPr>
          <w:rFonts w:ascii="Tahoma" w:hAnsi="Tahoma" w:cs="Tahoma"/>
          <w:i/>
          <w:sz w:val="24"/>
          <w:szCs w:val="24"/>
        </w:rPr>
        <w:t>casu</w:t>
      </w:r>
      <w:proofErr w:type="spellEnd"/>
      <w:r w:rsidRPr="00475087">
        <w:rPr>
          <w:rFonts w:ascii="Tahoma" w:hAnsi="Tahoma" w:cs="Tahoma"/>
          <w:i/>
          <w:sz w:val="24"/>
          <w:szCs w:val="24"/>
        </w:rPr>
        <w:t>,</w:t>
      </w:r>
      <w:r>
        <w:rPr>
          <w:rFonts w:ascii="Tahoma" w:hAnsi="Tahoma" w:cs="Tahoma"/>
          <w:sz w:val="24"/>
          <w:szCs w:val="24"/>
        </w:rPr>
        <w:t xml:space="preserve"> it has not been disputed that the 2</w:t>
      </w:r>
      <w:r w:rsidRPr="00475087">
        <w:rPr>
          <w:rFonts w:ascii="Tahoma" w:hAnsi="Tahoma" w:cs="Tahoma"/>
          <w:sz w:val="24"/>
          <w:szCs w:val="24"/>
          <w:vertAlign w:val="superscript"/>
        </w:rPr>
        <w:t>nd</w:t>
      </w:r>
      <w:r w:rsidR="00E04DF4">
        <w:rPr>
          <w:rFonts w:ascii="Tahoma" w:hAnsi="Tahoma" w:cs="Tahoma"/>
          <w:sz w:val="24"/>
          <w:szCs w:val="24"/>
        </w:rPr>
        <w:t xml:space="preserve"> respondent is neither a natural person nor</w:t>
      </w:r>
      <w:r>
        <w:rPr>
          <w:rFonts w:ascii="Tahoma" w:hAnsi="Tahoma" w:cs="Tahoma"/>
          <w:sz w:val="24"/>
          <w:szCs w:val="24"/>
        </w:rPr>
        <w:t xml:space="preserve"> a legal persona and therefore cannot</w:t>
      </w:r>
      <w:r w:rsidR="00E04DF4">
        <w:rPr>
          <w:rFonts w:ascii="Tahoma" w:hAnsi="Tahoma" w:cs="Tahoma"/>
          <w:sz w:val="24"/>
          <w:szCs w:val="24"/>
        </w:rPr>
        <w:t xml:space="preserve"> sue or be sued.</w:t>
      </w:r>
    </w:p>
    <w:p w:rsidR="00C9349F" w:rsidRDefault="00C9349F" w:rsidP="00475087">
      <w:pPr>
        <w:spacing w:after="0" w:line="360" w:lineRule="auto"/>
        <w:jc w:val="both"/>
        <w:rPr>
          <w:rFonts w:ascii="Tahoma" w:hAnsi="Tahoma" w:cs="Tahoma"/>
          <w:sz w:val="24"/>
          <w:szCs w:val="24"/>
        </w:rPr>
      </w:pPr>
    </w:p>
    <w:p w:rsidR="00C9349F" w:rsidRDefault="00C9349F" w:rsidP="00475087">
      <w:pPr>
        <w:spacing w:after="0" w:line="360" w:lineRule="auto"/>
        <w:jc w:val="both"/>
        <w:rPr>
          <w:rFonts w:ascii="Tahoma" w:hAnsi="Tahoma" w:cs="Tahoma"/>
          <w:sz w:val="24"/>
          <w:szCs w:val="24"/>
        </w:rPr>
      </w:pPr>
      <w:r>
        <w:rPr>
          <w:rFonts w:ascii="Tahoma" w:hAnsi="Tahoma" w:cs="Tahoma"/>
          <w:sz w:val="24"/>
          <w:szCs w:val="24"/>
        </w:rPr>
        <w:tab/>
        <w:t>The only respondent who is properly before the court is the 1</w:t>
      </w:r>
      <w:r w:rsidRPr="00C9349F">
        <w:rPr>
          <w:rFonts w:ascii="Tahoma" w:hAnsi="Tahoma" w:cs="Tahoma"/>
          <w:sz w:val="24"/>
          <w:szCs w:val="24"/>
          <w:vertAlign w:val="superscript"/>
        </w:rPr>
        <w:t>st</w:t>
      </w:r>
      <w:r>
        <w:rPr>
          <w:rFonts w:ascii="Tahoma" w:hAnsi="Tahoma" w:cs="Tahoma"/>
          <w:sz w:val="24"/>
          <w:szCs w:val="24"/>
        </w:rPr>
        <w:t xml:space="preserve"> respondent. The applicant however is seeking relief not against the 1</w:t>
      </w:r>
      <w:r w:rsidRPr="00C9349F">
        <w:rPr>
          <w:rFonts w:ascii="Tahoma" w:hAnsi="Tahoma" w:cs="Tahoma"/>
          <w:sz w:val="24"/>
          <w:szCs w:val="24"/>
          <w:vertAlign w:val="superscript"/>
        </w:rPr>
        <w:t>st</w:t>
      </w:r>
      <w:r>
        <w:rPr>
          <w:rFonts w:ascii="Tahoma" w:hAnsi="Tahoma" w:cs="Tahoma"/>
          <w:sz w:val="24"/>
          <w:szCs w:val="24"/>
        </w:rPr>
        <w:t xml:space="preserve"> respondent but against the 2</w:t>
      </w:r>
      <w:r w:rsidRPr="00C9349F">
        <w:rPr>
          <w:rFonts w:ascii="Tahoma" w:hAnsi="Tahoma" w:cs="Tahoma"/>
          <w:sz w:val="24"/>
          <w:szCs w:val="24"/>
          <w:vertAlign w:val="superscript"/>
        </w:rPr>
        <w:t>nd</w:t>
      </w:r>
      <w:r>
        <w:rPr>
          <w:rFonts w:ascii="Tahoma" w:hAnsi="Tahoma" w:cs="Tahoma"/>
          <w:sz w:val="24"/>
          <w:szCs w:val="24"/>
        </w:rPr>
        <w:t xml:space="preserve"> respondent which cannot sue or be sued. The relief is being sought against a non </w:t>
      </w:r>
      <w:proofErr w:type="spellStart"/>
      <w:r>
        <w:rPr>
          <w:rFonts w:ascii="Tahoma" w:hAnsi="Tahoma" w:cs="Tahoma"/>
          <w:sz w:val="24"/>
          <w:szCs w:val="24"/>
        </w:rPr>
        <w:t>existant</w:t>
      </w:r>
      <w:proofErr w:type="spellEnd"/>
      <w:r>
        <w:rPr>
          <w:rFonts w:ascii="Tahoma" w:hAnsi="Tahoma" w:cs="Tahoma"/>
          <w:sz w:val="24"/>
          <w:szCs w:val="24"/>
        </w:rPr>
        <w:t xml:space="preserve"> party. This</w:t>
      </w:r>
      <w:r w:rsidR="00E04DF4">
        <w:rPr>
          <w:rFonts w:ascii="Tahoma" w:hAnsi="Tahoma" w:cs="Tahoma"/>
          <w:sz w:val="24"/>
          <w:szCs w:val="24"/>
        </w:rPr>
        <w:t>,</w:t>
      </w:r>
      <w:r>
        <w:rPr>
          <w:rFonts w:ascii="Tahoma" w:hAnsi="Tahoma" w:cs="Tahoma"/>
          <w:sz w:val="24"/>
          <w:szCs w:val="24"/>
        </w:rPr>
        <w:t xml:space="preserve"> in my considered v</w:t>
      </w:r>
      <w:r w:rsidR="003D03A5">
        <w:rPr>
          <w:rFonts w:ascii="Tahoma" w:hAnsi="Tahoma" w:cs="Tahoma"/>
          <w:sz w:val="24"/>
          <w:szCs w:val="24"/>
        </w:rPr>
        <w:t>i</w:t>
      </w:r>
      <w:r>
        <w:rPr>
          <w:rFonts w:ascii="Tahoma" w:hAnsi="Tahoma" w:cs="Tahoma"/>
          <w:sz w:val="24"/>
          <w:szCs w:val="24"/>
        </w:rPr>
        <w:t>ew</w:t>
      </w:r>
      <w:r w:rsidR="00E04DF4">
        <w:rPr>
          <w:rFonts w:ascii="Tahoma" w:hAnsi="Tahoma" w:cs="Tahoma"/>
          <w:sz w:val="24"/>
          <w:szCs w:val="24"/>
        </w:rPr>
        <w:t>,</w:t>
      </w:r>
      <w:r>
        <w:rPr>
          <w:rFonts w:ascii="Tahoma" w:hAnsi="Tahoma" w:cs="Tahoma"/>
          <w:sz w:val="24"/>
          <w:szCs w:val="24"/>
        </w:rPr>
        <w:t xml:space="preserve"> makes the application improper. The applicant ought to have sued the members of the 2</w:t>
      </w:r>
      <w:r w:rsidRPr="00C9349F">
        <w:rPr>
          <w:rFonts w:ascii="Tahoma" w:hAnsi="Tahoma" w:cs="Tahoma"/>
          <w:sz w:val="24"/>
          <w:szCs w:val="24"/>
          <w:vertAlign w:val="superscript"/>
        </w:rPr>
        <w:t>nd</w:t>
      </w:r>
      <w:r>
        <w:rPr>
          <w:rFonts w:ascii="Tahoma" w:hAnsi="Tahoma" w:cs="Tahoma"/>
          <w:sz w:val="24"/>
          <w:szCs w:val="24"/>
        </w:rPr>
        <w:t xml:space="preserve"> respondent in their personal capacity as individual members. See the C</w:t>
      </w:r>
      <w:r w:rsidR="00A41627">
        <w:rPr>
          <w:rFonts w:ascii="Tahoma" w:hAnsi="Tahoma" w:cs="Tahoma"/>
          <w:sz w:val="24"/>
          <w:szCs w:val="24"/>
        </w:rPr>
        <w:t xml:space="preserve">T Bolts case supra. Suing a non </w:t>
      </w:r>
      <w:r>
        <w:rPr>
          <w:rFonts w:ascii="Tahoma" w:hAnsi="Tahoma" w:cs="Tahoma"/>
          <w:sz w:val="24"/>
          <w:szCs w:val="24"/>
        </w:rPr>
        <w:t>existant party makes the application fatally defective.</w:t>
      </w:r>
    </w:p>
    <w:p w:rsidR="00C36F03" w:rsidRDefault="00C36F03" w:rsidP="00475087">
      <w:pPr>
        <w:spacing w:after="0" w:line="360" w:lineRule="auto"/>
        <w:jc w:val="both"/>
        <w:rPr>
          <w:rFonts w:ascii="Tahoma" w:hAnsi="Tahoma" w:cs="Tahoma"/>
          <w:sz w:val="24"/>
          <w:szCs w:val="24"/>
        </w:rPr>
      </w:pPr>
    </w:p>
    <w:p w:rsidR="00C36F03" w:rsidRDefault="00C36F03" w:rsidP="00475087">
      <w:pPr>
        <w:spacing w:after="0" w:line="360" w:lineRule="auto"/>
        <w:jc w:val="both"/>
        <w:rPr>
          <w:rFonts w:ascii="Tahoma" w:hAnsi="Tahoma" w:cs="Tahoma"/>
          <w:sz w:val="24"/>
          <w:szCs w:val="24"/>
        </w:rPr>
      </w:pPr>
      <w:r>
        <w:rPr>
          <w:rFonts w:ascii="Tahoma" w:hAnsi="Tahoma" w:cs="Tahoma"/>
          <w:sz w:val="24"/>
          <w:szCs w:val="24"/>
        </w:rPr>
        <w:tab/>
        <w:t>Alleged failure to exhaust domestic remedies and the failure to pray for the setting aside of the proceedings and the 3 outcomes need not be considered now in view of my finding in relation to the 2</w:t>
      </w:r>
      <w:r w:rsidRPr="00C36F03">
        <w:rPr>
          <w:rFonts w:ascii="Tahoma" w:hAnsi="Tahoma" w:cs="Tahoma"/>
          <w:sz w:val="24"/>
          <w:szCs w:val="24"/>
          <w:vertAlign w:val="superscript"/>
        </w:rPr>
        <w:t>nd</w:t>
      </w:r>
      <w:r>
        <w:rPr>
          <w:rFonts w:ascii="Tahoma" w:hAnsi="Tahoma" w:cs="Tahoma"/>
          <w:sz w:val="24"/>
          <w:szCs w:val="24"/>
        </w:rPr>
        <w:t xml:space="preserve"> preliminary point.</w:t>
      </w:r>
    </w:p>
    <w:p w:rsidR="00EA61C8" w:rsidRDefault="00EA61C8" w:rsidP="00475087">
      <w:pPr>
        <w:spacing w:after="0" w:line="360" w:lineRule="auto"/>
        <w:jc w:val="both"/>
        <w:rPr>
          <w:rFonts w:ascii="Tahoma" w:hAnsi="Tahoma" w:cs="Tahoma"/>
          <w:sz w:val="24"/>
          <w:szCs w:val="24"/>
        </w:rPr>
      </w:pPr>
    </w:p>
    <w:p w:rsidR="00C36F03" w:rsidRDefault="00C36F03" w:rsidP="00475087">
      <w:pPr>
        <w:spacing w:after="0" w:line="360" w:lineRule="auto"/>
        <w:jc w:val="both"/>
        <w:rPr>
          <w:rFonts w:ascii="Tahoma" w:hAnsi="Tahoma" w:cs="Tahoma"/>
          <w:sz w:val="24"/>
          <w:szCs w:val="24"/>
        </w:rPr>
      </w:pPr>
    </w:p>
    <w:p w:rsidR="00C36F03" w:rsidRDefault="00C36F03" w:rsidP="00475087">
      <w:pPr>
        <w:spacing w:after="0" w:line="360" w:lineRule="auto"/>
        <w:jc w:val="both"/>
        <w:rPr>
          <w:rFonts w:ascii="Tahoma" w:hAnsi="Tahoma" w:cs="Tahoma"/>
          <w:sz w:val="24"/>
          <w:szCs w:val="24"/>
        </w:rPr>
      </w:pPr>
      <w:r>
        <w:rPr>
          <w:rFonts w:ascii="Tahoma" w:hAnsi="Tahoma" w:cs="Tahoma"/>
          <w:sz w:val="24"/>
          <w:szCs w:val="24"/>
        </w:rPr>
        <w:t>Accordingly</w:t>
      </w:r>
      <w:r w:rsidR="00EA61C8">
        <w:rPr>
          <w:rFonts w:ascii="Tahoma" w:hAnsi="Tahoma" w:cs="Tahoma"/>
          <w:sz w:val="24"/>
          <w:szCs w:val="24"/>
        </w:rPr>
        <w:t>,</w:t>
      </w:r>
      <w:r>
        <w:rPr>
          <w:rFonts w:ascii="Tahoma" w:hAnsi="Tahoma" w:cs="Tahoma"/>
          <w:sz w:val="24"/>
          <w:szCs w:val="24"/>
        </w:rPr>
        <w:t xml:space="preserve"> the preliminary point is upheld and the application is dismissed with costs.</w:t>
      </w:r>
    </w:p>
    <w:p w:rsidR="00CE068A" w:rsidRDefault="00CE068A" w:rsidP="00475087">
      <w:pPr>
        <w:spacing w:after="0" w:line="360" w:lineRule="auto"/>
        <w:jc w:val="both"/>
        <w:rPr>
          <w:rFonts w:ascii="Tahoma" w:hAnsi="Tahoma" w:cs="Tahoma"/>
          <w:sz w:val="24"/>
          <w:szCs w:val="24"/>
        </w:rPr>
      </w:pPr>
    </w:p>
    <w:p w:rsidR="00CE068A" w:rsidRDefault="00CE068A" w:rsidP="00475087">
      <w:pPr>
        <w:spacing w:after="0" w:line="360" w:lineRule="auto"/>
        <w:jc w:val="both"/>
        <w:rPr>
          <w:rFonts w:ascii="Tahoma" w:hAnsi="Tahoma" w:cs="Tahoma"/>
          <w:sz w:val="24"/>
          <w:szCs w:val="24"/>
        </w:rPr>
      </w:pPr>
    </w:p>
    <w:p w:rsidR="00CE068A" w:rsidRDefault="00CE068A" w:rsidP="00475087">
      <w:pPr>
        <w:spacing w:after="0" w:line="360" w:lineRule="auto"/>
        <w:jc w:val="both"/>
        <w:rPr>
          <w:rFonts w:ascii="Tahoma" w:hAnsi="Tahoma" w:cs="Tahoma"/>
          <w:sz w:val="24"/>
          <w:szCs w:val="24"/>
        </w:rPr>
      </w:pPr>
    </w:p>
    <w:p w:rsidR="00CE068A" w:rsidRDefault="00CE068A" w:rsidP="00475087">
      <w:pPr>
        <w:spacing w:after="0" w:line="360" w:lineRule="auto"/>
        <w:jc w:val="both"/>
        <w:rPr>
          <w:rFonts w:ascii="Tahoma" w:hAnsi="Tahoma" w:cs="Tahoma"/>
          <w:sz w:val="24"/>
          <w:szCs w:val="24"/>
        </w:rPr>
      </w:pPr>
    </w:p>
    <w:p w:rsidR="00CE068A" w:rsidRDefault="00CE068A" w:rsidP="00475087">
      <w:pPr>
        <w:spacing w:after="0" w:line="360" w:lineRule="auto"/>
        <w:jc w:val="both"/>
        <w:rPr>
          <w:rFonts w:ascii="Tahoma" w:hAnsi="Tahoma" w:cs="Tahoma"/>
          <w:sz w:val="24"/>
          <w:szCs w:val="24"/>
        </w:rPr>
      </w:pPr>
    </w:p>
    <w:p w:rsidR="00CE068A" w:rsidRDefault="00CE068A" w:rsidP="00475087">
      <w:pPr>
        <w:spacing w:after="0" w:line="360" w:lineRule="auto"/>
        <w:jc w:val="both"/>
        <w:rPr>
          <w:rFonts w:ascii="Tahoma" w:hAnsi="Tahoma" w:cs="Tahoma"/>
          <w:sz w:val="24"/>
          <w:szCs w:val="24"/>
        </w:rPr>
      </w:pPr>
    </w:p>
    <w:p w:rsidR="00CE068A" w:rsidRPr="00CE068A" w:rsidRDefault="00CE068A" w:rsidP="00475087">
      <w:pPr>
        <w:spacing w:after="0" w:line="360" w:lineRule="auto"/>
        <w:jc w:val="both"/>
        <w:rPr>
          <w:rFonts w:ascii="Tahoma" w:hAnsi="Tahoma" w:cs="Tahoma"/>
          <w:b/>
          <w:i/>
          <w:sz w:val="24"/>
          <w:szCs w:val="24"/>
        </w:rPr>
      </w:pPr>
      <w:proofErr w:type="spellStart"/>
      <w:r w:rsidRPr="00CE068A">
        <w:rPr>
          <w:rFonts w:ascii="Tahoma" w:hAnsi="Tahoma" w:cs="Tahoma"/>
          <w:b/>
          <w:i/>
          <w:sz w:val="24"/>
          <w:szCs w:val="24"/>
        </w:rPr>
        <w:t>Kadzere</w:t>
      </w:r>
      <w:proofErr w:type="spellEnd"/>
      <w:r w:rsidRPr="00CE068A">
        <w:rPr>
          <w:rFonts w:ascii="Tahoma" w:hAnsi="Tahoma" w:cs="Tahoma"/>
          <w:b/>
          <w:i/>
          <w:sz w:val="24"/>
          <w:szCs w:val="24"/>
        </w:rPr>
        <w:t xml:space="preserve">, </w:t>
      </w:r>
      <w:proofErr w:type="spellStart"/>
      <w:r w:rsidRPr="00CE068A">
        <w:rPr>
          <w:rFonts w:ascii="Tahoma" w:hAnsi="Tahoma" w:cs="Tahoma"/>
          <w:b/>
          <w:i/>
          <w:sz w:val="24"/>
          <w:szCs w:val="24"/>
        </w:rPr>
        <w:t>Hungwe</w:t>
      </w:r>
      <w:proofErr w:type="spellEnd"/>
      <w:r w:rsidRPr="00CE068A">
        <w:rPr>
          <w:rFonts w:ascii="Tahoma" w:hAnsi="Tahoma" w:cs="Tahoma"/>
          <w:b/>
          <w:i/>
          <w:sz w:val="24"/>
          <w:szCs w:val="24"/>
        </w:rPr>
        <w:t xml:space="preserve"> &amp; </w:t>
      </w:r>
      <w:proofErr w:type="spellStart"/>
      <w:r w:rsidRPr="00CE068A">
        <w:rPr>
          <w:rFonts w:ascii="Tahoma" w:hAnsi="Tahoma" w:cs="Tahoma"/>
          <w:b/>
          <w:i/>
          <w:sz w:val="24"/>
          <w:szCs w:val="24"/>
        </w:rPr>
        <w:t>Mandevere</w:t>
      </w:r>
      <w:proofErr w:type="spellEnd"/>
      <w:r w:rsidRPr="00CE068A">
        <w:rPr>
          <w:rFonts w:ascii="Tahoma" w:hAnsi="Tahoma" w:cs="Tahoma"/>
          <w:b/>
          <w:i/>
          <w:sz w:val="24"/>
          <w:szCs w:val="24"/>
        </w:rPr>
        <w:tab/>
        <w:t xml:space="preserve">- </w:t>
      </w:r>
      <w:r w:rsidRPr="00CE068A">
        <w:rPr>
          <w:rFonts w:ascii="Tahoma" w:hAnsi="Tahoma" w:cs="Tahoma"/>
          <w:b/>
          <w:i/>
          <w:sz w:val="24"/>
          <w:szCs w:val="24"/>
        </w:rPr>
        <w:tab/>
        <w:t>Applicant’s Legal Practitioners</w:t>
      </w:r>
    </w:p>
    <w:sectPr w:rsidR="00CE068A" w:rsidRPr="00CE068A"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05E" w:rsidRDefault="007C505E" w:rsidP="002E1B63">
      <w:pPr>
        <w:spacing w:after="0" w:line="240" w:lineRule="auto"/>
      </w:pPr>
      <w:r>
        <w:separator/>
      </w:r>
    </w:p>
  </w:endnote>
  <w:endnote w:type="continuationSeparator" w:id="0">
    <w:p w:rsidR="007C505E" w:rsidRDefault="007C505E"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05E" w:rsidRDefault="007C505E" w:rsidP="002E1B63">
      <w:pPr>
        <w:spacing w:after="0" w:line="240" w:lineRule="auto"/>
      </w:pPr>
      <w:r>
        <w:separator/>
      </w:r>
    </w:p>
  </w:footnote>
  <w:footnote w:type="continuationSeparator" w:id="0">
    <w:p w:rsidR="007C505E" w:rsidRDefault="007C505E"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92028F" w:rsidRDefault="0092028F">
        <w:pPr>
          <w:pStyle w:val="Header"/>
          <w:jc w:val="right"/>
        </w:pPr>
      </w:p>
      <w:p w:rsidR="0092028F" w:rsidRDefault="0092028F">
        <w:pPr>
          <w:pStyle w:val="Header"/>
          <w:jc w:val="right"/>
          <w:rPr>
            <w:noProof/>
          </w:rPr>
        </w:pPr>
        <w:r>
          <w:fldChar w:fldCharType="begin"/>
        </w:r>
        <w:r>
          <w:instrText xml:space="preserve"> PAGE   \* MERGEFORMAT </w:instrText>
        </w:r>
        <w:r>
          <w:fldChar w:fldCharType="separate"/>
        </w:r>
        <w:r w:rsidR="00A262D8">
          <w:rPr>
            <w:noProof/>
          </w:rPr>
          <w:t>6</w:t>
        </w:r>
        <w:r>
          <w:rPr>
            <w:noProof/>
          </w:rPr>
          <w:fldChar w:fldCharType="end"/>
        </w:r>
      </w:p>
      <w:p w:rsidR="0092028F" w:rsidRDefault="00D058AE">
        <w:pPr>
          <w:pStyle w:val="Header"/>
          <w:jc w:val="right"/>
          <w:rPr>
            <w:noProof/>
          </w:rPr>
        </w:pPr>
        <w:r>
          <w:rPr>
            <w:noProof/>
          </w:rPr>
          <w:t>JUDGMENT NO. LC/H/</w:t>
        </w:r>
        <w:r w:rsidR="00631AF4">
          <w:rPr>
            <w:noProof/>
          </w:rPr>
          <w:t>21</w:t>
        </w:r>
        <w:r>
          <w:rPr>
            <w:noProof/>
          </w:rPr>
          <w:t>/2021</w:t>
        </w:r>
      </w:p>
      <w:p w:rsidR="0092028F" w:rsidRDefault="0092028F" w:rsidP="00833E26">
        <w:pPr>
          <w:pStyle w:val="Header"/>
          <w:jc w:val="center"/>
        </w:pPr>
        <w:r>
          <w:rPr>
            <w:noProof/>
          </w:rPr>
          <w:tab/>
          <w:t xml:space="preserve">                                                                                                                                </w:t>
        </w:r>
        <w:r w:rsidR="00D058AE">
          <w:rPr>
            <w:noProof/>
          </w:rPr>
          <w:t xml:space="preserve">        CASE NO. LC/H/REV/04/20</w:t>
        </w:r>
      </w:p>
    </w:sdtContent>
  </w:sdt>
  <w:p w:rsidR="0092028F" w:rsidRDefault="00920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C200B5"/>
    <w:multiLevelType w:val="hybridMultilevel"/>
    <w:tmpl w:val="0A026F32"/>
    <w:lvl w:ilvl="0" w:tplc="791A6B90">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0">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5"/>
  </w:num>
  <w:num w:numId="4">
    <w:abstractNumId w:val="1"/>
  </w:num>
  <w:num w:numId="5">
    <w:abstractNumId w:val="0"/>
  </w:num>
  <w:num w:numId="6">
    <w:abstractNumId w:val="10"/>
  </w:num>
  <w:num w:numId="7">
    <w:abstractNumId w:val="3"/>
  </w:num>
  <w:num w:numId="8">
    <w:abstractNumId w:val="6"/>
  </w:num>
  <w:num w:numId="9">
    <w:abstractNumId w:val="4"/>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6EE7"/>
    <w:rsid w:val="00020499"/>
    <w:rsid w:val="00020D7A"/>
    <w:rsid w:val="0002481F"/>
    <w:rsid w:val="00025EDA"/>
    <w:rsid w:val="00030538"/>
    <w:rsid w:val="00046609"/>
    <w:rsid w:val="0005261C"/>
    <w:rsid w:val="00053B16"/>
    <w:rsid w:val="0006239A"/>
    <w:rsid w:val="00067E67"/>
    <w:rsid w:val="00080978"/>
    <w:rsid w:val="00084141"/>
    <w:rsid w:val="0008442D"/>
    <w:rsid w:val="00087207"/>
    <w:rsid w:val="000901E3"/>
    <w:rsid w:val="0009283E"/>
    <w:rsid w:val="00094DA1"/>
    <w:rsid w:val="000A1B33"/>
    <w:rsid w:val="000A1D3A"/>
    <w:rsid w:val="000A6910"/>
    <w:rsid w:val="000A6AB7"/>
    <w:rsid w:val="000B00F4"/>
    <w:rsid w:val="000B3C26"/>
    <w:rsid w:val="000B43EE"/>
    <w:rsid w:val="000C27E1"/>
    <w:rsid w:val="000C3722"/>
    <w:rsid w:val="000C6B55"/>
    <w:rsid w:val="000D424B"/>
    <w:rsid w:val="000D77F1"/>
    <w:rsid w:val="000E1896"/>
    <w:rsid w:val="000E3EAB"/>
    <w:rsid w:val="000E474D"/>
    <w:rsid w:val="000E59F8"/>
    <w:rsid w:val="000E69DF"/>
    <w:rsid w:val="000F163D"/>
    <w:rsid w:val="001009F1"/>
    <w:rsid w:val="00100BE0"/>
    <w:rsid w:val="00110B2F"/>
    <w:rsid w:val="0011404F"/>
    <w:rsid w:val="001140CA"/>
    <w:rsid w:val="0012177F"/>
    <w:rsid w:val="00122409"/>
    <w:rsid w:val="0013151E"/>
    <w:rsid w:val="001321A0"/>
    <w:rsid w:val="0013354F"/>
    <w:rsid w:val="001358F7"/>
    <w:rsid w:val="001374B6"/>
    <w:rsid w:val="001442E7"/>
    <w:rsid w:val="00144612"/>
    <w:rsid w:val="00151D73"/>
    <w:rsid w:val="00152041"/>
    <w:rsid w:val="00161586"/>
    <w:rsid w:val="00163E94"/>
    <w:rsid w:val="00165B8B"/>
    <w:rsid w:val="001674BF"/>
    <w:rsid w:val="00170D8E"/>
    <w:rsid w:val="0017425B"/>
    <w:rsid w:val="0018758A"/>
    <w:rsid w:val="00190F8A"/>
    <w:rsid w:val="001958D6"/>
    <w:rsid w:val="0019705E"/>
    <w:rsid w:val="001B1DF6"/>
    <w:rsid w:val="001B7A70"/>
    <w:rsid w:val="001B7CD3"/>
    <w:rsid w:val="001C36F0"/>
    <w:rsid w:val="001C6ABE"/>
    <w:rsid w:val="001D203B"/>
    <w:rsid w:val="001D24A7"/>
    <w:rsid w:val="001D2758"/>
    <w:rsid w:val="001E30AC"/>
    <w:rsid w:val="001F1C6A"/>
    <w:rsid w:val="002009EF"/>
    <w:rsid w:val="00203A26"/>
    <w:rsid w:val="00205812"/>
    <w:rsid w:val="0021679E"/>
    <w:rsid w:val="00216B43"/>
    <w:rsid w:val="00217328"/>
    <w:rsid w:val="002210B0"/>
    <w:rsid w:val="00221EA5"/>
    <w:rsid w:val="00225E4A"/>
    <w:rsid w:val="002262E8"/>
    <w:rsid w:val="002324D0"/>
    <w:rsid w:val="00232C1C"/>
    <w:rsid w:val="00234172"/>
    <w:rsid w:val="0024027D"/>
    <w:rsid w:val="00241E38"/>
    <w:rsid w:val="0024238F"/>
    <w:rsid w:val="002477BE"/>
    <w:rsid w:val="00261DF0"/>
    <w:rsid w:val="0026230C"/>
    <w:rsid w:val="00270FFD"/>
    <w:rsid w:val="00271300"/>
    <w:rsid w:val="00283CAE"/>
    <w:rsid w:val="00283D98"/>
    <w:rsid w:val="00283F6F"/>
    <w:rsid w:val="002922BF"/>
    <w:rsid w:val="002A4FD2"/>
    <w:rsid w:val="002D40E8"/>
    <w:rsid w:val="002D49DB"/>
    <w:rsid w:val="002D516A"/>
    <w:rsid w:val="002D6B74"/>
    <w:rsid w:val="002E1B63"/>
    <w:rsid w:val="002E2866"/>
    <w:rsid w:val="002E3B7B"/>
    <w:rsid w:val="002E615E"/>
    <w:rsid w:val="002F400E"/>
    <w:rsid w:val="003005C1"/>
    <w:rsid w:val="0030798C"/>
    <w:rsid w:val="003110B9"/>
    <w:rsid w:val="00314C28"/>
    <w:rsid w:val="00316D8A"/>
    <w:rsid w:val="00321135"/>
    <w:rsid w:val="00321E25"/>
    <w:rsid w:val="00331C57"/>
    <w:rsid w:val="0033393C"/>
    <w:rsid w:val="00345392"/>
    <w:rsid w:val="00346D8D"/>
    <w:rsid w:val="0035275B"/>
    <w:rsid w:val="00352E04"/>
    <w:rsid w:val="0035359E"/>
    <w:rsid w:val="00356915"/>
    <w:rsid w:val="00366B3E"/>
    <w:rsid w:val="0037089B"/>
    <w:rsid w:val="00372B3E"/>
    <w:rsid w:val="00375EF8"/>
    <w:rsid w:val="00376A6A"/>
    <w:rsid w:val="003813FA"/>
    <w:rsid w:val="00382E5F"/>
    <w:rsid w:val="00384859"/>
    <w:rsid w:val="00384FC5"/>
    <w:rsid w:val="003924BE"/>
    <w:rsid w:val="00396D58"/>
    <w:rsid w:val="0039713D"/>
    <w:rsid w:val="003A5BCD"/>
    <w:rsid w:val="003A718D"/>
    <w:rsid w:val="003B5991"/>
    <w:rsid w:val="003B6072"/>
    <w:rsid w:val="003B621E"/>
    <w:rsid w:val="003B6C64"/>
    <w:rsid w:val="003B7212"/>
    <w:rsid w:val="003C2070"/>
    <w:rsid w:val="003C564B"/>
    <w:rsid w:val="003D03A5"/>
    <w:rsid w:val="003D5B46"/>
    <w:rsid w:val="003E172D"/>
    <w:rsid w:val="003E51D5"/>
    <w:rsid w:val="003F153D"/>
    <w:rsid w:val="00400976"/>
    <w:rsid w:val="004043F0"/>
    <w:rsid w:val="0040494B"/>
    <w:rsid w:val="00404DFF"/>
    <w:rsid w:val="00406BB1"/>
    <w:rsid w:val="00411FEA"/>
    <w:rsid w:val="004153EA"/>
    <w:rsid w:val="00421E4A"/>
    <w:rsid w:val="00425D0D"/>
    <w:rsid w:val="00432E54"/>
    <w:rsid w:val="00437C82"/>
    <w:rsid w:val="004504DD"/>
    <w:rsid w:val="0045490B"/>
    <w:rsid w:val="004555FB"/>
    <w:rsid w:val="004721BA"/>
    <w:rsid w:val="00475087"/>
    <w:rsid w:val="0047590A"/>
    <w:rsid w:val="00475EF2"/>
    <w:rsid w:val="00475FDE"/>
    <w:rsid w:val="00477D79"/>
    <w:rsid w:val="00477F15"/>
    <w:rsid w:val="00484506"/>
    <w:rsid w:val="00485080"/>
    <w:rsid w:val="00487C8A"/>
    <w:rsid w:val="0049288B"/>
    <w:rsid w:val="004A5C00"/>
    <w:rsid w:val="004A6B29"/>
    <w:rsid w:val="004B275D"/>
    <w:rsid w:val="004B5D82"/>
    <w:rsid w:val="004C3871"/>
    <w:rsid w:val="004C54CE"/>
    <w:rsid w:val="004D18DE"/>
    <w:rsid w:val="004D5AED"/>
    <w:rsid w:val="004E1B29"/>
    <w:rsid w:val="004E5BCA"/>
    <w:rsid w:val="004F14B2"/>
    <w:rsid w:val="004F2711"/>
    <w:rsid w:val="004F3196"/>
    <w:rsid w:val="004F3D73"/>
    <w:rsid w:val="004F4029"/>
    <w:rsid w:val="004F7023"/>
    <w:rsid w:val="004F7093"/>
    <w:rsid w:val="0050111D"/>
    <w:rsid w:val="00511750"/>
    <w:rsid w:val="00513207"/>
    <w:rsid w:val="005136B6"/>
    <w:rsid w:val="005152A7"/>
    <w:rsid w:val="00515E12"/>
    <w:rsid w:val="0051793A"/>
    <w:rsid w:val="00523DF5"/>
    <w:rsid w:val="00525AD7"/>
    <w:rsid w:val="00526165"/>
    <w:rsid w:val="00526382"/>
    <w:rsid w:val="00534648"/>
    <w:rsid w:val="00535F13"/>
    <w:rsid w:val="005407F8"/>
    <w:rsid w:val="00541D30"/>
    <w:rsid w:val="00550614"/>
    <w:rsid w:val="0055392F"/>
    <w:rsid w:val="005576C8"/>
    <w:rsid w:val="005611A2"/>
    <w:rsid w:val="00561A29"/>
    <w:rsid w:val="00566059"/>
    <w:rsid w:val="0058004B"/>
    <w:rsid w:val="00582ADB"/>
    <w:rsid w:val="005838DE"/>
    <w:rsid w:val="00586AD5"/>
    <w:rsid w:val="0059003E"/>
    <w:rsid w:val="0059220D"/>
    <w:rsid w:val="005973ED"/>
    <w:rsid w:val="005A046F"/>
    <w:rsid w:val="005A0B89"/>
    <w:rsid w:val="005A4A4F"/>
    <w:rsid w:val="005A4DC7"/>
    <w:rsid w:val="005A581E"/>
    <w:rsid w:val="005B0651"/>
    <w:rsid w:val="005B0B21"/>
    <w:rsid w:val="005B201A"/>
    <w:rsid w:val="005B5C62"/>
    <w:rsid w:val="005C0F96"/>
    <w:rsid w:val="005C15FD"/>
    <w:rsid w:val="005C1703"/>
    <w:rsid w:val="005C27F0"/>
    <w:rsid w:val="005C3D75"/>
    <w:rsid w:val="005C5732"/>
    <w:rsid w:val="005D0191"/>
    <w:rsid w:val="005D39A8"/>
    <w:rsid w:val="005D68F2"/>
    <w:rsid w:val="005E17F7"/>
    <w:rsid w:val="005E2A42"/>
    <w:rsid w:val="005E3ADD"/>
    <w:rsid w:val="005E7D66"/>
    <w:rsid w:val="005F1F7B"/>
    <w:rsid w:val="006005B2"/>
    <w:rsid w:val="00604405"/>
    <w:rsid w:val="006045BE"/>
    <w:rsid w:val="00606DBA"/>
    <w:rsid w:val="0061198E"/>
    <w:rsid w:val="00616C0C"/>
    <w:rsid w:val="00617757"/>
    <w:rsid w:val="006200B5"/>
    <w:rsid w:val="006263B1"/>
    <w:rsid w:val="00626537"/>
    <w:rsid w:val="006306E9"/>
    <w:rsid w:val="00631AF4"/>
    <w:rsid w:val="00642336"/>
    <w:rsid w:val="00642B49"/>
    <w:rsid w:val="00642FA2"/>
    <w:rsid w:val="00643D91"/>
    <w:rsid w:val="00643EFB"/>
    <w:rsid w:val="00644C27"/>
    <w:rsid w:val="00654EFC"/>
    <w:rsid w:val="00660070"/>
    <w:rsid w:val="006612E6"/>
    <w:rsid w:val="006639EC"/>
    <w:rsid w:val="006765F4"/>
    <w:rsid w:val="00676B8B"/>
    <w:rsid w:val="00680C2E"/>
    <w:rsid w:val="00683F82"/>
    <w:rsid w:val="006848BE"/>
    <w:rsid w:val="0068514E"/>
    <w:rsid w:val="006909A8"/>
    <w:rsid w:val="006A0459"/>
    <w:rsid w:val="006A049D"/>
    <w:rsid w:val="006A0D50"/>
    <w:rsid w:val="006A17E1"/>
    <w:rsid w:val="006A1DDE"/>
    <w:rsid w:val="006A4955"/>
    <w:rsid w:val="006A580F"/>
    <w:rsid w:val="006A7F23"/>
    <w:rsid w:val="006B0CCB"/>
    <w:rsid w:val="006B3B44"/>
    <w:rsid w:val="006B4FF5"/>
    <w:rsid w:val="006C329F"/>
    <w:rsid w:val="006C34EF"/>
    <w:rsid w:val="006C7FC6"/>
    <w:rsid w:val="006D1D06"/>
    <w:rsid w:val="006E665E"/>
    <w:rsid w:val="006F3FDA"/>
    <w:rsid w:val="006F414B"/>
    <w:rsid w:val="006F49E1"/>
    <w:rsid w:val="006F4BC9"/>
    <w:rsid w:val="006F6A1C"/>
    <w:rsid w:val="006F7ABF"/>
    <w:rsid w:val="007010FA"/>
    <w:rsid w:val="00703BFE"/>
    <w:rsid w:val="00704680"/>
    <w:rsid w:val="00706851"/>
    <w:rsid w:val="00714452"/>
    <w:rsid w:val="007159B8"/>
    <w:rsid w:val="00717AED"/>
    <w:rsid w:val="00717D13"/>
    <w:rsid w:val="00725829"/>
    <w:rsid w:val="007275B3"/>
    <w:rsid w:val="007324AA"/>
    <w:rsid w:val="00737591"/>
    <w:rsid w:val="00743190"/>
    <w:rsid w:val="0075127E"/>
    <w:rsid w:val="007540A4"/>
    <w:rsid w:val="00760206"/>
    <w:rsid w:val="0077115B"/>
    <w:rsid w:val="00771E47"/>
    <w:rsid w:val="007820F7"/>
    <w:rsid w:val="00784EA8"/>
    <w:rsid w:val="00787846"/>
    <w:rsid w:val="00793501"/>
    <w:rsid w:val="007A17BF"/>
    <w:rsid w:val="007A3B7B"/>
    <w:rsid w:val="007C195F"/>
    <w:rsid w:val="007C4853"/>
    <w:rsid w:val="007C505E"/>
    <w:rsid w:val="007C68AA"/>
    <w:rsid w:val="007C6DC9"/>
    <w:rsid w:val="007D6DBF"/>
    <w:rsid w:val="007E22C3"/>
    <w:rsid w:val="007E49FA"/>
    <w:rsid w:val="007E4B86"/>
    <w:rsid w:val="007E5349"/>
    <w:rsid w:val="007E7122"/>
    <w:rsid w:val="007F0867"/>
    <w:rsid w:val="007F4649"/>
    <w:rsid w:val="007F5FAF"/>
    <w:rsid w:val="007F62AC"/>
    <w:rsid w:val="007F6C82"/>
    <w:rsid w:val="00800163"/>
    <w:rsid w:val="00802F52"/>
    <w:rsid w:val="00803686"/>
    <w:rsid w:val="008054E0"/>
    <w:rsid w:val="00810040"/>
    <w:rsid w:val="00810E8E"/>
    <w:rsid w:val="008134E8"/>
    <w:rsid w:val="00824BC3"/>
    <w:rsid w:val="00825157"/>
    <w:rsid w:val="0082579A"/>
    <w:rsid w:val="00833479"/>
    <w:rsid w:val="00833E26"/>
    <w:rsid w:val="008421C1"/>
    <w:rsid w:val="008446D3"/>
    <w:rsid w:val="00844CA2"/>
    <w:rsid w:val="00847645"/>
    <w:rsid w:val="00847C92"/>
    <w:rsid w:val="008502F8"/>
    <w:rsid w:val="00853050"/>
    <w:rsid w:val="00854C90"/>
    <w:rsid w:val="0085529C"/>
    <w:rsid w:val="0085733D"/>
    <w:rsid w:val="00860479"/>
    <w:rsid w:val="008625DC"/>
    <w:rsid w:val="00867E2D"/>
    <w:rsid w:val="00872006"/>
    <w:rsid w:val="008755ED"/>
    <w:rsid w:val="00875FAC"/>
    <w:rsid w:val="00883EFC"/>
    <w:rsid w:val="00887F43"/>
    <w:rsid w:val="00891299"/>
    <w:rsid w:val="008947AD"/>
    <w:rsid w:val="00895198"/>
    <w:rsid w:val="008A1E89"/>
    <w:rsid w:val="008B023E"/>
    <w:rsid w:val="008B77DD"/>
    <w:rsid w:val="008C2173"/>
    <w:rsid w:val="008D0393"/>
    <w:rsid w:val="008D0502"/>
    <w:rsid w:val="008D7BFF"/>
    <w:rsid w:val="008E19CC"/>
    <w:rsid w:val="008E2E57"/>
    <w:rsid w:val="008F14A6"/>
    <w:rsid w:val="008F45D2"/>
    <w:rsid w:val="008F585B"/>
    <w:rsid w:val="00910B91"/>
    <w:rsid w:val="00912658"/>
    <w:rsid w:val="00915C41"/>
    <w:rsid w:val="00917626"/>
    <w:rsid w:val="0092028F"/>
    <w:rsid w:val="00930641"/>
    <w:rsid w:val="00931E5A"/>
    <w:rsid w:val="00942148"/>
    <w:rsid w:val="0094433D"/>
    <w:rsid w:val="0094685D"/>
    <w:rsid w:val="0095283B"/>
    <w:rsid w:val="00956724"/>
    <w:rsid w:val="009573DE"/>
    <w:rsid w:val="00957DC5"/>
    <w:rsid w:val="009609A0"/>
    <w:rsid w:val="00963FDC"/>
    <w:rsid w:val="00964109"/>
    <w:rsid w:val="00970F32"/>
    <w:rsid w:val="009754C2"/>
    <w:rsid w:val="00977E8B"/>
    <w:rsid w:val="00987180"/>
    <w:rsid w:val="00990998"/>
    <w:rsid w:val="00997C5C"/>
    <w:rsid w:val="009A52D2"/>
    <w:rsid w:val="009B3D38"/>
    <w:rsid w:val="009B4F95"/>
    <w:rsid w:val="009D0E3C"/>
    <w:rsid w:val="009D4878"/>
    <w:rsid w:val="009D487C"/>
    <w:rsid w:val="009D510C"/>
    <w:rsid w:val="009D633C"/>
    <w:rsid w:val="009E2DFE"/>
    <w:rsid w:val="009E533D"/>
    <w:rsid w:val="009F33B4"/>
    <w:rsid w:val="009F35F9"/>
    <w:rsid w:val="009F6D69"/>
    <w:rsid w:val="00A0505E"/>
    <w:rsid w:val="00A100C5"/>
    <w:rsid w:val="00A154A8"/>
    <w:rsid w:val="00A16F55"/>
    <w:rsid w:val="00A17923"/>
    <w:rsid w:val="00A2152C"/>
    <w:rsid w:val="00A2236E"/>
    <w:rsid w:val="00A22854"/>
    <w:rsid w:val="00A228E5"/>
    <w:rsid w:val="00A24D89"/>
    <w:rsid w:val="00A262D8"/>
    <w:rsid w:val="00A34027"/>
    <w:rsid w:val="00A34C82"/>
    <w:rsid w:val="00A37354"/>
    <w:rsid w:val="00A41627"/>
    <w:rsid w:val="00A43322"/>
    <w:rsid w:val="00A50BDA"/>
    <w:rsid w:val="00A61BB9"/>
    <w:rsid w:val="00A6455E"/>
    <w:rsid w:val="00A66117"/>
    <w:rsid w:val="00A70435"/>
    <w:rsid w:val="00A94BF2"/>
    <w:rsid w:val="00A96D47"/>
    <w:rsid w:val="00AA1631"/>
    <w:rsid w:val="00AA4716"/>
    <w:rsid w:val="00AA6E4D"/>
    <w:rsid w:val="00AB00D2"/>
    <w:rsid w:val="00AB0516"/>
    <w:rsid w:val="00AB12AC"/>
    <w:rsid w:val="00AB401F"/>
    <w:rsid w:val="00AB4EE9"/>
    <w:rsid w:val="00AB5375"/>
    <w:rsid w:val="00AC792F"/>
    <w:rsid w:val="00AD070F"/>
    <w:rsid w:val="00AD1A4A"/>
    <w:rsid w:val="00AD1B95"/>
    <w:rsid w:val="00AD2B8F"/>
    <w:rsid w:val="00AD45A0"/>
    <w:rsid w:val="00AE234C"/>
    <w:rsid w:val="00AE5455"/>
    <w:rsid w:val="00AF121E"/>
    <w:rsid w:val="00B01197"/>
    <w:rsid w:val="00B10290"/>
    <w:rsid w:val="00B13D26"/>
    <w:rsid w:val="00B173AC"/>
    <w:rsid w:val="00B2216B"/>
    <w:rsid w:val="00B317C8"/>
    <w:rsid w:val="00B32833"/>
    <w:rsid w:val="00B3533D"/>
    <w:rsid w:val="00B35FB6"/>
    <w:rsid w:val="00B36F28"/>
    <w:rsid w:val="00B433C6"/>
    <w:rsid w:val="00B514A6"/>
    <w:rsid w:val="00B600F8"/>
    <w:rsid w:val="00B647B4"/>
    <w:rsid w:val="00B64850"/>
    <w:rsid w:val="00B67651"/>
    <w:rsid w:val="00B700A5"/>
    <w:rsid w:val="00B85BD9"/>
    <w:rsid w:val="00BC12ED"/>
    <w:rsid w:val="00BC15CD"/>
    <w:rsid w:val="00BC4B1E"/>
    <w:rsid w:val="00BC6AD9"/>
    <w:rsid w:val="00BD3495"/>
    <w:rsid w:val="00BD4F46"/>
    <w:rsid w:val="00BF1D84"/>
    <w:rsid w:val="00BF1F30"/>
    <w:rsid w:val="00BF2F8F"/>
    <w:rsid w:val="00BF3273"/>
    <w:rsid w:val="00BF68E7"/>
    <w:rsid w:val="00C01DC0"/>
    <w:rsid w:val="00C11F99"/>
    <w:rsid w:val="00C14B80"/>
    <w:rsid w:val="00C21FD6"/>
    <w:rsid w:val="00C23F93"/>
    <w:rsid w:val="00C3688A"/>
    <w:rsid w:val="00C36D65"/>
    <w:rsid w:val="00C36F03"/>
    <w:rsid w:val="00C410AE"/>
    <w:rsid w:val="00C42CF1"/>
    <w:rsid w:val="00C44B35"/>
    <w:rsid w:val="00C51B1B"/>
    <w:rsid w:val="00C524F5"/>
    <w:rsid w:val="00C62115"/>
    <w:rsid w:val="00C6452B"/>
    <w:rsid w:val="00C65E4B"/>
    <w:rsid w:val="00C71AE7"/>
    <w:rsid w:val="00C756CC"/>
    <w:rsid w:val="00C75E14"/>
    <w:rsid w:val="00C806AE"/>
    <w:rsid w:val="00C81CFF"/>
    <w:rsid w:val="00C854E2"/>
    <w:rsid w:val="00C85EBA"/>
    <w:rsid w:val="00C92F12"/>
    <w:rsid w:val="00C9349F"/>
    <w:rsid w:val="00C952F3"/>
    <w:rsid w:val="00C97E19"/>
    <w:rsid w:val="00CA0C38"/>
    <w:rsid w:val="00CA16F6"/>
    <w:rsid w:val="00CA3C3E"/>
    <w:rsid w:val="00CA55B8"/>
    <w:rsid w:val="00CB0155"/>
    <w:rsid w:val="00CB1222"/>
    <w:rsid w:val="00CC0882"/>
    <w:rsid w:val="00CC093B"/>
    <w:rsid w:val="00CC187C"/>
    <w:rsid w:val="00CD1744"/>
    <w:rsid w:val="00CD7C56"/>
    <w:rsid w:val="00CE068A"/>
    <w:rsid w:val="00CE340C"/>
    <w:rsid w:val="00CE43AE"/>
    <w:rsid w:val="00CE6C68"/>
    <w:rsid w:val="00CE711E"/>
    <w:rsid w:val="00CF2F5F"/>
    <w:rsid w:val="00CF7441"/>
    <w:rsid w:val="00D026A2"/>
    <w:rsid w:val="00D033BD"/>
    <w:rsid w:val="00D058AE"/>
    <w:rsid w:val="00D13E4E"/>
    <w:rsid w:val="00D16B2C"/>
    <w:rsid w:val="00D21D98"/>
    <w:rsid w:val="00D36CA5"/>
    <w:rsid w:val="00D407F2"/>
    <w:rsid w:val="00D445FA"/>
    <w:rsid w:val="00D453E5"/>
    <w:rsid w:val="00D4769D"/>
    <w:rsid w:val="00D546EA"/>
    <w:rsid w:val="00D56579"/>
    <w:rsid w:val="00D567A0"/>
    <w:rsid w:val="00D579E4"/>
    <w:rsid w:val="00D63F0E"/>
    <w:rsid w:val="00D74201"/>
    <w:rsid w:val="00D764A7"/>
    <w:rsid w:val="00D80508"/>
    <w:rsid w:val="00D81F24"/>
    <w:rsid w:val="00D84D3A"/>
    <w:rsid w:val="00D97025"/>
    <w:rsid w:val="00DA4F16"/>
    <w:rsid w:val="00DA7712"/>
    <w:rsid w:val="00DB1DDD"/>
    <w:rsid w:val="00DB2E44"/>
    <w:rsid w:val="00DB3E6C"/>
    <w:rsid w:val="00DB409E"/>
    <w:rsid w:val="00DB6D33"/>
    <w:rsid w:val="00DD3816"/>
    <w:rsid w:val="00DD4FB3"/>
    <w:rsid w:val="00DE0976"/>
    <w:rsid w:val="00DE5C97"/>
    <w:rsid w:val="00DE7463"/>
    <w:rsid w:val="00DE7661"/>
    <w:rsid w:val="00DF20DA"/>
    <w:rsid w:val="00DF3B3D"/>
    <w:rsid w:val="00DF4E02"/>
    <w:rsid w:val="00E04DF4"/>
    <w:rsid w:val="00E05609"/>
    <w:rsid w:val="00E07199"/>
    <w:rsid w:val="00E11904"/>
    <w:rsid w:val="00E12E35"/>
    <w:rsid w:val="00E21064"/>
    <w:rsid w:val="00E242DA"/>
    <w:rsid w:val="00E27594"/>
    <w:rsid w:val="00E328D8"/>
    <w:rsid w:val="00E348D4"/>
    <w:rsid w:val="00E34FBC"/>
    <w:rsid w:val="00E37D59"/>
    <w:rsid w:val="00E4367C"/>
    <w:rsid w:val="00E4619A"/>
    <w:rsid w:val="00E46B82"/>
    <w:rsid w:val="00E508A4"/>
    <w:rsid w:val="00E5110B"/>
    <w:rsid w:val="00E51E5B"/>
    <w:rsid w:val="00E5497A"/>
    <w:rsid w:val="00E5503E"/>
    <w:rsid w:val="00E56024"/>
    <w:rsid w:val="00E57FD0"/>
    <w:rsid w:val="00E66BE9"/>
    <w:rsid w:val="00E70F13"/>
    <w:rsid w:val="00E71832"/>
    <w:rsid w:val="00E76D61"/>
    <w:rsid w:val="00E7756A"/>
    <w:rsid w:val="00E80932"/>
    <w:rsid w:val="00E82C6C"/>
    <w:rsid w:val="00E86393"/>
    <w:rsid w:val="00EA61C8"/>
    <w:rsid w:val="00EC0A7C"/>
    <w:rsid w:val="00EC7253"/>
    <w:rsid w:val="00ED5A77"/>
    <w:rsid w:val="00EE31B6"/>
    <w:rsid w:val="00EE49D4"/>
    <w:rsid w:val="00EE5F34"/>
    <w:rsid w:val="00F0304B"/>
    <w:rsid w:val="00F07EB4"/>
    <w:rsid w:val="00F112EA"/>
    <w:rsid w:val="00F2114B"/>
    <w:rsid w:val="00F22B99"/>
    <w:rsid w:val="00F24630"/>
    <w:rsid w:val="00F35C92"/>
    <w:rsid w:val="00F4268F"/>
    <w:rsid w:val="00F44F01"/>
    <w:rsid w:val="00F45528"/>
    <w:rsid w:val="00F51A57"/>
    <w:rsid w:val="00F53212"/>
    <w:rsid w:val="00F57B71"/>
    <w:rsid w:val="00F62C80"/>
    <w:rsid w:val="00F75CEC"/>
    <w:rsid w:val="00F80FB6"/>
    <w:rsid w:val="00F87179"/>
    <w:rsid w:val="00F9229F"/>
    <w:rsid w:val="00F93762"/>
    <w:rsid w:val="00F941A3"/>
    <w:rsid w:val="00F97F0E"/>
    <w:rsid w:val="00FA1133"/>
    <w:rsid w:val="00FA4057"/>
    <w:rsid w:val="00FA489B"/>
    <w:rsid w:val="00FB26B5"/>
    <w:rsid w:val="00FB605D"/>
    <w:rsid w:val="00FC322A"/>
    <w:rsid w:val="00FD0A3E"/>
    <w:rsid w:val="00FD5B44"/>
    <w:rsid w:val="00FE201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39</cp:revision>
  <cp:lastPrinted>2021-03-22T08:09:00Z</cp:lastPrinted>
  <dcterms:created xsi:type="dcterms:W3CDTF">2021-02-09T07:27:00Z</dcterms:created>
  <dcterms:modified xsi:type="dcterms:W3CDTF">2021-03-22T08:10:00Z</dcterms:modified>
</cp:coreProperties>
</file>