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3182A" w14:textId="3EAF9D31" w:rsidR="005029CB"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IN THE LABOUR COURT OF Z</w:t>
      </w:r>
      <w:bookmarkStart w:id="0" w:name="_GoBack"/>
      <w:bookmarkEnd w:id="0"/>
      <w:r w:rsidRPr="00903402">
        <w:rPr>
          <w:rFonts w:ascii="Times New Roman" w:hAnsi="Times New Roman" w:cs="Times New Roman"/>
          <w:b/>
          <w:bCs/>
          <w:sz w:val="24"/>
          <w:szCs w:val="24"/>
        </w:rPr>
        <w:t>IMBABWE</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JUDGMENT NO. LC/H//25</w:t>
      </w:r>
    </w:p>
    <w:p w14:paraId="10EC9140" w14:textId="2F47F19B"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HELD AT HARARE 12 FEBRUARY 2025</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CASE NO. LC/H/1307/24</w:t>
      </w:r>
    </w:p>
    <w:p w14:paraId="60B527CB" w14:textId="6FAA0153"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AND</w:t>
      </w:r>
      <w:r w:rsidR="00903402">
        <w:rPr>
          <w:rFonts w:ascii="Times New Roman" w:hAnsi="Times New Roman" w:cs="Times New Roman"/>
          <w:b/>
          <w:bCs/>
          <w:sz w:val="24"/>
          <w:szCs w:val="24"/>
        </w:rPr>
        <w:t xml:space="preserve"> 3 MARCH 2025</w:t>
      </w:r>
    </w:p>
    <w:p w14:paraId="09F9A857" w14:textId="77777777" w:rsidR="00DB6981" w:rsidRPr="00903402" w:rsidRDefault="00DB6981" w:rsidP="00903402">
      <w:pPr>
        <w:jc w:val="both"/>
        <w:rPr>
          <w:rFonts w:ascii="Times New Roman" w:hAnsi="Times New Roman" w:cs="Times New Roman"/>
          <w:b/>
          <w:bCs/>
          <w:sz w:val="24"/>
          <w:szCs w:val="24"/>
        </w:rPr>
      </w:pPr>
    </w:p>
    <w:p w14:paraId="463F08E0" w14:textId="24CDEF6E"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IN THE MATTER BETWEEN:</w:t>
      </w:r>
    </w:p>
    <w:p w14:paraId="0DDA6610" w14:textId="6BA4E442"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ZIMBABWE INVESTMENT AND</w:t>
      </w:r>
    </w:p>
    <w:p w14:paraId="30D19EE2" w14:textId="760C84AC"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DEVELOPMENT AGENCY</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APPELLANT</w:t>
      </w:r>
    </w:p>
    <w:p w14:paraId="63EC941F" w14:textId="6F43032B"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AND</w:t>
      </w:r>
    </w:p>
    <w:p w14:paraId="6686306F" w14:textId="594AB19F"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RONALD CHIROCHANGU</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FIRST RESPONDENT</w:t>
      </w:r>
    </w:p>
    <w:p w14:paraId="0C4CAF6E" w14:textId="72C5F4A9"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OFFICE OF THE PRESIDENT AND CABINET</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SECOND RESPONDENT</w:t>
      </w:r>
    </w:p>
    <w:p w14:paraId="12661125" w14:textId="77777777" w:rsidR="00DB6981" w:rsidRPr="00903402" w:rsidRDefault="00DB6981" w:rsidP="00903402">
      <w:pPr>
        <w:jc w:val="both"/>
        <w:rPr>
          <w:rFonts w:ascii="Times New Roman" w:hAnsi="Times New Roman" w:cs="Times New Roman"/>
          <w:b/>
          <w:bCs/>
          <w:sz w:val="24"/>
          <w:szCs w:val="24"/>
        </w:rPr>
      </w:pPr>
    </w:p>
    <w:p w14:paraId="2116CF28" w14:textId="0AB8F86C"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Before Honourable Mr. Justice L.M. Murasi</w:t>
      </w:r>
    </w:p>
    <w:p w14:paraId="3F7F558F" w14:textId="77777777" w:rsidR="00DB6981" w:rsidRPr="00903402" w:rsidRDefault="00DB6981" w:rsidP="00903402">
      <w:pPr>
        <w:jc w:val="both"/>
        <w:rPr>
          <w:rFonts w:ascii="Times New Roman" w:hAnsi="Times New Roman" w:cs="Times New Roman"/>
          <w:b/>
          <w:bCs/>
          <w:sz w:val="24"/>
          <w:szCs w:val="24"/>
        </w:rPr>
      </w:pPr>
    </w:p>
    <w:p w14:paraId="538AAE93" w14:textId="0D367C51"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For Appellant</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Dr. R. Matsikidze</w:t>
      </w:r>
    </w:p>
    <w:p w14:paraId="40A88574" w14:textId="6801AE2F"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For First Respondent</w:t>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r>
      <w:r w:rsidRPr="00903402">
        <w:rPr>
          <w:rFonts w:ascii="Times New Roman" w:hAnsi="Times New Roman" w:cs="Times New Roman"/>
          <w:b/>
          <w:bCs/>
          <w:sz w:val="24"/>
          <w:szCs w:val="24"/>
        </w:rPr>
        <w:tab/>
        <w:t>Mr. T.J. Mafongoya</w:t>
      </w:r>
    </w:p>
    <w:p w14:paraId="5785AD73" w14:textId="0A7A319E"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No Appearance for Second Respondent</w:t>
      </w:r>
    </w:p>
    <w:p w14:paraId="5EFEC24F" w14:textId="77777777" w:rsidR="00DB6981" w:rsidRPr="00903402" w:rsidRDefault="00DB6981" w:rsidP="00903402">
      <w:pPr>
        <w:jc w:val="both"/>
        <w:rPr>
          <w:rFonts w:ascii="Times New Roman" w:hAnsi="Times New Roman" w:cs="Times New Roman"/>
          <w:b/>
          <w:bCs/>
          <w:sz w:val="24"/>
          <w:szCs w:val="24"/>
        </w:rPr>
      </w:pPr>
    </w:p>
    <w:p w14:paraId="09FD7954" w14:textId="066D2083" w:rsidR="00DB6981" w:rsidRPr="00903402" w:rsidRDefault="00DB6981"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MURASI J.,</w:t>
      </w:r>
    </w:p>
    <w:p w14:paraId="3FD1324E" w14:textId="36975642" w:rsidR="00DB6981" w:rsidRPr="00903402" w:rsidRDefault="00DB6981"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This is an appeal against the decision of the Arbitrator. The brief facts are that First Respondent referred his matter to a Labour Officer in terms of section 93 (1) of the Labour Act (Chapter 28:01). At the proceedings, Appellant raised a point </w:t>
      </w:r>
      <w:r w:rsidRPr="005E2543">
        <w:rPr>
          <w:rFonts w:ascii="Times New Roman" w:hAnsi="Times New Roman" w:cs="Times New Roman"/>
          <w:i/>
          <w:iCs/>
          <w:sz w:val="24"/>
          <w:szCs w:val="24"/>
        </w:rPr>
        <w:t>in limine</w:t>
      </w:r>
      <w:r w:rsidRPr="00903402">
        <w:rPr>
          <w:rFonts w:ascii="Times New Roman" w:hAnsi="Times New Roman" w:cs="Times New Roman"/>
          <w:sz w:val="24"/>
          <w:szCs w:val="24"/>
        </w:rPr>
        <w:t xml:space="preserve"> to the effect that the matter was prescribed in terms section 94 of the Act and required the Labour Officer to make a determination thereof. The Labour Officer declined to do so. The Labour Officer proceeded to issue a Certificate of No Settlement and the matter was referred to arbitration as provided by statute. The Terms of </w:t>
      </w:r>
      <w:r w:rsidR="00B60400" w:rsidRPr="00903402">
        <w:rPr>
          <w:rFonts w:ascii="Times New Roman" w:hAnsi="Times New Roman" w:cs="Times New Roman"/>
          <w:sz w:val="24"/>
          <w:szCs w:val="24"/>
        </w:rPr>
        <w:t>Reference included</w:t>
      </w:r>
      <w:r w:rsidRPr="00903402">
        <w:rPr>
          <w:rFonts w:ascii="Times New Roman" w:hAnsi="Times New Roman" w:cs="Times New Roman"/>
          <w:sz w:val="24"/>
          <w:szCs w:val="24"/>
        </w:rPr>
        <w:t xml:space="preserve"> the one concerning the point </w:t>
      </w:r>
      <w:r w:rsidRPr="00903402">
        <w:rPr>
          <w:rFonts w:ascii="Times New Roman" w:hAnsi="Times New Roman" w:cs="Times New Roman"/>
          <w:i/>
          <w:iCs/>
          <w:sz w:val="24"/>
          <w:szCs w:val="24"/>
        </w:rPr>
        <w:t>in</w:t>
      </w:r>
      <w:r w:rsidR="00903402" w:rsidRPr="00903402">
        <w:rPr>
          <w:rFonts w:ascii="Times New Roman" w:hAnsi="Times New Roman" w:cs="Times New Roman"/>
          <w:i/>
          <w:iCs/>
          <w:sz w:val="24"/>
          <w:szCs w:val="24"/>
        </w:rPr>
        <w:t xml:space="preserve"> </w:t>
      </w:r>
      <w:r w:rsidRPr="00903402">
        <w:rPr>
          <w:rFonts w:ascii="Times New Roman" w:hAnsi="Times New Roman" w:cs="Times New Roman"/>
          <w:i/>
          <w:iCs/>
          <w:sz w:val="24"/>
          <w:szCs w:val="24"/>
        </w:rPr>
        <w:t>limine</w:t>
      </w:r>
      <w:r w:rsidRPr="00903402">
        <w:rPr>
          <w:rFonts w:ascii="Times New Roman" w:hAnsi="Times New Roman" w:cs="Times New Roman"/>
          <w:sz w:val="24"/>
          <w:szCs w:val="24"/>
        </w:rPr>
        <w:t xml:space="preserve"> raised by the Appellant. It read as follows:</w:t>
      </w:r>
    </w:p>
    <w:p w14:paraId="1AEC7BF2" w14:textId="3168D51C" w:rsidR="00DB6981" w:rsidRPr="00903402" w:rsidRDefault="00DB6981" w:rsidP="00903402">
      <w:pPr>
        <w:ind w:left="720"/>
        <w:jc w:val="both"/>
        <w:rPr>
          <w:rFonts w:ascii="Times New Roman" w:hAnsi="Times New Roman" w:cs="Times New Roman"/>
          <w:sz w:val="24"/>
          <w:szCs w:val="24"/>
        </w:rPr>
      </w:pPr>
      <w:r w:rsidRPr="00903402">
        <w:rPr>
          <w:rFonts w:ascii="Times New Roman" w:hAnsi="Times New Roman" w:cs="Times New Roman"/>
          <w:sz w:val="24"/>
          <w:szCs w:val="24"/>
        </w:rPr>
        <w:t>“1. Whether or not a labour officer, where prescription is alleged can conciliate the matter without determining whether the matter is properly before him or her.”</w:t>
      </w:r>
    </w:p>
    <w:p w14:paraId="1049C3C9" w14:textId="683CA6DE" w:rsidR="00DB6981" w:rsidRPr="00903402" w:rsidRDefault="00DB6981"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In the determination, the Arbitrator </w:t>
      </w:r>
      <w:r w:rsidR="00DB54CD" w:rsidRPr="00903402">
        <w:rPr>
          <w:rFonts w:ascii="Times New Roman" w:hAnsi="Times New Roman" w:cs="Times New Roman"/>
          <w:sz w:val="24"/>
          <w:szCs w:val="24"/>
        </w:rPr>
        <w:t>made the finding that the labour officer could not conciliate on the matter. The Appellant is dissatisfied with the decision and has approached this Court for relief. The Appellant’s grounds of appeal are formulated as follows:</w:t>
      </w:r>
    </w:p>
    <w:p w14:paraId="5154A5F6" w14:textId="7D19DCF4" w:rsidR="00DB54CD" w:rsidRPr="00903402" w:rsidRDefault="00DB54CD" w:rsidP="00903402">
      <w:pPr>
        <w:pStyle w:val="ListParagraph"/>
        <w:numPr>
          <w:ilvl w:val="0"/>
          <w:numId w:val="1"/>
        </w:numPr>
        <w:jc w:val="both"/>
        <w:rPr>
          <w:rFonts w:ascii="Times New Roman" w:hAnsi="Times New Roman" w:cs="Times New Roman"/>
          <w:sz w:val="24"/>
          <w:szCs w:val="24"/>
        </w:rPr>
      </w:pPr>
      <w:r w:rsidRPr="00903402">
        <w:rPr>
          <w:rFonts w:ascii="Times New Roman" w:hAnsi="Times New Roman" w:cs="Times New Roman"/>
          <w:sz w:val="24"/>
          <w:szCs w:val="24"/>
        </w:rPr>
        <w:lastRenderedPageBreak/>
        <w:t>The Honorable Arbitrator erred at law in making a finding that a Labour Officer cannot determine the issue of prescription contrary to the provisions of section 94 (1) of the Labour Act (Chapter 28:01)</w:t>
      </w:r>
    </w:p>
    <w:p w14:paraId="4C67DADE" w14:textId="5B6FDC41" w:rsidR="00DB54CD" w:rsidRPr="00903402" w:rsidRDefault="00DB54CD" w:rsidP="00903402">
      <w:pPr>
        <w:pStyle w:val="ListParagraph"/>
        <w:numPr>
          <w:ilvl w:val="0"/>
          <w:numId w:val="1"/>
        </w:numPr>
        <w:jc w:val="both"/>
        <w:rPr>
          <w:rFonts w:ascii="Times New Roman" w:hAnsi="Times New Roman" w:cs="Times New Roman"/>
          <w:sz w:val="24"/>
          <w:szCs w:val="24"/>
        </w:rPr>
      </w:pPr>
      <w:r w:rsidRPr="00903402">
        <w:rPr>
          <w:rFonts w:ascii="Times New Roman" w:hAnsi="Times New Roman" w:cs="Times New Roman"/>
          <w:sz w:val="24"/>
          <w:szCs w:val="24"/>
        </w:rPr>
        <w:t>The Honourable Arbitrator erred at law in failing to make a finding that a Labour Officer cannot refer a question of prescription to an Arbitrator when such powers are not given to the Arbitrator in terms of sections 93, 94 and 98 of the Labour Act (Chapter 28:01).</w:t>
      </w:r>
    </w:p>
    <w:p w14:paraId="512AC8BE" w14:textId="18C4F83B" w:rsidR="00DB54CD" w:rsidRPr="00903402" w:rsidRDefault="00DB54CD" w:rsidP="00903402">
      <w:pPr>
        <w:pStyle w:val="ListParagraph"/>
        <w:numPr>
          <w:ilvl w:val="0"/>
          <w:numId w:val="1"/>
        </w:numPr>
        <w:jc w:val="both"/>
        <w:rPr>
          <w:rFonts w:ascii="Times New Roman" w:hAnsi="Times New Roman" w:cs="Times New Roman"/>
          <w:sz w:val="24"/>
          <w:szCs w:val="24"/>
        </w:rPr>
      </w:pPr>
      <w:r w:rsidRPr="00903402">
        <w:rPr>
          <w:rFonts w:ascii="Times New Roman" w:hAnsi="Times New Roman" w:cs="Times New Roman"/>
          <w:sz w:val="24"/>
          <w:szCs w:val="24"/>
        </w:rPr>
        <w:t>The Honorable Arbitrator erred at law in failing to make a finding that a Labour Officer cannot refer any issue to arbitration without conciliating the same and clearly, he/she ought to have determined the issue of prescription first.</w:t>
      </w:r>
    </w:p>
    <w:p w14:paraId="0D2614D3" w14:textId="79A50BCF" w:rsidR="00DB54CD" w:rsidRPr="00903402" w:rsidRDefault="00DB54CD"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At the commencement of the proceedings, </w:t>
      </w:r>
      <w:r w:rsidRPr="00903402">
        <w:rPr>
          <w:rFonts w:ascii="Times New Roman" w:hAnsi="Times New Roman" w:cs="Times New Roman"/>
          <w:i/>
          <w:iCs/>
          <w:sz w:val="24"/>
          <w:szCs w:val="24"/>
        </w:rPr>
        <w:t>Mr. Mafongoya</w:t>
      </w:r>
      <w:r w:rsidRPr="00903402">
        <w:rPr>
          <w:rFonts w:ascii="Times New Roman" w:hAnsi="Times New Roman" w:cs="Times New Roman"/>
          <w:sz w:val="24"/>
          <w:szCs w:val="24"/>
        </w:rPr>
        <w:t xml:space="preserve"> informed the Court that </w:t>
      </w:r>
      <w:r w:rsidR="00B60400">
        <w:rPr>
          <w:rFonts w:ascii="Times New Roman" w:hAnsi="Times New Roman" w:cs="Times New Roman"/>
          <w:sz w:val="24"/>
          <w:szCs w:val="24"/>
        </w:rPr>
        <w:t xml:space="preserve">Respondent was </w:t>
      </w:r>
      <w:r w:rsidR="00B60400" w:rsidRPr="00903402">
        <w:rPr>
          <w:rFonts w:ascii="Times New Roman" w:hAnsi="Times New Roman" w:cs="Times New Roman"/>
          <w:sz w:val="24"/>
          <w:szCs w:val="24"/>
        </w:rPr>
        <w:t>abandoning</w:t>
      </w:r>
      <w:r w:rsidRPr="00903402">
        <w:rPr>
          <w:rFonts w:ascii="Times New Roman" w:hAnsi="Times New Roman" w:cs="Times New Roman"/>
          <w:sz w:val="24"/>
          <w:szCs w:val="24"/>
        </w:rPr>
        <w:t xml:space="preserve"> the preliminary point raised in the papers so that the parties would deal with the merits of the appeal.</w:t>
      </w:r>
    </w:p>
    <w:p w14:paraId="67C7E309" w14:textId="17FB2EB0" w:rsidR="00DB54CD" w:rsidRPr="00903402" w:rsidRDefault="00DB54CD"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Appellant’s Submissions</w:t>
      </w:r>
    </w:p>
    <w:p w14:paraId="38F8FA51" w14:textId="1278C195" w:rsidR="00FA0039" w:rsidRPr="00903402" w:rsidRDefault="00FA0039"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In submissions, </w:t>
      </w:r>
      <w:r w:rsidRPr="00903402">
        <w:rPr>
          <w:rFonts w:ascii="Times New Roman" w:hAnsi="Times New Roman" w:cs="Times New Roman"/>
          <w:i/>
          <w:iCs/>
          <w:sz w:val="24"/>
          <w:szCs w:val="24"/>
        </w:rPr>
        <w:t>Dr. Matsikidze</w:t>
      </w:r>
      <w:r w:rsidRPr="00903402">
        <w:rPr>
          <w:rFonts w:ascii="Times New Roman" w:hAnsi="Times New Roman" w:cs="Times New Roman"/>
          <w:sz w:val="24"/>
          <w:szCs w:val="24"/>
        </w:rPr>
        <w:t xml:space="preserve"> stated that a </w:t>
      </w:r>
      <w:r w:rsidR="00B60400" w:rsidRPr="00903402">
        <w:rPr>
          <w:rFonts w:ascii="Times New Roman" w:hAnsi="Times New Roman" w:cs="Times New Roman"/>
          <w:sz w:val="24"/>
          <w:szCs w:val="24"/>
        </w:rPr>
        <w:t>reading of</w:t>
      </w:r>
      <w:r w:rsidRPr="00903402">
        <w:rPr>
          <w:rFonts w:ascii="Times New Roman" w:hAnsi="Times New Roman" w:cs="Times New Roman"/>
          <w:sz w:val="24"/>
          <w:szCs w:val="24"/>
        </w:rPr>
        <w:t xml:space="preserve"> section 94 of the Labour Act (Chapter 28:01) shows that a Labour Officer cannot entertain a dispute or unfair labour practice unless it is referred to him/her within two years. He further stated that a Labour Officer must be convinced before entertaining the matter that it has not prescribed. He argued that the dispute in question had clearly prescribed having regard to the period when the dispute is alleged to have occurred. He added that </w:t>
      </w:r>
      <w:r w:rsidR="00903402" w:rsidRPr="00903402">
        <w:rPr>
          <w:rFonts w:ascii="Times New Roman" w:hAnsi="Times New Roman" w:cs="Times New Roman"/>
          <w:sz w:val="24"/>
          <w:szCs w:val="24"/>
        </w:rPr>
        <w:t>in</w:t>
      </w:r>
      <w:r w:rsidRPr="00903402">
        <w:rPr>
          <w:rFonts w:ascii="Times New Roman" w:hAnsi="Times New Roman" w:cs="Times New Roman"/>
          <w:sz w:val="24"/>
          <w:szCs w:val="24"/>
        </w:rPr>
        <w:t xml:space="preserve"> the circumstances, the Labour Officer could not competently have referred the dispute to arbitration.</w:t>
      </w:r>
    </w:p>
    <w:p w14:paraId="22088F8E" w14:textId="613DAD68" w:rsidR="00FA0039" w:rsidRPr="00903402" w:rsidRDefault="00FA0039"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In the heads of argument, it was averred that an arbitrator does not have the jurisdiction to determine the issue of prescription when raised during conciliation proceedings as it was a preserve of the Labour Officer. </w:t>
      </w:r>
      <w:r w:rsidR="00E2655A" w:rsidRPr="00903402">
        <w:rPr>
          <w:rFonts w:ascii="Times New Roman" w:hAnsi="Times New Roman" w:cs="Times New Roman"/>
          <w:sz w:val="24"/>
          <w:szCs w:val="24"/>
        </w:rPr>
        <w:t>In paragraph 3.5. of those heads of argument, it was further argued the arbitrator erred at law in failing to make a finding that a Labour Officer cannot refer a question of prescription to an arbitrator when such powers are not conferred to an arbitrator. In paragraph 4.1 it was further argued that by referring the issue of prescription to arbitration, the Labour Officer did not conciliate over the dispute. In paragraph 4.3 it was stated as follows:</w:t>
      </w:r>
    </w:p>
    <w:p w14:paraId="25A80470" w14:textId="07BF23BE" w:rsidR="00E2655A" w:rsidRPr="00903402" w:rsidRDefault="00E2655A" w:rsidP="00903402">
      <w:pPr>
        <w:ind w:left="720"/>
        <w:jc w:val="both"/>
        <w:rPr>
          <w:rFonts w:ascii="Times New Roman" w:hAnsi="Times New Roman" w:cs="Times New Roman"/>
          <w:sz w:val="24"/>
          <w:szCs w:val="24"/>
        </w:rPr>
      </w:pPr>
      <w:r w:rsidRPr="00903402">
        <w:rPr>
          <w:rFonts w:ascii="Times New Roman" w:hAnsi="Times New Roman" w:cs="Times New Roman"/>
          <w:sz w:val="24"/>
          <w:szCs w:val="24"/>
        </w:rPr>
        <w:t>“Therefore, before entertaining, which is conciliating, the Labour Officer must be satisfied that the dispute is not prescribed. It is a pre-requisite to entertaining the dispute.”</w:t>
      </w:r>
    </w:p>
    <w:p w14:paraId="6216B33C" w14:textId="7D56C895" w:rsidR="00E2655A" w:rsidRPr="00903402" w:rsidRDefault="00E2655A" w:rsidP="00903402">
      <w:pPr>
        <w:jc w:val="both"/>
        <w:rPr>
          <w:rFonts w:ascii="Times New Roman" w:hAnsi="Times New Roman" w:cs="Times New Roman"/>
          <w:sz w:val="24"/>
          <w:szCs w:val="24"/>
        </w:rPr>
      </w:pPr>
      <w:r w:rsidRPr="00903402">
        <w:rPr>
          <w:rFonts w:ascii="Times New Roman" w:hAnsi="Times New Roman" w:cs="Times New Roman"/>
          <w:sz w:val="24"/>
          <w:szCs w:val="24"/>
        </w:rPr>
        <w:t>The heads of argument thereafter refer to the cases of</w:t>
      </w:r>
      <w:r w:rsidRPr="00903402">
        <w:rPr>
          <w:rFonts w:ascii="Times New Roman" w:hAnsi="Times New Roman" w:cs="Times New Roman"/>
          <w:b/>
          <w:bCs/>
          <w:sz w:val="24"/>
          <w:szCs w:val="24"/>
        </w:rPr>
        <w:t xml:space="preserve"> Isoquant Investments (Pvt) Ltd t/a Zimoco v Darikwa</w:t>
      </w:r>
      <w:r w:rsidRPr="00903402">
        <w:rPr>
          <w:rFonts w:ascii="Times New Roman" w:hAnsi="Times New Roman" w:cs="Times New Roman"/>
          <w:sz w:val="24"/>
          <w:szCs w:val="24"/>
        </w:rPr>
        <w:t xml:space="preserve"> and </w:t>
      </w:r>
      <w:r w:rsidRPr="00903402">
        <w:rPr>
          <w:rFonts w:ascii="Times New Roman" w:hAnsi="Times New Roman" w:cs="Times New Roman"/>
          <w:b/>
          <w:bCs/>
          <w:sz w:val="24"/>
          <w:szCs w:val="24"/>
        </w:rPr>
        <w:t>Vundla &amp; Anor v Innscor Africa Bread Company Zimbabwe (Pvt) Ltd &amp; Anor</w:t>
      </w:r>
      <w:r w:rsidRPr="00903402">
        <w:rPr>
          <w:rFonts w:ascii="Times New Roman" w:hAnsi="Times New Roman" w:cs="Times New Roman"/>
          <w:sz w:val="24"/>
          <w:szCs w:val="24"/>
        </w:rPr>
        <w:t>. It was concluded by saying that the referral was improper in the circumstances and the appeal ought to be allowed.</w:t>
      </w:r>
    </w:p>
    <w:p w14:paraId="6633E18B" w14:textId="1BC9384D" w:rsidR="00E2655A" w:rsidRPr="00903402" w:rsidRDefault="00E2655A"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Respondent’s Submissions</w:t>
      </w:r>
    </w:p>
    <w:p w14:paraId="33520E52" w14:textId="19F03320" w:rsidR="00E2655A" w:rsidRPr="00903402" w:rsidRDefault="00E2655A"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In response, </w:t>
      </w:r>
      <w:r w:rsidRPr="00903402">
        <w:rPr>
          <w:rFonts w:ascii="Times New Roman" w:hAnsi="Times New Roman" w:cs="Times New Roman"/>
          <w:i/>
          <w:iCs/>
          <w:sz w:val="24"/>
          <w:szCs w:val="24"/>
        </w:rPr>
        <w:t xml:space="preserve">Mr. </w:t>
      </w:r>
      <w:r w:rsidR="00903402" w:rsidRPr="00903402">
        <w:rPr>
          <w:rFonts w:ascii="Times New Roman" w:hAnsi="Times New Roman" w:cs="Times New Roman"/>
          <w:i/>
          <w:iCs/>
          <w:sz w:val="24"/>
          <w:szCs w:val="24"/>
        </w:rPr>
        <w:t>Mafongoya</w:t>
      </w:r>
      <w:r w:rsidR="00903402" w:rsidRPr="00903402">
        <w:rPr>
          <w:rFonts w:ascii="Times New Roman" w:hAnsi="Times New Roman" w:cs="Times New Roman"/>
          <w:sz w:val="24"/>
          <w:szCs w:val="24"/>
        </w:rPr>
        <w:t xml:space="preserve"> submitted</w:t>
      </w:r>
      <w:r w:rsidR="00655097" w:rsidRPr="00903402">
        <w:rPr>
          <w:rFonts w:ascii="Times New Roman" w:hAnsi="Times New Roman" w:cs="Times New Roman"/>
          <w:sz w:val="24"/>
          <w:szCs w:val="24"/>
        </w:rPr>
        <w:t xml:space="preserve"> that the issue to be determined is whether a Labour Officer can determine an issue at the conciliation stage. He further submitted that the issue was settled in the </w:t>
      </w:r>
      <w:r w:rsidR="00655097" w:rsidRPr="00B60400">
        <w:rPr>
          <w:rFonts w:ascii="Times New Roman" w:hAnsi="Times New Roman" w:cs="Times New Roman"/>
          <w:b/>
          <w:bCs/>
          <w:sz w:val="24"/>
          <w:szCs w:val="24"/>
        </w:rPr>
        <w:t>Isoquant case</w:t>
      </w:r>
      <w:r w:rsidR="00655097" w:rsidRPr="00903402">
        <w:rPr>
          <w:rFonts w:ascii="Times New Roman" w:hAnsi="Times New Roman" w:cs="Times New Roman"/>
          <w:sz w:val="24"/>
          <w:szCs w:val="24"/>
        </w:rPr>
        <w:t xml:space="preserve">. He argued that Appellant was requesting the Court to read section 94 out of context as this section should be read in conjunction with section 93 of the Act. He argued that a Labour Officer is permitted to attempt to </w:t>
      </w:r>
      <w:r w:rsidR="00903402" w:rsidRPr="00903402">
        <w:rPr>
          <w:rFonts w:ascii="Times New Roman" w:hAnsi="Times New Roman" w:cs="Times New Roman"/>
          <w:sz w:val="24"/>
          <w:szCs w:val="24"/>
        </w:rPr>
        <w:t>conciliate,</w:t>
      </w:r>
      <w:r w:rsidR="00655097" w:rsidRPr="00903402">
        <w:rPr>
          <w:rFonts w:ascii="Times New Roman" w:hAnsi="Times New Roman" w:cs="Times New Roman"/>
          <w:sz w:val="24"/>
          <w:szCs w:val="24"/>
        </w:rPr>
        <w:t xml:space="preserve"> </w:t>
      </w:r>
      <w:r w:rsidR="00903402" w:rsidRPr="00903402">
        <w:rPr>
          <w:rFonts w:ascii="Times New Roman" w:hAnsi="Times New Roman" w:cs="Times New Roman"/>
          <w:sz w:val="24"/>
          <w:szCs w:val="24"/>
        </w:rPr>
        <w:t>and, in that process,</w:t>
      </w:r>
      <w:r w:rsidR="00655097" w:rsidRPr="00903402">
        <w:rPr>
          <w:rFonts w:ascii="Times New Roman" w:hAnsi="Times New Roman" w:cs="Times New Roman"/>
          <w:sz w:val="24"/>
          <w:szCs w:val="24"/>
        </w:rPr>
        <w:t xml:space="preserve"> the Labour Officer cannot </w:t>
      </w:r>
      <w:r w:rsidR="00655097" w:rsidRPr="00903402">
        <w:rPr>
          <w:rFonts w:ascii="Times New Roman" w:hAnsi="Times New Roman" w:cs="Times New Roman"/>
          <w:sz w:val="24"/>
          <w:szCs w:val="24"/>
        </w:rPr>
        <w:lastRenderedPageBreak/>
        <w:t xml:space="preserve">interrogate the matter. He added that the raising of the issue of prescription becomes a legal </w:t>
      </w:r>
      <w:r w:rsidR="00903402" w:rsidRPr="00903402">
        <w:rPr>
          <w:rFonts w:ascii="Times New Roman" w:hAnsi="Times New Roman" w:cs="Times New Roman"/>
          <w:sz w:val="24"/>
          <w:szCs w:val="24"/>
        </w:rPr>
        <w:t>matter,</w:t>
      </w:r>
      <w:r w:rsidR="00655097" w:rsidRPr="00903402">
        <w:rPr>
          <w:rFonts w:ascii="Times New Roman" w:hAnsi="Times New Roman" w:cs="Times New Roman"/>
          <w:sz w:val="24"/>
          <w:szCs w:val="24"/>
        </w:rPr>
        <w:t xml:space="preserve"> and this therefore escalates the dispute to the issuance of a Certificate No Settlement and the subsequent referral to arbitration. In this regard, he referred to the case of </w:t>
      </w:r>
      <w:r w:rsidR="00655097" w:rsidRPr="00903402">
        <w:rPr>
          <w:rFonts w:ascii="Times New Roman" w:hAnsi="Times New Roman" w:cs="Times New Roman"/>
          <w:b/>
          <w:bCs/>
          <w:sz w:val="24"/>
          <w:szCs w:val="24"/>
        </w:rPr>
        <w:t>Dube v PSMAS</w:t>
      </w:r>
      <w:r w:rsidR="00655097" w:rsidRPr="00903402">
        <w:rPr>
          <w:rFonts w:ascii="Times New Roman" w:hAnsi="Times New Roman" w:cs="Times New Roman"/>
          <w:sz w:val="24"/>
          <w:szCs w:val="24"/>
        </w:rPr>
        <w:t xml:space="preserve"> SC 5/22. </w:t>
      </w:r>
      <w:r w:rsidR="00655097" w:rsidRPr="00903402">
        <w:rPr>
          <w:rFonts w:ascii="Times New Roman" w:hAnsi="Times New Roman" w:cs="Times New Roman"/>
          <w:i/>
          <w:iCs/>
          <w:sz w:val="24"/>
          <w:szCs w:val="24"/>
        </w:rPr>
        <w:t>Mr. Mafongoya</w:t>
      </w:r>
      <w:r w:rsidR="00655097" w:rsidRPr="00903402">
        <w:rPr>
          <w:rFonts w:ascii="Times New Roman" w:hAnsi="Times New Roman" w:cs="Times New Roman"/>
          <w:sz w:val="24"/>
          <w:szCs w:val="24"/>
        </w:rPr>
        <w:t xml:space="preserve"> argued that the issue of prescription follows an enquiry before the arbitrator who then is positioned to interpret the provisions of the law.</w:t>
      </w:r>
    </w:p>
    <w:p w14:paraId="5BB72E03" w14:textId="79197831" w:rsidR="00655097" w:rsidRPr="00903402" w:rsidRDefault="00655097" w:rsidP="00903402">
      <w:pPr>
        <w:jc w:val="both"/>
        <w:rPr>
          <w:rFonts w:ascii="Times New Roman" w:hAnsi="Times New Roman" w:cs="Times New Roman"/>
          <w:sz w:val="24"/>
          <w:szCs w:val="24"/>
        </w:rPr>
      </w:pPr>
      <w:r w:rsidRPr="00903402">
        <w:rPr>
          <w:rFonts w:ascii="Times New Roman" w:hAnsi="Times New Roman" w:cs="Times New Roman"/>
          <w:sz w:val="24"/>
          <w:szCs w:val="24"/>
        </w:rPr>
        <w:t>It was also argued that the Terms of Reference were crafted by the parties and the Appellant participated in that process.</w:t>
      </w:r>
    </w:p>
    <w:p w14:paraId="3B7AEE5C" w14:textId="3BEEBE2C" w:rsidR="007A49C4" w:rsidRPr="00903402" w:rsidRDefault="007A49C4" w:rsidP="00903402">
      <w:pPr>
        <w:jc w:val="both"/>
        <w:rPr>
          <w:rFonts w:ascii="Times New Roman" w:hAnsi="Times New Roman" w:cs="Times New Roman"/>
          <w:sz w:val="24"/>
          <w:szCs w:val="24"/>
        </w:rPr>
      </w:pPr>
      <w:r w:rsidRPr="00903402">
        <w:rPr>
          <w:rFonts w:ascii="Times New Roman" w:hAnsi="Times New Roman" w:cs="Times New Roman"/>
          <w:sz w:val="24"/>
          <w:szCs w:val="24"/>
        </w:rPr>
        <w:t>In paragraph 4.1 of Respondent’s heads of argument, it was submitted as follows:</w:t>
      </w:r>
    </w:p>
    <w:p w14:paraId="63185539" w14:textId="012C0E58" w:rsidR="007A49C4" w:rsidRPr="00903402" w:rsidRDefault="007A49C4" w:rsidP="00903402">
      <w:pPr>
        <w:ind w:left="720"/>
        <w:jc w:val="both"/>
        <w:rPr>
          <w:rFonts w:ascii="Times New Roman" w:hAnsi="Times New Roman" w:cs="Times New Roman"/>
          <w:sz w:val="24"/>
          <w:szCs w:val="24"/>
        </w:rPr>
      </w:pPr>
      <w:r w:rsidRPr="00903402">
        <w:rPr>
          <w:rFonts w:ascii="Times New Roman" w:hAnsi="Times New Roman" w:cs="Times New Roman"/>
          <w:sz w:val="24"/>
          <w:szCs w:val="24"/>
        </w:rPr>
        <w:t>“With respect, Labour Officers have never assumed jurisdiction to determine the question of prescription in matters that come before them, and in terms of their disposition, they are to be referred to arbitration. Without doubt, this is salutary practice which the Hon F.V. Maravanyika, the conciliator in the matter complied with and we submit that she was in line with the law.”</w:t>
      </w:r>
    </w:p>
    <w:p w14:paraId="319F9F82" w14:textId="02BF5E27" w:rsidR="007A49C4" w:rsidRPr="00903402" w:rsidRDefault="007A49C4"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It was further averred in paragraph 4.2 that conciliation is not adjudication as it is an alternative dispute resolution mechanism which is aimed at bringing parties to a settlement through persuasion, negotiation and mutual understanding. Reference is also made to the </w:t>
      </w:r>
      <w:r w:rsidRPr="00903402">
        <w:rPr>
          <w:rFonts w:ascii="Times New Roman" w:hAnsi="Times New Roman" w:cs="Times New Roman"/>
          <w:b/>
          <w:bCs/>
          <w:sz w:val="24"/>
          <w:szCs w:val="24"/>
        </w:rPr>
        <w:t>Isoquant Case</w:t>
      </w:r>
      <w:r w:rsidRPr="00903402">
        <w:rPr>
          <w:rFonts w:ascii="Times New Roman" w:hAnsi="Times New Roman" w:cs="Times New Roman"/>
          <w:sz w:val="24"/>
          <w:szCs w:val="24"/>
        </w:rPr>
        <w:t xml:space="preserve"> in the heads of argument. In paragraph 4.4 it was submitted that a conciliator has no jurisdiction to adjudicate on any question of fact or law that arises from a matter referred to him/her in terms of section 93 (1) of the Act.</w:t>
      </w:r>
    </w:p>
    <w:p w14:paraId="60DA5D73" w14:textId="60903F7F" w:rsidR="001F2D9E" w:rsidRPr="00903402" w:rsidRDefault="001F2D9E" w:rsidP="00903402">
      <w:pPr>
        <w:jc w:val="both"/>
        <w:rPr>
          <w:rFonts w:ascii="Times New Roman" w:hAnsi="Times New Roman" w:cs="Times New Roman"/>
          <w:b/>
          <w:bCs/>
          <w:sz w:val="24"/>
          <w:szCs w:val="24"/>
        </w:rPr>
      </w:pPr>
      <w:r w:rsidRPr="00903402">
        <w:rPr>
          <w:rFonts w:ascii="Times New Roman" w:hAnsi="Times New Roman" w:cs="Times New Roman"/>
          <w:b/>
          <w:bCs/>
          <w:sz w:val="24"/>
          <w:szCs w:val="24"/>
        </w:rPr>
        <w:t>ANALYSIS</w:t>
      </w:r>
    </w:p>
    <w:p w14:paraId="6F1A5EB7" w14:textId="4F5B9172" w:rsidR="00C123CF" w:rsidRPr="00903402" w:rsidRDefault="00C123CF"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The Appellant has filed three grounds of appeal. A reading of those grounds of appeal </w:t>
      </w:r>
      <w:r w:rsidR="005E2543" w:rsidRPr="00903402">
        <w:rPr>
          <w:rFonts w:ascii="Times New Roman" w:hAnsi="Times New Roman" w:cs="Times New Roman"/>
          <w:sz w:val="24"/>
          <w:szCs w:val="24"/>
        </w:rPr>
        <w:t>shows</w:t>
      </w:r>
      <w:r w:rsidRPr="00903402">
        <w:rPr>
          <w:rFonts w:ascii="Times New Roman" w:hAnsi="Times New Roman" w:cs="Times New Roman"/>
          <w:sz w:val="24"/>
          <w:szCs w:val="24"/>
        </w:rPr>
        <w:t xml:space="preserve"> that the sole issue for determination is whether the labour officer was correct in not determining the issue of prescription which would result in the decision of the Arbitrator being tainted.</w:t>
      </w:r>
    </w:p>
    <w:p w14:paraId="05F0CE75" w14:textId="0B562CEA" w:rsidR="001F2D9E" w:rsidRPr="00903402" w:rsidRDefault="001F2D9E"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Even though both parties refer to the </w:t>
      </w:r>
      <w:r w:rsidRPr="005E2543">
        <w:rPr>
          <w:rFonts w:ascii="Times New Roman" w:hAnsi="Times New Roman" w:cs="Times New Roman"/>
          <w:b/>
          <w:bCs/>
          <w:sz w:val="24"/>
          <w:szCs w:val="24"/>
        </w:rPr>
        <w:t>Isoquant Case</w:t>
      </w:r>
      <w:r w:rsidRPr="00903402">
        <w:rPr>
          <w:rFonts w:ascii="Times New Roman" w:hAnsi="Times New Roman" w:cs="Times New Roman"/>
          <w:sz w:val="24"/>
          <w:szCs w:val="24"/>
        </w:rPr>
        <w:t xml:space="preserve"> </w:t>
      </w:r>
      <w:r w:rsidR="005E2543" w:rsidRPr="00903402">
        <w:rPr>
          <w:rFonts w:ascii="Times New Roman" w:hAnsi="Times New Roman" w:cs="Times New Roman"/>
          <w:sz w:val="24"/>
          <w:szCs w:val="24"/>
        </w:rPr>
        <w:t>in submissions</w:t>
      </w:r>
      <w:r w:rsidRPr="00903402">
        <w:rPr>
          <w:rFonts w:ascii="Times New Roman" w:hAnsi="Times New Roman" w:cs="Times New Roman"/>
          <w:sz w:val="24"/>
          <w:szCs w:val="24"/>
        </w:rPr>
        <w:t>, it is my view that the matter is resolved if regard is had to the determination made by that Court. Both parties did not refer to the pertinent portion of the judgment which deals with the issue. I will quote extensively from that portion of the judgment which is as follows:</w:t>
      </w:r>
    </w:p>
    <w:p w14:paraId="4B23A742" w14:textId="7EEC3513" w:rsidR="001F2D9E" w:rsidRPr="00903402" w:rsidRDefault="001F2D9E" w:rsidP="00903402">
      <w:pPr>
        <w:ind w:left="720"/>
        <w:jc w:val="both"/>
        <w:rPr>
          <w:rFonts w:ascii="Times New Roman" w:hAnsi="Times New Roman" w:cs="Times New Roman"/>
          <w:sz w:val="24"/>
          <w:szCs w:val="24"/>
        </w:rPr>
      </w:pPr>
      <w:r w:rsidRPr="00903402">
        <w:rPr>
          <w:rFonts w:ascii="Times New Roman" w:hAnsi="Times New Roman" w:cs="Times New Roman"/>
          <w:sz w:val="24"/>
          <w:szCs w:val="24"/>
        </w:rPr>
        <w:t>“Section 93 (1) of the Act makes provision for conciliation. It is the statutorily compulsory method for the resolution of all disputes and unfair practices referred to a labor officer. The adoption of compulsory conciliation as the procedure for the resolution of disputes arising from employment relationships referred to a labour officer underscores its importance. It is an</w:t>
      </w:r>
      <w:r w:rsidR="0071207F" w:rsidRPr="00903402">
        <w:rPr>
          <w:rFonts w:ascii="Times New Roman" w:hAnsi="Times New Roman" w:cs="Times New Roman"/>
          <w:sz w:val="24"/>
          <w:szCs w:val="24"/>
        </w:rPr>
        <w:t xml:space="preserve"> expression </w:t>
      </w:r>
      <w:r w:rsidR="005E2543" w:rsidRPr="00903402">
        <w:rPr>
          <w:rFonts w:ascii="Times New Roman" w:hAnsi="Times New Roman" w:cs="Times New Roman"/>
          <w:sz w:val="24"/>
          <w:szCs w:val="24"/>
        </w:rPr>
        <w:t>on</w:t>
      </w:r>
      <w:r w:rsidR="0071207F" w:rsidRPr="00903402">
        <w:rPr>
          <w:rFonts w:ascii="Times New Roman" w:hAnsi="Times New Roman" w:cs="Times New Roman"/>
          <w:sz w:val="24"/>
          <w:szCs w:val="24"/>
        </w:rPr>
        <w:t xml:space="preserve"> the part of the Legislature of the faith in conciliation as an effective process for consensus-seeking as a first step before the disputes become subjects of arbitration or adjudication. In terms of s 93 (1) of the Act all disputes </w:t>
      </w:r>
      <w:r w:rsidR="0071207F" w:rsidRPr="00903402">
        <w:rPr>
          <w:rFonts w:ascii="Times New Roman" w:hAnsi="Times New Roman" w:cs="Times New Roman"/>
          <w:b/>
          <w:bCs/>
          <w:sz w:val="24"/>
          <w:szCs w:val="24"/>
        </w:rPr>
        <w:t>properly referred</w:t>
      </w:r>
      <w:r w:rsidR="0071207F" w:rsidRPr="00903402">
        <w:rPr>
          <w:rFonts w:ascii="Times New Roman" w:hAnsi="Times New Roman" w:cs="Times New Roman"/>
          <w:sz w:val="24"/>
          <w:szCs w:val="24"/>
        </w:rPr>
        <w:t xml:space="preserve"> to a labour officer must first be subjected to the process of conciliation before they are referred to arbitration or adjudication, depending on the nature of the dispute.</w:t>
      </w:r>
    </w:p>
    <w:p w14:paraId="419473E2" w14:textId="675731F0" w:rsidR="0071207F" w:rsidRPr="00903402" w:rsidRDefault="0071207F" w:rsidP="00903402">
      <w:pPr>
        <w:ind w:left="720"/>
        <w:jc w:val="both"/>
        <w:rPr>
          <w:rFonts w:ascii="Times New Roman" w:hAnsi="Times New Roman" w:cs="Times New Roman"/>
          <w:sz w:val="24"/>
          <w:szCs w:val="24"/>
        </w:rPr>
      </w:pPr>
      <w:r w:rsidRPr="00903402">
        <w:rPr>
          <w:rFonts w:ascii="Times New Roman" w:hAnsi="Times New Roman" w:cs="Times New Roman"/>
          <w:sz w:val="24"/>
          <w:szCs w:val="24"/>
        </w:rPr>
        <w:t>Although the Act does not require a party to allege a cause of action</w:t>
      </w:r>
      <w:r w:rsidRPr="00903402">
        <w:rPr>
          <w:rFonts w:ascii="Times New Roman" w:hAnsi="Times New Roman" w:cs="Times New Roman"/>
          <w:b/>
          <w:bCs/>
          <w:sz w:val="24"/>
          <w:szCs w:val="24"/>
        </w:rPr>
        <w:t>, it is necessary to allege a dispute within the jurisdiction of the labour officer. The following jurisdictional facts must be asserted or must appear when referring a dispute</w:t>
      </w:r>
      <w:r w:rsidRPr="00903402">
        <w:rPr>
          <w:rFonts w:ascii="Times New Roman" w:hAnsi="Times New Roman" w:cs="Times New Roman"/>
          <w:sz w:val="24"/>
          <w:szCs w:val="24"/>
        </w:rPr>
        <w:t xml:space="preserve"> in terms of s 93 (1) of the Act to a labour officer;</w:t>
      </w:r>
    </w:p>
    <w:p w14:paraId="520CA3AE" w14:textId="5EA81AAD" w:rsidR="0071207F" w:rsidRPr="00903402" w:rsidRDefault="005E2543" w:rsidP="0090340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71207F" w:rsidRPr="00903402">
        <w:rPr>
          <w:rFonts w:ascii="Times New Roman" w:hAnsi="Times New Roman" w:cs="Times New Roman"/>
          <w:sz w:val="24"/>
          <w:szCs w:val="24"/>
        </w:rPr>
        <w:t>here must be a dispute;</w:t>
      </w:r>
    </w:p>
    <w:p w14:paraId="24D8D031" w14:textId="0F284E95" w:rsidR="0071207F" w:rsidRPr="00903402" w:rsidRDefault="005E2543" w:rsidP="0090340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71207F" w:rsidRPr="00903402">
        <w:rPr>
          <w:rFonts w:ascii="Times New Roman" w:hAnsi="Times New Roman" w:cs="Times New Roman"/>
          <w:sz w:val="24"/>
          <w:szCs w:val="24"/>
        </w:rPr>
        <w:t>he dispute should have arisen within an employment relationship;</w:t>
      </w:r>
    </w:p>
    <w:p w14:paraId="31354070" w14:textId="073C314A" w:rsidR="0071207F" w:rsidRPr="00903402" w:rsidRDefault="005E2543" w:rsidP="00903402">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t</w:t>
      </w:r>
      <w:r w:rsidR="0071207F" w:rsidRPr="00903402">
        <w:rPr>
          <w:rFonts w:ascii="Times New Roman" w:hAnsi="Times New Roman" w:cs="Times New Roman"/>
          <w:b/>
          <w:bCs/>
          <w:sz w:val="24"/>
          <w:szCs w:val="24"/>
        </w:rPr>
        <w:t>he dispute should fall within the powers of a labour officer;</w:t>
      </w:r>
    </w:p>
    <w:p w14:paraId="612696A8" w14:textId="2A1E9F98" w:rsidR="0071207F" w:rsidRPr="00903402" w:rsidRDefault="005E2543" w:rsidP="0090340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71207F" w:rsidRPr="00903402">
        <w:rPr>
          <w:rFonts w:ascii="Times New Roman" w:hAnsi="Times New Roman" w:cs="Times New Roman"/>
          <w:sz w:val="24"/>
          <w:szCs w:val="24"/>
        </w:rPr>
        <w:t>he issue in dispute should not be subject to proceedings under the employment code (s 101 (5) as read with s 101 (6) of the Act);</w:t>
      </w:r>
    </w:p>
    <w:p w14:paraId="5CDAB19A" w14:textId="0B4993AF" w:rsidR="0071207F" w:rsidRPr="00903402" w:rsidRDefault="005E2543" w:rsidP="00903402">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71207F" w:rsidRPr="00903402">
        <w:rPr>
          <w:rFonts w:ascii="Times New Roman" w:hAnsi="Times New Roman" w:cs="Times New Roman"/>
          <w:sz w:val="24"/>
          <w:szCs w:val="24"/>
        </w:rPr>
        <w:t>he parties should not be subject to an employment council with jurisdiction. In other words, a designated agent should not be seized with the dispute (s 63 (3b) of the Act; and</w:t>
      </w:r>
    </w:p>
    <w:p w14:paraId="04D498DB" w14:textId="18BDDEA4" w:rsidR="0071207F" w:rsidRPr="00903402" w:rsidRDefault="005E2543" w:rsidP="00903402">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t</w:t>
      </w:r>
      <w:r w:rsidR="0071207F" w:rsidRPr="00903402">
        <w:rPr>
          <w:rFonts w:ascii="Times New Roman" w:hAnsi="Times New Roman" w:cs="Times New Roman"/>
          <w:b/>
          <w:bCs/>
          <w:sz w:val="24"/>
          <w:szCs w:val="24"/>
        </w:rPr>
        <w:t>he referral should be timeous (s 94 (1)</w:t>
      </w:r>
      <w:r w:rsidR="009B3F1E" w:rsidRPr="00903402">
        <w:rPr>
          <w:rFonts w:ascii="Times New Roman" w:hAnsi="Times New Roman" w:cs="Times New Roman"/>
          <w:b/>
          <w:bCs/>
          <w:sz w:val="24"/>
          <w:szCs w:val="24"/>
        </w:rPr>
        <w:t xml:space="preserve"> of the Act.).</w:t>
      </w:r>
    </w:p>
    <w:p w14:paraId="43A871C1" w14:textId="112111F4" w:rsidR="009B3F1E" w:rsidRPr="00903402" w:rsidRDefault="009B3F1E" w:rsidP="00903402">
      <w:pPr>
        <w:ind w:left="720"/>
        <w:jc w:val="both"/>
        <w:rPr>
          <w:rFonts w:ascii="Times New Roman" w:hAnsi="Times New Roman" w:cs="Times New Roman"/>
          <w:sz w:val="24"/>
          <w:szCs w:val="24"/>
        </w:rPr>
      </w:pPr>
      <w:r w:rsidRPr="00903402">
        <w:rPr>
          <w:rFonts w:ascii="Times New Roman" w:hAnsi="Times New Roman" w:cs="Times New Roman"/>
          <w:b/>
          <w:bCs/>
          <w:sz w:val="24"/>
          <w:szCs w:val="24"/>
        </w:rPr>
        <w:t xml:space="preserve">The jurisdictional facts must actually exist. </w:t>
      </w:r>
      <w:r w:rsidRPr="00903402">
        <w:rPr>
          <w:rFonts w:ascii="Times New Roman" w:hAnsi="Times New Roman" w:cs="Times New Roman"/>
          <w:sz w:val="24"/>
          <w:szCs w:val="24"/>
        </w:rPr>
        <w:t>They cannot be created by consent of the parties.”</w:t>
      </w:r>
    </w:p>
    <w:p w14:paraId="573661B5" w14:textId="17899905" w:rsidR="009B3F1E" w:rsidRPr="00903402" w:rsidRDefault="009B3F1E" w:rsidP="00903402">
      <w:pPr>
        <w:jc w:val="both"/>
        <w:rPr>
          <w:rFonts w:ascii="Times New Roman" w:hAnsi="Times New Roman" w:cs="Times New Roman"/>
          <w:sz w:val="24"/>
          <w:szCs w:val="24"/>
        </w:rPr>
      </w:pPr>
      <w:r w:rsidRPr="00903402">
        <w:rPr>
          <w:rFonts w:ascii="Times New Roman" w:hAnsi="Times New Roman" w:cs="Times New Roman"/>
          <w:sz w:val="24"/>
          <w:szCs w:val="24"/>
        </w:rPr>
        <w:t>The judgment clearly states that the dispute must be ‘properly referred’. I am of the view that this pertains to</w:t>
      </w:r>
      <w:r w:rsidR="00B60400">
        <w:rPr>
          <w:rFonts w:ascii="Times New Roman" w:hAnsi="Times New Roman" w:cs="Times New Roman"/>
          <w:sz w:val="24"/>
          <w:szCs w:val="24"/>
        </w:rPr>
        <w:t xml:space="preserve"> the</w:t>
      </w:r>
      <w:r w:rsidRPr="00903402">
        <w:rPr>
          <w:rFonts w:ascii="Times New Roman" w:hAnsi="Times New Roman" w:cs="Times New Roman"/>
          <w:sz w:val="24"/>
          <w:szCs w:val="24"/>
        </w:rPr>
        <w:t xml:space="preserve"> fact that there must be provision within the law that allows for such a dispute to be referred to a Labour Officer. Further, in the judgment, it has been stated that t</w:t>
      </w:r>
      <w:r w:rsidRPr="00903402">
        <w:rPr>
          <w:rFonts w:ascii="Times New Roman" w:hAnsi="Times New Roman" w:cs="Times New Roman"/>
          <w:i/>
          <w:iCs/>
          <w:sz w:val="24"/>
          <w:szCs w:val="24"/>
        </w:rPr>
        <w:t xml:space="preserve">he dispute must be within the jurisdiction of the labour officer. </w:t>
      </w:r>
      <w:r w:rsidRPr="00903402">
        <w:rPr>
          <w:rFonts w:ascii="Times New Roman" w:hAnsi="Times New Roman" w:cs="Times New Roman"/>
          <w:sz w:val="24"/>
          <w:szCs w:val="24"/>
        </w:rPr>
        <w:t>Clearly, the labour officer is disabled from entertaining a dispute that is not within his/her jurisdiction. It is further cautioned in the judgment that the ‘</w:t>
      </w:r>
      <w:r w:rsidRPr="00B60400">
        <w:rPr>
          <w:rFonts w:ascii="Times New Roman" w:hAnsi="Times New Roman" w:cs="Times New Roman"/>
          <w:i/>
          <w:iCs/>
          <w:sz w:val="24"/>
          <w:szCs w:val="24"/>
        </w:rPr>
        <w:t>following jurisdictional facts must be asserted or must appear’</w:t>
      </w:r>
      <w:r w:rsidRPr="00903402">
        <w:rPr>
          <w:rFonts w:ascii="Times New Roman" w:hAnsi="Times New Roman" w:cs="Times New Roman"/>
          <w:sz w:val="24"/>
          <w:szCs w:val="24"/>
        </w:rPr>
        <w:t xml:space="preserve"> and the list that follows includes paragraphs </w:t>
      </w:r>
      <w:r w:rsidR="00B60400">
        <w:rPr>
          <w:rFonts w:ascii="Times New Roman" w:hAnsi="Times New Roman" w:cs="Times New Roman"/>
          <w:sz w:val="24"/>
          <w:szCs w:val="24"/>
        </w:rPr>
        <w:t>(</w:t>
      </w:r>
      <w:r w:rsidRPr="00903402">
        <w:rPr>
          <w:rFonts w:ascii="Times New Roman" w:hAnsi="Times New Roman" w:cs="Times New Roman"/>
          <w:sz w:val="24"/>
          <w:szCs w:val="24"/>
        </w:rPr>
        <w:t>c</w:t>
      </w:r>
      <w:r w:rsidR="00B60400">
        <w:rPr>
          <w:rFonts w:ascii="Times New Roman" w:hAnsi="Times New Roman" w:cs="Times New Roman"/>
          <w:sz w:val="24"/>
          <w:szCs w:val="24"/>
        </w:rPr>
        <w:t>)</w:t>
      </w:r>
      <w:r w:rsidRPr="00903402">
        <w:rPr>
          <w:rFonts w:ascii="Times New Roman" w:hAnsi="Times New Roman" w:cs="Times New Roman"/>
          <w:sz w:val="24"/>
          <w:szCs w:val="24"/>
        </w:rPr>
        <w:t xml:space="preserve"> and </w:t>
      </w:r>
      <w:r w:rsidR="00B60400">
        <w:rPr>
          <w:rFonts w:ascii="Times New Roman" w:hAnsi="Times New Roman" w:cs="Times New Roman"/>
          <w:sz w:val="24"/>
          <w:szCs w:val="24"/>
        </w:rPr>
        <w:t>(</w:t>
      </w:r>
      <w:r w:rsidRPr="00903402">
        <w:rPr>
          <w:rFonts w:ascii="Times New Roman" w:hAnsi="Times New Roman" w:cs="Times New Roman"/>
          <w:sz w:val="24"/>
          <w:szCs w:val="24"/>
        </w:rPr>
        <w:t>f</w:t>
      </w:r>
      <w:r w:rsidR="00B60400">
        <w:rPr>
          <w:rFonts w:ascii="Times New Roman" w:hAnsi="Times New Roman" w:cs="Times New Roman"/>
          <w:sz w:val="24"/>
          <w:szCs w:val="24"/>
        </w:rPr>
        <w:t>)</w:t>
      </w:r>
      <w:r w:rsidRPr="00903402">
        <w:rPr>
          <w:rFonts w:ascii="Times New Roman" w:hAnsi="Times New Roman" w:cs="Times New Roman"/>
          <w:sz w:val="24"/>
          <w:szCs w:val="24"/>
        </w:rPr>
        <w:t xml:space="preserve"> which are pertinent issues in this matter. Paragraph </w:t>
      </w:r>
      <w:r w:rsidR="00B60400">
        <w:rPr>
          <w:rFonts w:ascii="Times New Roman" w:hAnsi="Times New Roman" w:cs="Times New Roman"/>
          <w:sz w:val="24"/>
          <w:szCs w:val="24"/>
        </w:rPr>
        <w:t xml:space="preserve">(c) </w:t>
      </w:r>
      <w:r w:rsidRPr="00903402">
        <w:rPr>
          <w:rFonts w:ascii="Times New Roman" w:hAnsi="Times New Roman" w:cs="Times New Roman"/>
          <w:sz w:val="24"/>
          <w:szCs w:val="24"/>
        </w:rPr>
        <w:t xml:space="preserve">alludes to the fact that the dispute should fall within the powers of a labour officer. However, paragraph </w:t>
      </w:r>
      <w:r w:rsidR="00B60400">
        <w:rPr>
          <w:rFonts w:ascii="Times New Roman" w:hAnsi="Times New Roman" w:cs="Times New Roman"/>
          <w:sz w:val="24"/>
          <w:szCs w:val="24"/>
        </w:rPr>
        <w:t>(</w:t>
      </w:r>
      <w:r w:rsidRPr="00903402">
        <w:rPr>
          <w:rFonts w:ascii="Times New Roman" w:hAnsi="Times New Roman" w:cs="Times New Roman"/>
          <w:sz w:val="24"/>
          <w:szCs w:val="24"/>
        </w:rPr>
        <w:t>f</w:t>
      </w:r>
      <w:r w:rsidR="00B60400">
        <w:rPr>
          <w:rFonts w:ascii="Times New Roman" w:hAnsi="Times New Roman" w:cs="Times New Roman"/>
          <w:sz w:val="24"/>
          <w:szCs w:val="24"/>
        </w:rPr>
        <w:t>)</w:t>
      </w:r>
      <w:r w:rsidRPr="00903402">
        <w:rPr>
          <w:rFonts w:ascii="Times New Roman" w:hAnsi="Times New Roman" w:cs="Times New Roman"/>
          <w:sz w:val="24"/>
          <w:szCs w:val="24"/>
        </w:rPr>
        <w:t xml:space="preserve"> specifically relates to the fact the referral must be timeous, that is, it must comply with section 94 (1) of the Act.</w:t>
      </w:r>
      <w:r w:rsidR="006845FD" w:rsidRPr="00903402">
        <w:rPr>
          <w:rFonts w:ascii="Times New Roman" w:hAnsi="Times New Roman" w:cs="Times New Roman"/>
          <w:sz w:val="24"/>
          <w:szCs w:val="24"/>
        </w:rPr>
        <w:t xml:space="preserve"> If there is non-compliance with one or more of those cited jurisdictional facts, the labour officer cannot proceed to entertain the matter in terms of section 93 (1) of the Act.</w:t>
      </w:r>
    </w:p>
    <w:p w14:paraId="59B2F1CE" w14:textId="2F6563A0" w:rsidR="006845FD" w:rsidRPr="00903402" w:rsidRDefault="006845FD"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In </w:t>
      </w:r>
      <w:r w:rsidRPr="00903402">
        <w:rPr>
          <w:rFonts w:ascii="Times New Roman" w:hAnsi="Times New Roman" w:cs="Times New Roman"/>
          <w:b/>
          <w:bCs/>
          <w:sz w:val="24"/>
          <w:szCs w:val="24"/>
        </w:rPr>
        <w:t>Medicines Control Authority of Zimbabwe v Nathan Toronga &amp; Others</w:t>
      </w:r>
      <w:r w:rsidRPr="00903402">
        <w:rPr>
          <w:rFonts w:ascii="Times New Roman" w:hAnsi="Times New Roman" w:cs="Times New Roman"/>
          <w:sz w:val="24"/>
          <w:szCs w:val="24"/>
        </w:rPr>
        <w:t xml:space="preserve"> SC 10/71, GWAUNZA JA  (as she then was) had this to say:</w:t>
      </w:r>
    </w:p>
    <w:p w14:paraId="58B3A426" w14:textId="1A1389A9" w:rsidR="006845FD" w:rsidRPr="00903402" w:rsidRDefault="006845FD" w:rsidP="00903402">
      <w:pPr>
        <w:ind w:left="720"/>
        <w:jc w:val="both"/>
        <w:rPr>
          <w:rFonts w:ascii="Times New Roman" w:hAnsi="Times New Roman" w:cs="Times New Roman"/>
          <w:sz w:val="24"/>
          <w:szCs w:val="24"/>
        </w:rPr>
      </w:pPr>
      <w:r w:rsidRPr="00903402">
        <w:rPr>
          <w:rFonts w:ascii="Times New Roman" w:hAnsi="Times New Roman" w:cs="Times New Roman"/>
          <w:sz w:val="24"/>
          <w:szCs w:val="24"/>
        </w:rPr>
        <w:t>“Jurisdiction in simple terms can be defined as the power or competence of a particular court or tribunal to hear and determine an issue brought before it. A plea of jurisdiction therefore attacks the competence of a court or tribunal to hear and determine the matter.”</w:t>
      </w:r>
    </w:p>
    <w:p w14:paraId="3CF0128F" w14:textId="0E8D04D0" w:rsidR="006845FD" w:rsidRPr="00903402" w:rsidRDefault="006845FD" w:rsidP="00903402">
      <w:pPr>
        <w:jc w:val="both"/>
        <w:rPr>
          <w:rFonts w:ascii="Times New Roman" w:hAnsi="Times New Roman" w:cs="Times New Roman"/>
          <w:sz w:val="24"/>
          <w:szCs w:val="24"/>
        </w:rPr>
      </w:pPr>
      <w:r w:rsidRPr="00903402">
        <w:rPr>
          <w:rFonts w:ascii="Times New Roman" w:hAnsi="Times New Roman" w:cs="Times New Roman"/>
          <w:sz w:val="24"/>
          <w:szCs w:val="24"/>
        </w:rPr>
        <w:t>It is my view that section 94 clearly provide</w:t>
      </w:r>
      <w:r w:rsidR="00C123CF" w:rsidRPr="00903402">
        <w:rPr>
          <w:rFonts w:ascii="Times New Roman" w:hAnsi="Times New Roman" w:cs="Times New Roman"/>
          <w:sz w:val="24"/>
          <w:szCs w:val="24"/>
        </w:rPr>
        <w:t>s</w:t>
      </w:r>
      <w:r w:rsidRPr="00903402">
        <w:rPr>
          <w:rFonts w:ascii="Times New Roman" w:hAnsi="Times New Roman" w:cs="Times New Roman"/>
          <w:sz w:val="24"/>
          <w:szCs w:val="24"/>
        </w:rPr>
        <w:t xml:space="preserve"> what jurisdiction is accorded to a labour officer in terms of subsections 2 and 3 thereof and the non-compliance with the provisions would have a domino effect as any proceedings commenced by the labour officer where he/she lacks jurisdiction would mean</w:t>
      </w:r>
      <w:r w:rsidR="00C123CF" w:rsidRPr="00903402">
        <w:rPr>
          <w:rFonts w:ascii="Times New Roman" w:hAnsi="Times New Roman" w:cs="Times New Roman"/>
          <w:sz w:val="24"/>
          <w:szCs w:val="24"/>
        </w:rPr>
        <w:t xml:space="preserve"> that</w:t>
      </w:r>
      <w:r w:rsidRPr="00903402">
        <w:rPr>
          <w:rFonts w:ascii="Times New Roman" w:hAnsi="Times New Roman" w:cs="Times New Roman"/>
          <w:sz w:val="24"/>
          <w:szCs w:val="24"/>
        </w:rPr>
        <w:t xml:space="preserve"> the whole conciliation process becomes a nullity.</w:t>
      </w:r>
    </w:p>
    <w:p w14:paraId="003AC108" w14:textId="6B49CD0C" w:rsidR="00C123CF" w:rsidRPr="00903402" w:rsidRDefault="00C123CF"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Having stated the above observations, the labour officer could not legitimately proceed to attempt to conciliate the dispute without ascertaining whether the dispute had been properly referred and the jurisdictional facts enunciated in the </w:t>
      </w:r>
      <w:r w:rsidRPr="005E2543">
        <w:rPr>
          <w:rFonts w:ascii="Times New Roman" w:hAnsi="Times New Roman" w:cs="Times New Roman"/>
          <w:b/>
          <w:bCs/>
          <w:sz w:val="24"/>
          <w:szCs w:val="24"/>
        </w:rPr>
        <w:t>Isoquant</w:t>
      </w:r>
      <w:r w:rsidRPr="00903402">
        <w:rPr>
          <w:rFonts w:ascii="Times New Roman" w:hAnsi="Times New Roman" w:cs="Times New Roman"/>
          <w:sz w:val="24"/>
          <w:szCs w:val="24"/>
        </w:rPr>
        <w:t xml:space="preserve"> judgment were complied with. The subsequent referral to arbitration was therefore incompetent at law and the Arbitrator was equally disabled from dealing with the matter of prescription which was evidently within the province of the labour officer.</w:t>
      </w:r>
    </w:p>
    <w:p w14:paraId="2F1DC0BF" w14:textId="3EC924FB" w:rsidR="00903402" w:rsidRPr="00903402" w:rsidRDefault="00903402" w:rsidP="00903402">
      <w:pPr>
        <w:jc w:val="both"/>
        <w:rPr>
          <w:rFonts w:ascii="Times New Roman" w:hAnsi="Times New Roman" w:cs="Times New Roman"/>
          <w:sz w:val="24"/>
          <w:szCs w:val="24"/>
        </w:rPr>
      </w:pPr>
      <w:r w:rsidRPr="00903402">
        <w:rPr>
          <w:rFonts w:ascii="Times New Roman" w:hAnsi="Times New Roman" w:cs="Times New Roman"/>
          <w:sz w:val="24"/>
          <w:szCs w:val="24"/>
        </w:rPr>
        <w:t xml:space="preserve">In the result, the following Order is </w:t>
      </w:r>
      <w:r w:rsidR="005E2543" w:rsidRPr="00903402">
        <w:rPr>
          <w:rFonts w:ascii="Times New Roman" w:hAnsi="Times New Roman" w:cs="Times New Roman"/>
          <w:sz w:val="24"/>
          <w:szCs w:val="24"/>
        </w:rPr>
        <w:t>appropriate.</w:t>
      </w:r>
    </w:p>
    <w:p w14:paraId="407BAF8A" w14:textId="5D286304" w:rsidR="00903402" w:rsidRPr="00903402" w:rsidRDefault="00903402" w:rsidP="00903402">
      <w:pPr>
        <w:pStyle w:val="ListParagraph"/>
        <w:numPr>
          <w:ilvl w:val="0"/>
          <w:numId w:val="3"/>
        </w:numPr>
        <w:jc w:val="both"/>
        <w:rPr>
          <w:rFonts w:ascii="Times New Roman" w:hAnsi="Times New Roman" w:cs="Times New Roman"/>
          <w:sz w:val="24"/>
          <w:szCs w:val="24"/>
        </w:rPr>
      </w:pPr>
      <w:r w:rsidRPr="00903402">
        <w:rPr>
          <w:rFonts w:ascii="Times New Roman" w:hAnsi="Times New Roman" w:cs="Times New Roman"/>
          <w:sz w:val="24"/>
          <w:szCs w:val="24"/>
        </w:rPr>
        <w:t>The appeal is hereby upheld.</w:t>
      </w:r>
    </w:p>
    <w:p w14:paraId="432116AA" w14:textId="3748C3EF" w:rsidR="00903402" w:rsidRPr="00903402" w:rsidRDefault="00903402" w:rsidP="00903402">
      <w:pPr>
        <w:pStyle w:val="ListParagraph"/>
        <w:numPr>
          <w:ilvl w:val="0"/>
          <w:numId w:val="3"/>
        </w:numPr>
        <w:jc w:val="both"/>
        <w:rPr>
          <w:rFonts w:ascii="Times New Roman" w:hAnsi="Times New Roman" w:cs="Times New Roman"/>
          <w:sz w:val="24"/>
          <w:szCs w:val="24"/>
        </w:rPr>
      </w:pPr>
      <w:r w:rsidRPr="00903402">
        <w:rPr>
          <w:rFonts w:ascii="Times New Roman" w:hAnsi="Times New Roman" w:cs="Times New Roman"/>
          <w:sz w:val="24"/>
          <w:szCs w:val="24"/>
        </w:rPr>
        <w:t>The decision F.V. Maravanyika N.O. is hereby set aside.</w:t>
      </w:r>
    </w:p>
    <w:p w14:paraId="4EFDA3E7" w14:textId="73299000" w:rsidR="00903402" w:rsidRPr="00903402" w:rsidRDefault="00903402" w:rsidP="00903402">
      <w:pPr>
        <w:pStyle w:val="ListParagraph"/>
        <w:numPr>
          <w:ilvl w:val="0"/>
          <w:numId w:val="3"/>
        </w:numPr>
        <w:jc w:val="both"/>
        <w:rPr>
          <w:rFonts w:ascii="Times New Roman" w:hAnsi="Times New Roman" w:cs="Times New Roman"/>
          <w:sz w:val="24"/>
          <w:szCs w:val="24"/>
        </w:rPr>
      </w:pPr>
      <w:r w:rsidRPr="00903402">
        <w:rPr>
          <w:rFonts w:ascii="Times New Roman" w:hAnsi="Times New Roman" w:cs="Times New Roman"/>
          <w:sz w:val="24"/>
          <w:szCs w:val="24"/>
        </w:rPr>
        <w:t>The matter is remitted for hearing de novo before a different Labour Officer.</w:t>
      </w:r>
    </w:p>
    <w:p w14:paraId="71C9B1DA" w14:textId="1EFA60AC" w:rsidR="00903402" w:rsidRPr="00903402" w:rsidRDefault="00903402" w:rsidP="00903402">
      <w:pPr>
        <w:pStyle w:val="ListParagraph"/>
        <w:numPr>
          <w:ilvl w:val="0"/>
          <w:numId w:val="3"/>
        </w:numPr>
        <w:jc w:val="both"/>
        <w:rPr>
          <w:rFonts w:ascii="Times New Roman" w:hAnsi="Times New Roman" w:cs="Times New Roman"/>
          <w:sz w:val="24"/>
          <w:szCs w:val="24"/>
        </w:rPr>
      </w:pPr>
      <w:r w:rsidRPr="00903402">
        <w:rPr>
          <w:rFonts w:ascii="Times New Roman" w:hAnsi="Times New Roman" w:cs="Times New Roman"/>
          <w:sz w:val="24"/>
          <w:szCs w:val="24"/>
        </w:rPr>
        <w:t>Each party to meet its own costs.</w:t>
      </w:r>
    </w:p>
    <w:p w14:paraId="79AE0300" w14:textId="77777777" w:rsidR="00903402" w:rsidRPr="00903402" w:rsidRDefault="00903402" w:rsidP="00903402">
      <w:pPr>
        <w:jc w:val="both"/>
        <w:rPr>
          <w:rFonts w:ascii="Times New Roman" w:hAnsi="Times New Roman" w:cs="Times New Roman"/>
          <w:sz w:val="24"/>
          <w:szCs w:val="24"/>
        </w:rPr>
      </w:pPr>
    </w:p>
    <w:p w14:paraId="3C2875C0" w14:textId="77777777" w:rsidR="00903402" w:rsidRPr="00903402" w:rsidRDefault="00903402" w:rsidP="00903402">
      <w:pPr>
        <w:jc w:val="both"/>
        <w:rPr>
          <w:rFonts w:ascii="Times New Roman" w:hAnsi="Times New Roman" w:cs="Times New Roman"/>
          <w:sz w:val="24"/>
          <w:szCs w:val="24"/>
        </w:rPr>
      </w:pPr>
    </w:p>
    <w:p w14:paraId="0D12263F" w14:textId="77777777" w:rsidR="00903402" w:rsidRPr="00903402" w:rsidRDefault="00903402" w:rsidP="00903402">
      <w:pPr>
        <w:jc w:val="both"/>
        <w:rPr>
          <w:rFonts w:ascii="Times New Roman" w:hAnsi="Times New Roman" w:cs="Times New Roman"/>
          <w:sz w:val="24"/>
          <w:szCs w:val="24"/>
        </w:rPr>
      </w:pPr>
    </w:p>
    <w:p w14:paraId="3D8F79AF" w14:textId="77777777" w:rsidR="00903402" w:rsidRPr="00903402" w:rsidRDefault="00903402" w:rsidP="00903402">
      <w:pPr>
        <w:jc w:val="both"/>
        <w:rPr>
          <w:rFonts w:ascii="Times New Roman" w:hAnsi="Times New Roman" w:cs="Times New Roman"/>
          <w:sz w:val="24"/>
          <w:szCs w:val="24"/>
        </w:rPr>
      </w:pPr>
    </w:p>
    <w:p w14:paraId="4CFC291D" w14:textId="50EF73E4" w:rsidR="00903402" w:rsidRPr="00903402" w:rsidRDefault="00903402" w:rsidP="00903402">
      <w:pPr>
        <w:jc w:val="both"/>
        <w:rPr>
          <w:rFonts w:ascii="Times New Roman" w:hAnsi="Times New Roman" w:cs="Times New Roman"/>
          <w:sz w:val="24"/>
          <w:szCs w:val="24"/>
        </w:rPr>
      </w:pPr>
      <w:r w:rsidRPr="00903402">
        <w:rPr>
          <w:rFonts w:ascii="Times New Roman" w:hAnsi="Times New Roman" w:cs="Times New Roman"/>
          <w:sz w:val="24"/>
          <w:szCs w:val="24"/>
        </w:rPr>
        <w:t>MATLAW legal practitioners-</w:t>
      </w:r>
      <w:r w:rsidRPr="00903402">
        <w:rPr>
          <w:rFonts w:ascii="Times New Roman" w:hAnsi="Times New Roman" w:cs="Times New Roman"/>
          <w:sz w:val="24"/>
          <w:szCs w:val="24"/>
        </w:rPr>
        <w:tab/>
      </w:r>
      <w:r w:rsidRPr="00903402">
        <w:rPr>
          <w:rFonts w:ascii="Times New Roman" w:hAnsi="Times New Roman" w:cs="Times New Roman"/>
          <w:sz w:val="24"/>
          <w:szCs w:val="24"/>
        </w:rPr>
        <w:tab/>
      </w:r>
      <w:r w:rsidRPr="00903402">
        <w:rPr>
          <w:rFonts w:ascii="Times New Roman" w:hAnsi="Times New Roman" w:cs="Times New Roman"/>
          <w:sz w:val="24"/>
          <w:szCs w:val="24"/>
        </w:rPr>
        <w:tab/>
        <w:t>Appellant’s legal practitioners</w:t>
      </w:r>
    </w:p>
    <w:p w14:paraId="177EA800" w14:textId="04F1A052" w:rsidR="00903402" w:rsidRPr="00903402" w:rsidRDefault="00903402" w:rsidP="00903402">
      <w:pPr>
        <w:rPr>
          <w:rFonts w:ascii="Times New Roman" w:hAnsi="Times New Roman" w:cs="Times New Roman"/>
          <w:sz w:val="24"/>
          <w:szCs w:val="24"/>
        </w:rPr>
      </w:pPr>
      <w:r w:rsidRPr="00903402">
        <w:rPr>
          <w:rFonts w:ascii="Times New Roman" w:hAnsi="Times New Roman" w:cs="Times New Roman"/>
          <w:sz w:val="24"/>
          <w:szCs w:val="24"/>
        </w:rPr>
        <w:t>Mafongoya &amp; Matapura Legal Practice-</w:t>
      </w:r>
      <w:r w:rsidRPr="00903402">
        <w:rPr>
          <w:rFonts w:ascii="Times New Roman" w:hAnsi="Times New Roman" w:cs="Times New Roman"/>
          <w:sz w:val="24"/>
          <w:szCs w:val="24"/>
        </w:rPr>
        <w:tab/>
      </w:r>
      <w:r w:rsidR="00B60400">
        <w:rPr>
          <w:rFonts w:ascii="Times New Roman" w:hAnsi="Times New Roman" w:cs="Times New Roman"/>
          <w:sz w:val="24"/>
          <w:szCs w:val="24"/>
        </w:rPr>
        <w:tab/>
      </w:r>
      <w:r w:rsidRPr="00903402">
        <w:rPr>
          <w:rFonts w:ascii="Times New Roman" w:hAnsi="Times New Roman" w:cs="Times New Roman"/>
          <w:sz w:val="24"/>
          <w:szCs w:val="24"/>
        </w:rPr>
        <w:t>Respondent’s legal practitioners.</w:t>
      </w:r>
    </w:p>
    <w:sectPr w:rsidR="00903402" w:rsidRPr="009034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378B1" w14:textId="77777777" w:rsidR="00284137" w:rsidRDefault="00284137" w:rsidP="00B60400">
      <w:pPr>
        <w:spacing w:after="0" w:line="240" w:lineRule="auto"/>
      </w:pPr>
      <w:r>
        <w:separator/>
      </w:r>
    </w:p>
  </w:endnote>
  <w:endnote w:type="continuationSeparator" w:id="0">
    <w:p w14:paraId="70EC6EB5" w14:textId="77777777" w:rsidR="00284137" w:rsidRDefault="00284137" w:rsidP="00B6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71685"/>
      <w:docPartObj>
        <w:docPartGallery w:val="Page Numbers (Bottom of Page)"/>
        <w:docPartUnique/>
      </w:docPartObj>
    </w:sdtPr>
    <w:sdtEndPr>
      <w:rPr>
        <w:noProof/>
      </w:rPr>
    </w:sdtEndPr>
    <w:sdtContent>
      <w:p w14:paraId="4E88B9F6" w14:textId="68D995AC" w:rsidR="00B60400" w:rsidRDefault="00B60400">
        <w:pPr>
          <w:pStyle w:val="Footer"/>
          <w:jc w:val="center"/>
        </w:pPr>
        <w:r>
          <w:fldChar w:fldCharType="begin"/>
        </w:r>
        <w:r>
          <w:instrText xml:space="preserve"> PAGE   \* MERGEFORMAT </w:instrText>
        </w:r>
        <w:r>
          <w:fldChar w:fldCharType="separate"/>
        </w:r>
        <w:r w:rsidR="00AE229B">
          <w:rPr>
            <w:noProof/>
          </w:rPr>
          <w:t>1</w:t>
        </w:r>
        <w:r>
          <w:rPr>
            <w:noProof/>
          </w:rPr>
          <w:fldChar w:fldCharType="end"/>
        </w:r>
      </w:p>
    </w:sdtContent>
  </w:sdt>
  <w:p w14:paraId="1D59A0D0" w14:textId="77777777" w:rsidR="00B60400" w:rsidRDefault="00B604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CBE54" w14:textId="77777777" w:rsidR="00284137" w:rsidRDefault="00284137" w:rsidP="00B60400">
      <w:pPr>
        <w:spacing w:after="0" w:line="240" w:lineRule="auto"/>
      </w:pPr>
      <w:r>
        <w:separator/>
      </w:r>
    </w:p>
  </w:footnote>
  <w:footnote w:type="continuationSeparator" w:id="0">
    <w:p w14:paraId="3CD6C3AC" w14:textId="77777777" w:rsidR="00284137" w:rsidRDefault="00284137" w:rsidP="00B60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137F9"/>
    <w:multiLevelType w:val="hybridMultilevel"/>
    <w:tmpl w:val="D06AE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5A67F2"/>
    <w:multiLevelType w:val="hybridMultilevel"/>
    <w:tmpl w:val="8C148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5555C3"/>
    <w:multiLevelType w:val="hybridMultilevel"/>
    <w:tmpl w:val="5914BA16"/>
    <w:lvl w:ilvl="0" w:tplc="157CA6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981"/>
    <w:rsid w:val="00174734"/>
    <w:rsid w:val="001F2D9E"/>
    <w:rsid w:val="00284137"/>
    <w:rsid w:val="005029CB"/>
    <w:rsid w:val="0054333A"/>
    <w:rsid w:val="005E2543"/>
    <w:rsid w:val="00655097"/>
    <w:rsid w:val="006845FD"/>
    <w:rsid w:val="0071207F"/>
    <w:rsid w:val="007A49C4"/>
    <w:rsid w:val="008342B5"/>
    <w:rsid w:val="008B680D"/>
    <w:rsid w:val="00903402"/>
    <w:rsid w:val="009B3F1E"/>
    <w:rsid w:val="00AE229B"/>
    <w:rsid w:val="00B60400"/>
    <w:rsid w:val="00C123CF"/>
    <w:rsid w:val="00C33F27"/>
    <w:rsid w:val="00CD63FE"/>
    <w:rsid w:val="00D15E56"/>
    <w:rsid w:val="00DB54CD"/>
    <w:rsid w:val="00DB6981"/>
    <w:rsid w:val="00E2655A"/>
    <w:rsid w:val="00FA0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9CE6"/>
  <w15:chartTrackingRefBased/>
  <w15:docId w15:val="{2B50783E-53DF-4BDF-B292-12892C43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6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81"/>
    <w:rPr>
      <w:rFonts w:eastAsiaTheme="majorEastAsia" w:cstheme="majorBidi"/>
      <w:color w:val="272727" w:themeColor="text1" w:themeTint="D8"/>
    </w:rPr>
  </w:style>
  <w:style w:type="paragraph" w:styleId="Title">
    <w:name w:val="Title"/>
    <w:basedOn w:val="Normal"/>
    <w:next w:val="Normal"/>
    <w:link w:val="TitleChar"/>
    <w:uiPriority w:val="10"/>
    <w:qFormat/>
    <w:rsid w:val="00DB6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81"/>
    <w:pPr>
      <w:spacing w:before="160"/>
      <w:jc w:val="center"/>
    </w:pPr>
    <w:rPr>
      <w:i/>
      <w:iCs/>
      <w:color w:val="404040" w:themeColor="text1" w:themeTint="BF"/>
    </w:rPr>
  </w:style>
  <w:style w:type="character" w:customStyle="1" w:styleId="QuoteChar">
    <w:name w:val="Quote Char"/>
    <w:basedOn w:val="DefaultParagraphFont"/>
    <w:link w:val="Quote"/>
    <w:uiPriority w:val="29"/>
    <w:rsid w:val="00DB6981"/>
    <w:rPr>
      <w:i/>
      <w:iCs/>
      <w:color w:val="404040" w:themeColor="text1" w:themeTint="BF"/>
    </w:rPr>
  </w:style>
  <w:style w:type="paragraph" w:styleId="ListParagraph">
    <w:name w:val="List Paragraph"/>
    <w:basedOn w:val="Normal"/>
    <w:uiPriority w:val="34"/>
    <w:qFormat/>
    <w:rsid w:val="00DB6981"/>
    <w:pPr>
      <w:ind w:left="720"/>
      <w:contextualSpacing/>
    </w:pPr>
  </w:style>
  <w:style w:type="character" w:styleId="IntenseEmphasis">
    <w:name w:val="Intense Emphasis"/>
    <w:basedOn w:val="DefaultParagraphFont"/>
    <w:uiPriority w:val="21"/>
    <w:qFormat/>
    <w:rsid w:val="00DB6981"/>
    <w:rPr>
      <w:i/>
      <w:iCs/>
      <w:color w:val="0F4761" w:themeColor="accent1" w:themeShade="BF"/>
    </w:rPr>
  </w:style>
  <w:style w:type="paragraph" w:styleId="IntenseQuote">
    <w:name w:val="Intense Quote"/>
    <w:basedOn w:val="Normal"/>
    <w:next w:val="Normal"/>
    <w:link w:val="IntenseQuoteChar"/>
    <w:uiPriority w:val="30"/>
    <w:qFormat/>
    <w:rsid w:val="00DB6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81"/>
    <w:rPr>
      <w:i/>
      <w:iCs/>
      <w:color w:val="0F4761" w:themeColor="accent1" w:themeShade="BF"/>
    </w:rPr>
  </w:style>
  <w:style w:type="character" w:styleId="IntenseReference">
    <w:name w:val="Intense Reference"/>
    <w:basedOn w:val="DefaultParagraphFont"/>
    <w:uiPriority w:val="32"/>
    <w:qFormat/>
    <w:rsid w:val="00DB6981"/>
    <w:rPr>
      <w:b/>
      <w:bCs/>
      <w:smallCaps/>
      <w:color w:val="0F4761" w:themeColor="accent1" w:themeShade="BF"/>
      <w:spacing w:val="5"/>
    </w:rPr>
  </w:style>
  <w:style w:type="paragraph" w:styleId="Header">
    <w:name w:val="header"/>
    <w:basedOn w:val="Normal"/>
    <w:link w:val="HeaderChar"/>
    <w:uiPriority w:val="99"/>
    <w:unhideWhenUsed/>
    <w:rsid w:val="00B6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0400"/>
  </w:style>
  <w:style w:type="paragraph" w:styleId="Footer">
    <w:name w:val="footer"/>
    <w:basedOn w:val="Normal"/>
    <w:link w:val="FooterChar"/>
    <w:uiPriority w:val="99"/>
    <w:unhideWhenUsed/>
    <w:rsid w:val="00B6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Murasi J</dc:creator>
  <cp:keywords/>
  <dc:description/>
  <cp:lastModifiedBy>Microsoft account</cp:lastModifiedBy>
  <cp:revision>2</cp:revision>
  <dcterms:created xsi:type="dcterms:W3CDTF">2025-03-10T10:56:00Z</dcterms:created>
  <dcterms:modified xsi:type="dcterms:W3CDTF">2025-03-10T10:56:00Z</dcterms:modified>
</cp:coreProperties>
</file>