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3B" w:rsidRDefault="00922E7E" w:rsidP="006D1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ELECTRICITY TRANSMISSION</w:t>
      </w:r>
    </w:p>
    <w:p w:rsidR="00922E7E" w:rsidRDefault="00922E7E" w:rsidP="006D1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DISTRIBUTION COMPANY</w:t>
      </w:r>
    </w:p>
    <w:p w:rsidR="00922E7E" w:rsidRDefault="00922E7E" w:rsidP="006D14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922E7E" w:rsidRDefault="00922E7E" w:rsidP="006D1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IGNATIUS RUVINGA</w:t>
      </w:r>
    </w:p>
    <w:p w:rsidR="00922E7E" w:rsidRDefault="00922E7E" w:rsidP="006D14DD">
      <w:pPr>
        <w:spacing w:after="0" w:line="240" w:lineRule="auto"/>
        <w:jc w:val="both"/>
        <w:rPr>
          <w:rFonts w:ascii="Times New Roman" w:hAnsi="Times New Roman" w:cs="Times New Roman"/>
          <w:sz w:val="24"/>
          <w:szCs w:val="24"/>
        </w:rPr>
      </w:pPr>
    </w:p>
    <w:p w:rsidR="00922E7E" w:rsidRDefault="00922E7E" w:rsidP="006D14DD">
      <w:pPr>
        <w:spacing w:after="0" w:line="240" w:lineRule="auto"/>
        <w:jc w:val="both"/>
        <w:rPr>
          <w:rFonts w:ascii="Times New Roman" w:hAnsi="Times New Roman" w:cs="Times New Roman"/>
          <w:sz w:val="24"/>
          <w:szCs w:val="24"/>
        </w:rPr>
      </w:pPr>
    </w:p>
    <w:p w:rsidR="00922E7E" w:rsidRDefault="00922E7E" w:rsidP="006D1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22E7E" w:rsidRDefault="00922E7E" w:rsidP="006D1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BERE J</w:t>
      </w:r>
    </w:p>
    <w:p w:rsidR="00922E7E" w:rsidRDefault="00922E7E" w:rsidP="006D1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26 May 2011 and </w:t>
      </w:r>
      <w:r w:rsidR="00CA60A3">
        <w:rPr>
          <w:rFonts w:ascii="Times New Roman" w:hAnsi="Times New Roman" w:cs="Times New Roman"/>
          <w:sz w:val="24"/>
          <w:szCs w:val="24"/>
        </w:rPr>
        <w:t xml:space="preserve">18 July </w:t>
      </w:r>
      <w:r>
        <w:rPr>
          <w:rFonts w:ascii="Times New Roman" w:hAnsi="Times New Roman" w:cs="Times New Roman"/>
          <w:sz w:val="24"/>
          <w:szCs w:val="24"/>
        </w:rPr>
        <w:t>2012</w:t>
      </w:r>
    </w:p>
    <w:p w:rsidR="00922E7E" w:rsidRDefault="00922E7E" w:rsidP="006D14DD">
      <w:pPr>
        <w:spacing w:after="0" w:line="240" w:lineRule="auto"/>
        <w:jc w:val="both"/>
        <w:rPr>
          <w:rFonts w:ascii="Times New Roman" w:hAnsi="Times New Roman" w:cs="Times New Roman"/>
          <w:sz w:val="24"/>
          <w:szCs w:val="24"/>
        </w:rPr>
      </w:pPr>
    </w:p>
    <w:p w:rsidR="00922E7E" w:rsidRDefault="00922E7E" w:rsidP="006D14DD">
      <w:pPr>
        <w:spacing w:after="0" w:line="240" w:lineRule="auto"/>
        <w:jc w:val="both"/>
        <w:rPr>
          <w:rFonts w:ascii="Times New Roman" w:hAnsi="Times New Roman" w:cs="Times New Roman"/>
          <w:sz w:val="24"/>
          <w:szCs w:val="24"/>
        </w:rPr>
      </w:pPr>
    </w:p>
    <w:p w:rsidR="00922E7E" w:rsidRPr="00922E7E" w:rsidRDefault="00922E7E" w:rsidP="006D14DD">
      <w:pPr>
        <w:spacing w:after="0" w:line="240" w:lineRule="auto"/>
        <w:jc w:val="both"/>
        <w:rPr>
          <w:rFonts w:ascii="Times New Roman" w:hAnsi="Times New Roman" w:cs="Times New Roman"/>
          <w:b/>
          <w:sz w:val="24"/>
          <w:szCs w:val="24"/>
        </w:rPr>
      </w:pPr>
      <w:r w:rsidRPr="00922E7E">
        <w:rPr>
          <w:rFonts w:ascii="Times New Roman" w:hAnsi="Times New Roman" w:cs="Times New Roman"/>
          <w:b/>
          <w:sz w:val="24"/>
          <w:szCs w:val="24"/>
        </w:rPr>
        <w:t>Opposed Application</w:t>
      </w:r>
    </w:p>
    <w:p w:rsidR="00922E7E" w:rsidRDefault="00922E7E" w:rsidP="006D14DD">
      <w:pPr>
        <w:spacing w:after="0" w:line="240" w:lineRule="auto"/>
        <w:jc w:val="both"/>
        <w:rPr>
          <w:rFonts w:ascii="Times New Roman" w:hAnsi="Times New Roman" w:cs="Times New Roman"/>
          <w:sz w:val="24"/>
          <w:szCs w:val="24"/>
        </w:rPr>
      </w:pPr>
    </w:p>
    <w:p w:rsidR="00922E7E" w:rsidRDefault="00922E7E" w:rsidP="006D14DD">
      <w:pPr>
        <w:spacing w:after="0" w:line="240" w:lineRule="auto"/>
        <w:jc w:val="both"/>
        <w:rPr>
          <w:rFonts w:ascii="Times New Roman" w:hAnsi="Times New Roman" w:cs="Times New Roman"/>
          <w:sz w:val="24"/>
          <w:szCs w:val="24"/>
        </w:rPr>
      </w:pPr>
    </w:p>
    <w:p w:rsidR="00922E7E" w:rsidRDefault="00922E7E" w:rsidP="006D14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Bakasa</w:t>
      </w:r>
      <w:proofErr w:type="spellEnd"/>
      <w:r>
        <w:rPr>
          <w:rFonts w:ascii="Times New Roman" w:hAnsi="Times New Roman" w:cs="Times New Roman"/>
          <w:sz w:val="24"/>
          <w:szCs w:val="24"/>
        </w:rPr>
        <w:t>, for the applicant</w:t>
      </w:r>
    </w:p>
    <w:p w:rsidR="00922E7E" w:rsidRDefault="00922E7E" w:rsidP="006D1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in person</w:t>
      </w:r>
    </w:p>
    <w:p w:rsidR="00922E7E" w:rsidRDefault="00922E7E" w:rsidP="006D14DD">
      <w:pPr>
        <w:spacing w:after="0" w:line="240" w:lineRule="auto"/>
        <w:jc w:val="both"/>
        <w:rPr>
          <w:rFonts w:ascii="Times New Roman" w:hAnsi="Times New Roman" w:cs="Times New Roman"/>
          <w:sz w:val="24"/>
          <w:szCs w:val="24"/>
        </w:rPr>
      </w:pPr>
    </w:p>
    <w:p w:rsidR="00922E7E" w:rsidRDefault="00922E7E" w:rsidP="006D14DD">
      <w:pPr>
        <w:spacing w:after="0" w:line="240" w:lineRule="auto"/>
        <w:jc w:val="both"/>
        <w:rPr>
          <w:rFonts w:ascii="Times New Roman" w:hAnsi="Times New Roman" w:cs="Times New Roman"/>
          <w:sz w:val="24"/>
          <w:szCs w:val="24"/>
        </w:rPr>
      </w:pPr>
    </w:p>
    <w:p w:rsidR="00922E7E" w:rsidRDefault="00922E7E"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BERE J:  From a distance this is a simple application for rescission of judgment in </w:t>
      </w:r>
      <w:proofErr w:type="gramStart"/>
      <w:r>
        <w:rPr>
          <w:rFonts w:ascii="Times New Roman" w:hAnsi="Times New Roman" w:cs="Times New Roman"/>
          <w:sz w:val="24"/>
          <w:szCs w:val="24"/>
        </w:rPr>
        <w:t>order</w:t>
      </w:r>
      <w:proofErr w:type="gramEnd"/>
      <w:r>
        <w:rPr>
          <w:rFonts w:ascii="Times New Roman" w:hAnsi="Times New Roman" w:cs="Times New Roman"/>
          <w:sz w:val="24"/>
          <w:szCs w:val="24"/>
        </w:rPr>
        <w:t xml:space="preserve"> to pave way for the reinstatement of the defendant’s plea which was struck out by this court on 21 October 2010. A closer look at the application and the responses thereto make interesting, edifying and of course quite revealing aspects of the law as canvassed by the parties. I propose to start by providing a detailed background of this case.</w:t>
      </w:r>
    </w:p>
    <w:p w:rsidR="00922E7E" w:rsidRDefault="00922E7E" w:rsidP="006D14DD">
      <w:pPr>
        <w:spacing w:after="0" w:line="240" w:lineRule="auto"/>
        <w:jc w:val="both"/>
        <w:rPr>
          <w:rFonts w:ascii="Times New Roman" w:hAnsi="Times New Roman" w:cs="Times New Roman"/>
          <w:sz w:val="24"/>
          <w:szCs w:val="24"/>
        </w:rPr>
      </w:pPr>
    </w:p>
    <w:p w:rsidR="00922E7E" w:rsidRDefault="00922E7E" w:rsidP="006D14DD">
      <w:pPr>
        <w:spacing w:after="0" w:line="360" w:lineRule="auto"/>
        <w:jc w:val="both"/>
        <w:rPr>
          <w:rFonts w:ascii="Times New Roman" w:hAnsi="Times New Roman" w:cs="Times New Roman"/>
          <w:b/>
          <w:sz w:val="24"/>
          <w:szCs w:val="24"/>
        </w:rPr>
      </w:pPr>
      <w:r w:rsidRPr="00922E7E">
        <w:rPr>
          <w:rFonts w:ascii="Times New Roman" w:hAnsi="Times New Roman" w:cs="Times New Roman"/>
          <w:b/>
          <w:sz w:val="24"/>
          <w:szCs w:val="24"/>
        </w:rPr>
        <w:t>The Background</w:t>
      </w:r>
    </w:p>
    <w:p w:rsidR="00922E7E" w:rsidRDefault="00922E7E"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19 May 2010 the plaintiff (now the respondent) issued out process from this court against the respondent (the applicant in this matter) seeking the following:</w:t>
      </w:r>
    </w:p>
    <w:p w:rsidR="00922E7E" w:rsidRDefault="00922E7E" w:rsidP="006D14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“Payment of:</w:t>
      </w:r>
    </w:p>
    <w:p w:rsidR="00922E7E" w:rsidRDefault="00922E7E" w:rsidP="006D14DD">
      <w:pPr>
        <w:spacing w:after="0" w:line="240" w:lineRule="auto"/>
        <w:ind w:left="720"/>
        <w:jc w:val="both"/>
        <w:rPr>
          <w:rFonts w:ascii="Times New Roman" w:hAnsi="Times New Roman" w:cs="Times New Roman"/>
          <w:sz w:val="24"/>
          <w:szCs w:val="24"/>
        </w:rPr>
      </w:pPr>
    </w:p>
    <w:p w:rsidR="00922E7E" w:rsidRDefault="00922E7E" w:rsidP="006D14D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US$9 800-00 being the costs of replacing the motor;</w:t>
      </w:r>
    </w:p>
    <w:p w:rsidR="00922E7E" w:rsidRDefault="00922E7E" w:rsidP="006D14D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Payment of US$208 849-00 in respect of damages suffered as a result of the loss of the plaintiff’s crop;</w:t>
      </w:r>
    </w:p>
    <w:p w:rsidR="00922E7E" w:rsidRDefault="00922E7E" w:rsidP="006D14D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Payment of US$200 000-00 being damages in respect of mental anguish, anxiety and depressi</w:t>
      </w:r>
      <w:r w:rsidR="00452BB1">
        <w:rPr>
          <w:rFonts w:ascii="Times New Roman" w:hAnsi="Times New Roman" w:cs="Times New Roman"/>
          <w:sz w:val="24"/>
          <w:szCs w:val="24"/>
        </w:rPr>
        <w:t>o</w:t>
      </w:r>
      <w:r>
        <w:rPr>
          <w:rFonts w:ascii="Times New Roman" w:hAnsi="Times New Roman" w:cs="Times New Roman"/>
          <w:sz w:val="24"/>
          <w:szCs w:val="24"/>
        </w:rPr>
        <w:t>n;</w:t>
      </w:r>
    </w:p>
    <w:p w:rsidR="00922E7E" w:rsidRDefault="00922E7E" w:rsidP="006D14D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452BB1" w:rsidRDefault="00452BB1" w:rsidP="006D14DD">
      <w:pPr>
        <w:spacing w:after="0" w:line="240" w:lineRule="auto"/>
        <w:jc w:val="both"/>
        <w:rPr>
          <w:rFonts w:ascii="Times New Roman" w:hAnsi="Times New Roman" w:cs="Times New Roman"/>
          <w:sz w:val="24"/>
          <w:szCs w:val="24"/>
        </w:rPr>
      </w:pPr>
    </w:p>
    <w:p w:rsidR="00452BB1" w:rsidRDefault="00452BB1"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filed its papers in defence of the claim which was followed by all the other pleadings to the stage until all pleadings had been closed.</w:t>
      </w:r>
    </w:p>
    <w:p w:rsidR="00452BB1" w:rsidRDefault="00452BB1"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followed its natural path which culminated in the matter having to be set down for a pre-trial conference as provided for under Order 26 r 182 as read with the practice direction 1 of 1995.</w:t>
      </w:r>
    </w:p>
    <w:p w:rsidR="00452BB1" w:rsidRDefault="00452BB1"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At the pre-trial conference which was scheduled for 21 October 2010, the presiding judge felt inclined to have the applicant’s defence and plea struck out. The learned judge proceeded to do so and referred the matter to the unopposed roll for proof of damages by the now respondent.</w:t>
      </w:r>
    </w:p>
    <w:p w:rsidR="00452BB1" w:rsidRDefault="00452BB1"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Stung by this development, the applicant has now filed this application for the reinstatement of its defence and plea.</w:t>
      </w:r>
    </w:p>
    <w:p w:rsidR="00452BB1" w:rsidRDefault="00452BB1"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filing the instant application, reliance was sought on the founding affidavit not of the applicant’s representative but of one Vote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(the applicant’s legal practitioner of record). In his founding affidavit, the deponent tried to give some explanation for the default on 21 October 2010 as well as commenting and emphasi</w:t>
      </w:r>
      <w:r w:rsidR="00F91EBC">
        <w:rPr>
          <w:rFonts w:ascii="Times New Roman" w:hAnsi="Times New Roman" w:cs="Times New Roman"/>
          <w:sz w:val="24"/>
          <w:szCs w:val="24"/>
        </w:rPr>
        <w:t>sing on the strength of the applicant’s case whose cumulative effect he argued warranted the court’s indulgence in granting rescission of judgment and consequently reinstatement of the applicant’s plea.</w:t>
      </w:r>
    </w:p>
    <w:p w:rsidR="00F91EBC" w:rsidRDefault="00F91EBC"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reinstatement of the applicant’s plea was vehemently opposed by the respondent basically on two grounds,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the point raised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and the alleged shortcomings in the founding affidavit of Vote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as I will highlight later in this judgment. I propose to deal first with the point raised 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 xml:space="preserve"> </w:t>
      </w:r>
      <w:r>
        <w:rPr>
          <w:rFonts w:ascii="Times New Roman" w:hAnsi="Times New Roman" w:cs="Times New Roman"/>
          <w:sz w:val="24"/>
          <w:szCs w:val="24"/>
        </w:rPr>
        <w:t>by the respondent.</w:t>
      </w:r>
    </w:p>
    <w:p w:rsidR="00F91EBC" w:rsidRDefault="00F91EBC" w:rsidP="006D14DD">
      <w:pPr>
        <w:spacing w:after="0" w:line="240" w:lineRule="auto"/>
        <w:ind w:firstLine="720"/>
        <w:jc w:val="both"/>
        <w:rPr>
          <w:rFonts w:ascii="Times New Roman" w:hAnsi="Times New Roman" w:cs="Times New Roman"/>
          <w:sz w:val="24"/>
          <w:szCs w:val="24"/>
        </w:rPr>
      </w:pPr>
    </w:p>
    <w:p w:rsidR="00F91EBC" w:rsidRPr="006D14DD" w:rsidRDefault="006D14DD" w:rsidP="006D14DD">
      <w:pPr>
        <w:spacing w:after="0" w:line="240" w:lineRule="auto"/>
        <w:jc w:val="both"/>
        <w:rPr>
          <w:rFonts w:ascii="Times New Roman" w:hAnsi="Times New Roman" w:cs="Times New Roman"/>
          <w:b/>
          <w:sz w:val="24"/>
          <w:szCs w:val="24"/>
        </w:rPr>
      </w:pPr>
      <w:r w:rsidRPr="006D14DD">
        <w:rPr>
          <w:rFonts w:ascii="Times New Roman" w:hAnsi="Times New Roman" w:cs="Times New Roman"/>
          <w:b/>
          <w:sz w:val="24"/>
          <w:szCs w:val="24"/>
        </w:rPr>
        <w:t xml:space="preserve">Was </w:t>
      </w:r>
      <w:r>
        <w:rPr>
          <w:rFonts w:ascii="Times New Roman" w:hAnsi="Times New Roman" w:cs="Times New Roman"/>
          <w:b/>
          <w:sz w:val="24"/>
          <w:szCs w:val="24"/>
        </w:rPr>
        <w:t>i</w:t>
      </w:r>
      <w:r w:rsidRPr="006D14DD">
        <w:rPr>
          <w:rFonts w:ascii="Times New Roman" w:hAnsi="Times New Roman" w:cs="Times New Roman"/>
          <w:b/>
          <w:sz w:val="24"/>
          <w:szCs w:val="24"/>
        </w:rPr>
        <w:t xml:space="preserve">t </w:t>
      </w:r>
      <w:r>
        <w:rPr>
          <w:rFonts w:ascii="Times New Roman" w:hAnsi="Times New Roman" w:cs="Times New Roman"/>
          <w:b/>
          <w:sz w:val="24"/>
          <w:szCs w:val="24"/>
        </w:rPr>
        <w:t>c</w:t>
      </w:r>
      <w:r w:rsidRPr="006D14DD">
        <w:rPr>
          <w:rFonts w:ascii="Times New Roman" w:hAnsi="Times New Roman" w:cs="Times New Roman"/>
          <w:b/>
          <w:sz w:val="24"/>
          <w:szCs w:val="24"/>
        </w:rPr>
        <w:t xml:space="preserve">ompetent </w:t>
      </w:r>
      <w:r>
        <w:rPr>
          <w:rFonts w:ascii="Times New Roman" w:hAnsi="Times New Roman" w:cs="Times New Roman"/>
          <w:b/>
          <w:sz w:val="24"/>
          <w:szCs w:val="24"/>
        </w:rPr>
        <w:t>f</w:t>
      </w:r>
      <w:r w:rsidRPr="006D14DD">
        <w:rPr>
          <w:rFonts w:ascii="Times New Roman" w:hAnsi="Times New Roman" w:cs="Times New Roman"/>
          <w:b/>
          <w:sz w:val="24"/>
          <w:szCs w:val="24"/>
        </w:rPr>
        <w:t xml:space="preserve">or </w:t>
      </w:r>
      <w:r>
        <w:rPr>
          <w:rFonts w:ascii="Times New Roman" w:hAnsi="Times New Roman" w:cs="Times New Roman"/>
          <w:b/>
          <w:sz w:val="24"/>
          <w:szCs w:val="24"/>
        </w:rPr>
        <w:t>t</w:t>
      </w:r>
      <w:r w:rsidRPr="006D14DD">
        <w:rPr>
          <w:rFonts w:ascii="Times New Roman" w:hAnsi="Times New Roman" w:cs="Times New Roman"/>
          <w:b/>
          <w:sz w:val="24"/>
          <w:szCs w:val="24"/>
        </w:rPr>
        <w:t xml:space="preserve">he </w:t>
      </w:r>
      <w:r>
        <w:rPr>
          <w:rFonts w:ascii="Times New Roman" w:hAnsi="Times New Roman" w:cs="Times New Roman"/>
          <w:b/>
          <w:sz w:val="24"/>
          <w:szCs w:val="24"/>
        </w:rPr>
        <w:t>a</w:t>
      </w:r>
      <w:r w:rsidRPr="006D14DD">
        <w:rPr>
          <w:rFonts w:ascii="Times New Roman" w:hAnsi="Times New Roman" w:cs="Times New Roman"/>
          <w:b/>
          <w:sz w:val="24"/>
          <w:szCs w:val="24"/>
        </w:rPr>
        <w:t xml:space="preserve">pplicant </w:t>
      </w:r>
      <w:r>
        <w:rPr>
          <w:rFonts w:ascii="Times New Roman" w:hAnsi="Times New Roman" w:cs="Times New Roman"/>
          <w:b/>
          <w:sz w:val="24"/>
          <w:szCs w:val="24"/>
        </w:rPr>
        <w:t>t</w:t>
      </w:r>
      <w:r w:rsidRPr="006D14DD">
        <w:rPr>
          <w:rFonts w:ascii="Times New Roman" w:hAnsi="Times New Roman" w:cs="Times New Roman"/>
          <w:b/>
          <w:sz w:val="24"/>
          <w:szCs w:val="24"/>
        </w:rPr>
        <w:t xml:space="preserve">o </w:t>
      </w:r>
      <w:r>
        <w:rPr>
          <w:rFonts w:ascii="Times New Roman" w:hAnsi="Times New Roman" w:cs="Times New Roman"/>
          <w:b/>
          <w:sz w:val="24"/>
          <w:szCs w:val="24"/>
        </w:rPr>
        <w:t>r</w:t>
      </w:r>
      <w:r w:rsidRPr="006D14DD">
        <w:rPr>
          <w:rFonts w:ascii="Times New Roman" w:hAnsi="Times New Roman" w:cs="Times New Roman"/>
          <w:b/>
          <w:sz w:val="24"/>
          <w:szCs w:val="24"/>
        </w:rPr>
        <w:t xml:space="preserve">ely </w:t>
      </w:r>
      <w:r>
        <w:rPr>
          <w:rFonts w:ascii="Times New Roman" w:hAnsi="Times New Roman" w:cs="Times New Roman"/>
          <w:b/>
          <w:sz w:val="24"/>
          <w:szCs w:val="24"/>
        </w:rPr>
        <w:t>o</w:t>
      </w:r>
      <w:r w:rsidRPr="006D14DD">
        <w:rPr>
          <w:rFonts w:ascii="Times New Roman" w:hAnsi="Times New Roman" w:cs="Times New Roman"/>
          <w:b/>
          <w:sz w:val="24"/>
          <w:szCs w:val="24"/>
        </w:rPr>
        <w:t xml:space="preserve">n </w:t>
      </w:r>
      <w:r>
        <w:rPr>
          <w:rFonts w:ascii="Times New Roman" w:hAnsi="Times New Roman" w:cs="Times New Roman"/>
          <w:b/>
          <w:sz w:val="24"/>
          <w:szCs w:val="24"/>
        </w:rPr>
        <w:t>t</w:t>
      </w:r>
      <w:r w:rsidRPr="006D14DD">
        <w:rPr>
          <w:rFonts w:ascii="Times New Roman" w:hAnsi="Times New Roman" w:cs="Times New Roman"/>
          <w:b/>
          <w:sz w:val="24"/>
          <w:szCs w:val="24"/>
        </w:rPr>
        <w:t xml:space="preserve">he </w:t>
      </w:r>
      <w:r>
        <w:rPr>
          <w:rFonts w:ascii="Times New Roman" w:hAnsi="Times New Roman" w:cs="Times New Roman"/>
          <w:b/>
          <w:sz w:val="24"/>
          <w:szCs w:val="24"/>
        </w:rPr>
        <w:t>a</w:t>
      </w:r>
      <w:r w:rsidRPr="006D14DD">
        <w:rPr>
          <w:rFonts w:ascii="Times New Roman" w:hAnsi="Times New Roman" w:cs="Times New Roman"/>
          <w:b/>
          <w:sz w:val="24"/>
          <w:szCs w:val="24"/>
        </w:rPr>
        <w:t xml:space="preserve">ffidavit </w:t>
      </w:r>
      <w:r>
        <w:rPr>
          <w:rFonts w:ascii="Times New Roman" w:hAnsi="Times New Roman" w:cs="Times New Roman"/>
          <w:b/>
          <w:sz w:val="24"/>
          <w:szCs w:val="24"/>
        </w:rPr>
        <w:t>o</w:t>
      </w:r>
      <w:r w:rsidRPr="006D14DD">
        <w:rPr>
          <w:rFonts w:ascii="Times New Roman" w:hAnsi="Times New Roman" w:cs="Times New Roman"/>
          <w:b/>
          <w:sz w:val="24"/>
          <w:szCs w:val="24"/>
        </w:rPr>
        <w:t xml:space="preserve">f </w:t>
      </w:r>
      <w:r>
        <w:rPr>
          <w:rFonts w:ascii="Times New Roman" w:hAnsi="Times New Roman" w:cs="Times New Roman"/>
          <w:b/>
          <w:sz w:val="24"/>
          <w:szCs w:val="24"/>
        </w:rPr>
        <w:t>i</w:t>
      </w:r>
      <w:r w:rsidRPr="006D14DD">
        <w:rPr>
          <w:rFonts w:ascii="Times New Roman" w:hAnsi="Times New Roman" w:cs="Times New Roman"/>
          <w:b/>
          <w:sz w:val="24"/>
          <w:szCs w:val="24"/>
        </w:rPr>
        <w:t xml:space="preserve">ts </w:t>
      </w:r>
      <w:r>
        <w:rPr>
          <w:rFonts w:ascii="Times New Roman" w:hAnsi="Times New Roman" w:cs="Times New Roman"/>
          <w:b/>
          <w:sz w:val="24"/>
          <w:szCs w:val="24"/>
        </w:rPr>
        <w:t>c</w:t>
      </w:r>
      <w:r w:rsidRPr="006D14DD">
        <w:rPr>
          <w:rFonts w:ascii="Times New Roman" w:hAnsi="Times New Roman" w:cs="Times New Roman"/>
          <w:b/>
          <w:sz w:val="24"/>
          <w:szCs w:val="24"/>
        </w:rPr>
        <w:t xml:space="preserve">ounsel Vote </w:t>
      </w:r>
      <w:proofErr w:type="spellStart"/>
      <w:r w:rsidRPr="006D14DD">
        <w:rPr>
          <w:rFonts w:ascii="Times New Roman" w:hAnsi="Times New Roman" w:cs="Times New Roman"/>
          <w:b/>
          <w:sz w:val="24"/>
          <w:szCs w:val="24"/>
        </w:rPr>
        <w:t>Muza</w:t>
      </w:r>
      <w:proofErr w:type="spellEnd"/>
      <w:r w:rsidRPr="006D14DD">
        <w:rPr>
          <w:rFonts w:ascii="Times New Roman" w:hAnsi="Times New Roman" w:cs="Times New Roman"/>
          <w:b/>
          <w:sz w:val="24"/>
          <w:szCs w:val="24"/>
        </w:rPr>
        <w:t xml:space="preserve"> </w:t>
      </w:r>
      <w:r>
        <w:rPr>
          <w:rFonts w:ascii="Times New Roman" w:hAnsi="Times New Roman" w:cs="Times New Roman"/>
          <w:b/>
          <w:sz w:val="24"/>
          <w:szCs w:val="24"/>
        </w:rPr>
        <w:t>a</w:t>
      </w:r>
      <w:r w:rsidRPr="006D14DD">
        <w:rPr>
          <w:rFonts w:ascii="Times New Roman" w:hAnsi="Times New Roman" w:cs="Times New Roman"/>
          <w:b/>
          <w:sz w:val="24"/>
          <w:szCs w:val="24"/>
        </w:rPr>
        <w:t xml:space="preserve">s </w:t>
      </w:r>
      <w:r>
        <w:rPr>
          <w:rFonts w:ascii="Times New Roman" w:hAnsi="Times New Roman" w:cs="Times New Roman"/>
          <w:b/>
          <w:sz w:val="24"/>
          <w:szCs w:val="24"/>
        </w:rPr>
        <w:t>o</w:t>
      </w:r>
      <w:r w:rsidRPr="006D14DD">
        <w:rPr>
          <w:rFonts w:ascii="Times New Roman" w:hAnsi="Times New Roman" w:cs="Times New Roman"/>
          <w:b/>
          <w:sz w:val="24"/>
          <w:szCs w:val="24"/>
        </w:rPr>
        <w:t xml:space="preserve">pposed </w:t>
      </w:r>
      <w:r>
        <w:rPr>
          <w:rFonts w:ascii="Times New Roman" w:hAnsi="Times New Roman" w:cs="Times New Roman"/>
          <w:b/>
          <w:sz w:val="24"/>
          <w:szCs w:val="24"/>
        </w:rPr>
        <w:t>t</w:t>
      </w:r>
      <w:r w:rsidRPr="006D14DD">
        <w:rPr>
          <w:rFonts w:ascii="Times New Roman" w:hAnsi="Times New Roman" w:cs="Times New Roman"/>
          <w:b/>
          <w:sz w:val="24"/>
          <w:szCs w:val="24"/>
        </w:rPr>
        <w:t xml:space="preserve">o </w:t>
      </w:r>
      <w:r>
        <w:rPr>
          <w:rFonts w:ascii="Times New Roman" w:hAnsi="Times New Roman" w:cs="Times New Roman"/>
          <w:b/>
          <w:sz w:val="24"/>
          <w:szCs w:val="24"/>
        </w:rPr>
        <w:t>t</w:t>
      </w:r>
      <w:r w:rsidRPr="006D14DD">
        <w:rPr>
          <w:rFonts w:ascii="Times New Roman" w:hAnsi="Times New Roman" w:cs="Times New Roman"/>
          <w:b/>
          <w:sz w:val="24"/>
          <w:szCs w:val="24"/>
        </w:rPr>
        <w:t xml:space="preserve">he </w:t>
      </w:r>
      <w:r>
        <w:rPr>
          <w:rFonts w:ascii="Times New Roman" w:hAnsi="Times New Roman" w:cs="Times New Roman"/>
          <w:b/>
          <w:sz w:val="24"/>
          <w:szCs w:val="24"/>
        </w:rPr>
        <w:t>a</w:t>
      </w:r>
      <w:r w:rsidRPr="006D14DD">
        <w:rPr>
          <w:rFonts w:ascii="Times New Roman" w:hAnsi="Times New Roman" w:cs="Times New Roman"/>
          <w:b/>
          <w:sz w:val="24"/>
          <w:szCs w:val="24"/>
        </w:rPr>
        <w:t xml:space="preserve">pplicant </w:t>
      </w:r>
      <w:r>
        <w:rPr>
          <w:rFonts w:ascii="Times New Roman" w:hAnsi="Times New Roman" w:cs="Times New Roman"/>
          <w:b/>
          <w:sz w:val="24"/>
          <w:szCs w:val="24"/>
        </w:rPr>
        <w:t>i</w:t>
      </w:r>
      <w:r w:rsidRPr="006D14DD">
        <w:rPr>
          <w:rFonts w:ascii="Times New Roman" w:hAnsi="Times New Roman" w:cs="Times New Roman"/>
          <w:b/>
          <w:sz w:val="24"/>
          <w:szCs w:val="24"/>
        </w:rPr>
        <w:t>tself</w:t>
      </w:r>
      <w:r w:rsidR="00F91EBC" w:rsidRPr="006D14DD">
        <w:rPr>
          <w:rFonts w:ascii="Times New Roman" w:hAnsi="Times New Roman" w:cs="Times New Roman"/>
          <w:b/>
          <w:sz w:val="24"/>
          <w:szCs w:val="24"/>
        </w:rPr>
        <w:t>?</w:t>
      </w:r>
    </w:p>
    <w:p w:rsidR="006D14DD" w:rsidRDefault="006D14DD" w:rsidP="006D14DD">
      <w:pPr>
        <w:spacing w:after="0" w:line="240" w:lineRule="auto"/>
        <w:jc w:val="both"/>
        <w:rPr>
          <w:rFonts w:ascii="Times New Roman" w:hAnsi="Times New Roman" w:cs="Times New Roman"/>
          <w:sz w:val="24"/>
          <w:szCs w:val="24"/>
        </w:rPr>
      </w:pPr>
    </w:p>
    <w:p w:rsidR="00922E7E" w:rsidRDefault="00F91EBC"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wish to be detained by this argument in this matter. Suffice it to say that it is clear to me that the law is settled in this regard in favour of the applicant. Within the context of this case it was indeed competent for Vote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to swear to the founding affidavit as he did. This position was sufficiently canvassed</w:t>
      </w:r>
      <w:r w:rsidR="00451B4E">
        <w:rPr>
          <w:rFonts w:ascii="Times New Roman" w:hAnsi="Times New Roman" w:cs="Times New Roman"/>
          <w:sz w:val="24"/>
          <w:szCs w:val="24"/>
        </w:rPr>
        <w:t xml:space="preserve"> by my sister judge MAVANGIRA </w:t>
      </w:r>
      <w:proofErr w:type="gramStart"/>
      <w:r w:rsidR="00451B4E">
        <w:rPr>
          <w:rFonts w:ascii="Times New Roman" w:hAnsi="Times New Roman" w:cs="Times New Roman"/>
          <w:sz w:val="24"/>
          <w:szCs w:val="24"/>
        </w:rPr>
        <w:t xml:space="preserve">J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the case of </w:t>
      </w:r>
      <w:r>
        <w:rPr>
          <w:rFonts w:ascii="Times New Roman" w:hAnsi="Times New Roman" w:cs="Times New Roman"/>
          <w:i/>
          <w:sz w:val="24"/>
          <w:szCs w:val="24"/>
        </w:rPr>
        <w:t xml:space="preserve">Zimbabwe </w:t>
      </w:r>
      <w:r w:rsidR="00451B4E">
        <w:rPr>
          <w:rFonts w:ascii="Times New Roman" w:hAnsi="Times New Roman" w:cs="Times New Roman"/>
          <w:i/>
          <w:sz w:val="24"/>
          <w:szCs w:val="24"/>
        </w:rPr>
        <w:t>Banking Ltd</w:t>
      </w:r>
      <w:r w:rsidR="00451B4E" w:rsidRPr="00451B4E">
        <w:rPr>
          <w:rStyle w:val="FootnoteReference"/>
          <w:rFonts w:ascii="Times New Roman" w:hAnsi="Times New Roman" w:cs="Times New Roman"/>
          <w:sz w:val="24"/>
          <w:szCs w:val="24"/>
        </w:rPr>
        <w:footnoteReference w:id="1"/>
      </w:r>
      <w:r w:rsidR="00451B4E">
        <w:rPr>
          <w:rFonts w:ascii="Times New Roman" w:hAnsi="Times New Roman" w:cs="Times New Roman"/>
          <w:sz w:val="24"/>
          <w:szCs w:val="24"/>
        </w:rPr>
        <w:t xml:space="preserve">. In a properly reasoned judgment the learned judge explored the legal position and concluded that there was nothing amiss with the legal practitioner deposing to an affidavit in circumstances similar to the instant case. I am in total agreement with the legal position </w:t>
      </w:r>
      <w:proofErr w:type="spellStart"/>
      <w:r w:rsidR="00451B4E">
        <w:rPr>
          <w:rFonts w:ascii="Times New Roman" w:hAnsi="Times New Roman" w:cs="Times New Roman"/>
          <w:sz w:val="24"/>
          <w:szCs w:val="24"/>
        </w:rPr>
        <w:t>expoused</w:t>
      </w:r>
      <w:proofErr w:type="spellEnd"/>
      <w:r w:rsidR="00451B4E">
        <w:rPr>
          <w:rFonts w:ascii="Times New Roman" w:hAnsi="Times New Roman" w:cs="Times New Roman"/>
          <w:sz w:val="24"/>
          <w:szCs w:val="24"/>
        </w:rPr>
        <w:t xml:space="preserve"> in that case. Vote </w:t>
      </w:r>
      <w:proofErr w:type="spellStart"/>
      <w:r w:rsidR="00451B4E">
        <w:rPr>
          <w:rFonts w:ascii="Times New Roman" w:hAnsi="Times New Roman" w:cs="Times New Roman"/>
          <w:sz w:val="24"/>
          <w:szCs w:val="24"/>
        </w:rPr>
        <w:t>Muza</w:t>
      </w:r>
      <w:proofErr w:type="spellEnd"/>
      <w:r w:rsidR="00451B4E">
        <w:rPr>
          <w:rFonts w:ascii="Times New Roman" w:hAnsi="Times New Roman" w:cs="Times New Roman"/>
          <w:sz w:val="24"/>
          <w:szCs w:val="24"/>
        </w:rPr>
        <w:t xml:space="preserve"> is no stranger to the applicant’s case as he is its legal practitioner and I am satisfied it was competent for him to depose to the founding affidavit.  See Order 32 r 227 (4</w:t>
      </w:r>
      <w:proofErr w:type="gramStart"/>
      <w:r w:rsidR="00451B4E">
        <w:rPr>
          <w:rFonts w:ascii="Times New Roman" w:hAnsi="Times New Roman" w:cs="Times New Roman"/>
          <w:sz w:val="24"/>
          <w:szCs w:val="24"/>
        </w:rPr>
        <w:t>)(</w:t>
      </w:r>
      <w:proofErr w:type="gramEnd"/>
      <w:r w:rsidR="00451B4E">
        <w:rPr>
          <w:rFonts w:ascii="Times New Roman" w:hAnsi="Times New Roman" w:cs="Times New Roman"/>
          <w:sz w:val="24"/>
          <w:szCs w:val="24"/>
        </w:rPr>
        <w:t>a) High Court Rules, 1971.</w:t>
      </w:r>
    </w:p>
    <w:p w:rsidR="00451B4E" w:rsidRDefault="00451B4E" w:rsidP="006D14DD">
      <w:pPr>
        <w:spacing w:after="0" w:line="240" w:lineRule="auto"/>
        <w:jc w:val="both"/>
        <w:rPr>
          <w:rFonts w:ascii="Times New Roman" w:hAnsi="Times New Roman" w:cs="Times New Roman"/>
          <w:sz w:val="24"/>
          <w:szCs w:val="24"/>
        </w:rPr>
      </w:pPr>
    </w:p>
    <w:p w:rsidR="00451B4E" w:rsidRPr="006D14DD" w:rsidRDefault="006D14DD" w:rsidP="006D14DD">
      <w:pPr>
        <w:spacing w:after="0" w:line="360" w:lineRule="auto"/>
        <w:jc w:val="both"/>
        <w:rPr>
          <w:rFonts w:ascii="Times New Roman" w:hAnsi="Times New Roman" w:cs="Times New Roman"/>
          <w:b/>
          <w:sz w:val="24"/>
          <w:szCs w:val="24"/>
        </w:rPr>
      </w:pPr>
      <w:r w:rsidRPr="006D14DD">
        <w:rPr>
          <w:rFonts w:ascii="Times New Roman" w:hAnsi="Times New Roman" w:cs="Times New Roman"/>
          <w:b/>
          <w:sz w:val="24"/>
          <w:szCs w:val="24"/>
        </w:rPr>
        <w:t xml:space="preserve">The content of Vote </w:t>
      </w:r>
      <w:proofErr w:type="spellStart"/>
      <w:r w:rsidRPr="006D14DD">
        <w:rPr>
          <w:rFonts w:ascii="Times New Roman" w:hAnsi="Times New Roman" w:cs="Times New Roman"/>
          <w:b/>
          <w:sz w:val="24"/>
          <w:szCs w:val="24"/>
        </w:rPr>
        <w:t>Muza</w:t>
      </w:r>
      <w:r w:rsidR="00451B4E" w:rsidRPr="006D14DD">
        <w:rPr>
          <w:rFonts w:ascii="Times New Roman" w:hAnsi="Times New Roman" w:cs="Times New Roman"/>
          <w:b/>
          <w:sz w:val="24"/>
          <w:szCs w:val="24"/>
        </w:rPr>
        <w:t>’</w:t>
      </w:r>
      <w:r w:rsidRPr="006D14DD">
        <w:rPr>
          <w:rFonts w:ascii="Times New Roman" w:hAnsi="Times New Roman" w:cs="Times New Roman"/>
          <w:b/>
          <w:sz w:val="24"/>
          <w:szCs w:val="24"/>
        </w:rPr>
        <w:t>s</w:t>
      </w:r>
      <w:proofErr w:type="spellEnd"/>
      <w:r w:rsidR="00451B4E" w:rsidRPr="006D14DD">
        <w:rPr>
          <w:rFonts w:ascii="Times New Roman" w:hAnsi="Times New Roman" w:cs="Times New Roman"/>
          <w:b/>
          <w:sz w:val="24"/>
          <w:szCs w:val="24"/>
        </w:rPr>
        <w:t xml:space="preserve"> </w:t>
      </w:r>
      <w:r w:rsidRPr="006D14DD">
        <w:rPr>
          <w:rFonts w:ascii="Times New Roman" w:hAnsi="Times New Roman" w:cs="Times New Roman"/>
          <w:b/>
          <w:sz w:val="24"/>
          <w:szCs w:val="24"/>
        </w:rPr>
        <w:t>affidavit on merits</w:t>
      </w:r>
    </w:p>
    <w:p w:rsidR="00451B4E" w:rsidRDefault="00451B4E" w:rsidP="006D14DD">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 xml:space="preserve">Our law is settled that in order to succeed in having an order made in default of appearance set aside the applicant must show good and sufficient cause. </w:t>
      </w:r>
      <w:proofErr w:type="gramStart"/>
      <w:r>
        <w:rPr>
          <w:rFonts w:ascii="Times New Roman" w:hAnsi="Times New Roman" w:cs="Times New Roman"/>
          <w:sz w:val="24"/>
          <w:szCs w:val="24"/>
        </w:rPr>
        <w:t xml:space="preserve">See </w:t>
      </w:r>
      <w:proofErr w:type="spellStart"/>
      <w:r>
        <w:rPr>
          <w:rFonts w:ascii="Times New Roman" w:hAnsi="Times New Roman" w:cs="Times New Roman"/>
          <w:i/>
          <w:sz w:val="24"/>
          <w:szCs w:val="24"/>
        </w:rPr>
        <w:t>Chitsaka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Public Service Association</w:t>
      </w:r>
      <w:r w:rsidR="00042760">
        <w:rPr>
          <w:rStyle w:val="FootnoteReference"/>
          <w:rFonts w:ascii="Times New Roman" w:hAnsi="Times New Roman" w:cs="Times New Roman"/>
          <w:i/>
          <w:sz w:val="24"/>
          <w:szCs w:val="24"/>
        </w:rPr>
        <w:footnoteReference w:id="2"/>
      </w:r>
      <w:r w:rsidR="00042760">
        <w:rPr>
          <w:rFonts w:ascii="Times New Roman" w:hAnsi="Times New Roman" w:cs="Times New Roman"/>
          <w:sz w:val="24"/>
          <w:szCs w:val="24"/>
        </w:rPr>
        <w:t xml:space="preserve">; </w:t>
      </w:r>
      <w:proofErr w:type="spellStart"/>
      <w:r w:rsidR="00042760">
        <w:rPr>
          <w:rFonts w:ascii="Times New Roman" w:hAnsi="Times New Roman" w:cs="Times New Roman"/>
          <w:i/>
          <w:sz w:val="24"/>
          <w:szCs w:val="24"/>
        </w:rPr>
        <w:t>Chetly</w:t>
      </w:r>
      <w:proofErr w:type="spellEnd"/>
      <w:r w:rsidR="00042760">
        <w:rPr>
          <w:rFonts w:ascii="Times New Roman" w:hAnsi="Times New Roman" w:cs="Times New Roman"/>
          <w:i/>
          <w:sz w:val="24"/>
          <w:szCs w:val="24"/>
        </w:rPr>
        <w:t xml:space="preserve"> </w:t>
      </w:r>
      <w:r w:rsidR="00042760">
        <w:rPr>
          <w:rFonts w:ascii="Times New Roman" w:hAnsi="Times New Roman" w:cs="Times New Roman"/>
          <w:sz w:val="24"/>
          <w:szCs w:val="24"/>
        </w:rPr>
        <w:t xml:space="preserve">v </w:t>
      </w:r>
      <w:r w:rsidR="00042760">
        <w:rPr>
          <w:rFonts w:ascii="Times New Roman" w:hAnsi="Times New Roman" w:cs="Times New Roman"/>
          <w:i/>
          <w:sz w:val="24"/>
          <w:szCs w:val="24"/>
        </w:rPr>
        <w:t>Law Society of Transvaal</w:t>
      </w:r>
      <w:r w:rsidR="00042760">
        <w:rPr>
          <w:rStyle w:val="FootnoteReference"/>
          <w:rFonts w:ascii="Times New Roman" w:hAnsi="Times New Roman" w:cs="Times New Roman"/>
          <w:i/>
          <w:sz w:val="24"/>
          <w:szCs w:val="24"/>
        </w:rPr>
        <w:footnoteReference w:id="3"/>
      </w:r>
      <w:r w:rsidR="00042760">
        <w:rPr>
          <w:rFonts w:ascii="Times New Roman" w:hAnsi="Times New Roman" w:cs="Times New Roman"/>
          <w:i/>
          <w:sz w:val="24"/>
          <w:szCs w:val="24"/>
        </w:rPr>
        <w:t>.</w:t>
      </w:r>
      <w:proofErr w:type="gramEnd"/>
    </w:p>
    <w:p w:rsidR="00042760" w:rsidRDefault="00042760"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explanation tendered by the applicant must negative any wilful default on the part of the applicant. It has been stated for times without number that in the context of default judgment, wilful connotes deliberateness in the sense that the applicant must have had full knowledge of the set down date and of the risks attendant upon default, and freely took the decision to refrain from appearing, whatever the motivation of that decision may have been. </w:t>
      </w:r>
      <w:proofErr w:type="gramStart"/>
      <w:r>
        <w:rPr>
          <w:rFonts w:ascii="Times New Roman" w:hAnsi="Times New Roman" w:cs="Times New Roman"/>
          <w:sz w:val="24"/>
          <w:szCs w:val="24"/>
        </w:rPr>
        <w:t xml:space="preserve">See </w:t>
      </w:r>
      <w:proofErr w:type="spellStart"/>
      <w:r>
        <w:rPr>
          <w:rFonts w:ascii="Times New Roman" w:hAnsi="Times New Roman" w:cs="Times New Roman"/>
          <w:i/>
          <w:sz w:val="24"/>
          <w:szCs w:val="24"/>
        </w:rPr>
        <w:t>Dewera</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Pr>
          <w:rFonts w:ascii="Times New Roman" w:hAnsi="Times New Roman" w:cs="Times New Roman"/>
          <w:i/>
          <w:sz w:val="24"/>
          <w:szCs w:val="24"/>
        </w:rPr>
        <w:t>Farm</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 xml:space="preserve">Ltd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Zimbabwe Banking Corporation Ltd</w:t>
      </w:r>
      <w:r w:rsidR="00406722">
        <w:rPr>
          <w:rStyle w:val="FootnoteReference"/>
          <w:rFonts w:ascii="Times New Roman" w:hAnsi="Times New Roman" w:cs="Times New Roman"/>
          <w:i/>
          <w:sz w:val="24"/>
          <w:szCs w:val="24"/>
        </w:rPr>
        <w:footnoteReference w:id="4"/>
      </w:r>
      <w:r w:rsidR="00406722">
        <w:rPr>
          <w:rFonts w:ascii="Times New Roman" w:hAnsi="Times New Roman" w:cs="Times New Roman"/>
          <w:i/>
          <w:sz w:val="24"/>
          <w:szCs w:val="24"/>
        </w:rPr>
        <w:t xml:space="preserve">; </w:t>
      </w:r>
      <w:r w:rsidR="00406722" w:rsidRPr="00406722">
        <w:rPr>
          <w:rFonts w:ascii="Times New Roman" w:hAnsi="Times New Roman" w:cs="Times New Roman"/>
          <w:i/>
          <w:sz w:val="24"/>
          <w:szCs w:val="24"/>
        </w:rPr>
        <w:t>Zimbabwe</w:t>
      </w:r>
      <w:r w:rsidR="00406722">
        <w:rPr>
          <w:rFonts w:ascii="Times New Roman" w:hAnsi="Times New Roman" w:cs="Times New Roman"/>
          <w:i/>
          <w:sz w:val="24"/>
          <w:szCs w:val="24"/>
        </w:rPr>
        <w:t xml:space="preserve"> Banking Corporation</w:t>
      </w:r>
      <w:r w:rsidR="00406722">
        <w:rPr>
          <w:rFonts w:ascii="Times New Roman" w:hAnsi="Times New Roman" w:cs="Times New Roman"/>
          <w:sz w:val="24"/>
          <w:szCs w:val="24"/>
        </w:rPr>
        <w:t xml:space="preserve"> v </w:t>
      </w:r>
      <w:proofErr w:type="spellStart"/>
      <w:r w:rsidR="00406722">
        <w:rPr>
          <w:rFonts w:ascii="Times New Roman" w:hAnsi="Times New Roman" w:cs="Times New Roman"/>
          <w:i/>
          <w:sz w:val="24"/>
          <w:szCs w:val="24"/>
        </w:rPr>
        <w:t>Masendeke</w:t>
      </w:r>
      <w:proofErr w:type="spellEnd"/>
      <w:r w:rsidR="00406722">
        <w:rPr>
          <w:rStyle w:val="FootnoteReference"/>
          <w:rFonts w:ascii="Times New Roman" w:hAnsi="Times New Roman" w:cs="Times New Roman"/>
          <w:i/>
          <w:sz w:val="24"/>
          <w:szCs w:val="24"/>
        </w:rPr>
        <w:footnoteReference w:id="5"/>
      </w:r>
      <w:r w:rsidR="00406722">
        <w:rPr>
          <w:rFonts w:ascii="Times New Roman" w:hAnsi="Times New Roman" w:cs="Times New Roman"/>
          <w:sz w:val="24"/>
          <w:szCs w:val="24"/>
        </w:rPr>
        <w:t>.</w:t>
      </w:r>
      <w:proofErr w:type="gramEnd"/>
    </w:p>
    <w:p w:rsidR="00406722" w:rsidRDefault="00406722"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within the context of the legal position as </w:t>
      </w:r>
      <w:r w:rsidR="006D14DD">
        <w:rPr>
          <w:rFonts w:ascii="Times New Roman" w:hAnsi="Times New Roman" w:cs="Times New Roman"/>
          <w:sz w:val="24"/>
          <w:szCs w:val="24"/>
        </w:rPr>
        <w:t>espoused</w:t>
      </w:r>
      <w:r>
        <w:rPr>
          <w:rFonts w:ascii="Times New Roman" w:hAnsi="Times New Roman" w:cs="Times New Roman"/>
          <w:sz w:val="24"/>
          <w:szCs w:val="24"/>
        </w:rPr>
        <w:t xml:space="preserve"> that I must now attempt to consider the content of Vote </w:t>
      </w:r>
      <w:proofErr w:type="spellStart"/>
      <w:r>
        <w:rPr>
          <w:rFonts w:ascii="Times New Roman" w:hAnsi="Times New Roman" w:cs="Times New Roman"/>
          <w:sz w:val="24"/>
          <w:szCs w:val="24"/>
        </w:rPr>
        <w:t>Muza’s</w:t>
      </w:r>
      <w:proofErr w:type="spellEnd"/>
      <w:r>
        <w:rPr>
          <w:rFonts w:ascii="Times New Roman" w:hAnsi="Times New Roman" w:cs="Times New Roman"/>
          <w:sz w:val="24"/>
          <w:szCs w:val="24"/>
        </w:rPr>
        <w:t xml:space="preserve"> founding affidavit upon which the applicant’s case is pinned.</w:t>
      </w:r>
    </w:p>
    <w:p w:rsidR="00406722" w:rsidRDefault="00406722"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point that comes to my attention is that there is clearly a yawning gap in the application for rescission of the decision made against the applicant. When the matter was initially set down for the pre-trial hearing on 23 September 2010, the learned judge felt very strongly that the parties assisted by their respective legal practitioners were supposed to try and engage each other with a view to reaching a settlement failing which she would naturally consider referring the matter to trial. The court then gave a directive that the parties convene </w:t>
      </w:r>
      <w:proofErr w:type="gramStart"/>
      <w:r>
        <w:rPr>
          <w:rFonts w:ascii="Times New Roman" w:hAnsi="Times New Roman" w:cs="Times New Roman"/>
          <w:sz w:val="24"/>
          <w:szCs w:val="24"/>
        </w:rPr>
        <w:t>on their own</w:t>
      </w:r>
      <w:proofErr w:type="gramEnd"/>
      <w:r>
        <w:rPr>
          <w:rFonts w:ascii="Times New Roman" w:hAnsi="Times New Roman" w:cs="Times New Roman"/>
          <w:sz w:val="24"/>
          <w:szCs w:val="24"/>
        </w:rPr>
        <w:t xml:space="preserve"> on 18 October 2010 for a round table</w:t>
      </w:r>
      <w:r w:rsidR="005E0D6F">
        <w:rPr>
          <w:rFonts w:ascii="Times New Roman" w:hAnsi="Times New Roman" w:cs="Times New Roman"/>
          <w:sz w:val="24"/>
          <w:szCs w:val="24"/>
        </w:rPr>
        <w:t xml:space="preserve"> discussion</w:t>
      </w:r>
      <w:r>
        <w:rPr>
          <w:rFonts w:ascii="Times New Roman" w:hAnsi="Times New Roman" w:cs="Times New Roman"/>
          <w:sz w:val="24"/>
          <w:szCs w:val="24"/>
        </w:rPr>
        <w:t xml:space="preserve">. The court with the concurrence of the two legal practitioners, who incidentally included Vote </w:t>
      </w:r>
      <w:proofErr w:type="spellStart"/>
      <w:proofErr w:type="gramStart"/>
      <w:r>
        <w:rPr>
          <w:rFonts w:ascii="Times New Roman" w:hAnsi="Times New Roman" w:cs="Times New Roman"/>
          <w:sz w:val="24"/>
          <w:szCs w:val="24"/>
        </w:rPr>
        <w:t>Muza</w:t>
      </w:r>
      <w:proofErr w:type="spellEnd"/>
      <w:proofErr w:type="gramEnd"/>
      <w:r>
        <w:rPr>
          <w:rFonts w:ascii="Times New Roman" w:hAnsi="Times New Roman" w:cs="Times New Roman"/>
          <w:sz w:val="24"/>
          <w:szCs w:val="24"/>
        </w:rPr>
        <w:t xml:space="preserve"> </w:t>
      </w:r>
      <w:r w:rsidR="00A82E9B">
        <w:rPr>
          <w:rFonts w:ascii="Times New Roman" w:hAnsi="Times New Roman" w:cs="Times New Roman"/>
          <w:sz w:val="24"/>
          <w:szCs w:val="24"/>
        </w:rPr>
        <w:t>had the matter postponed for a second pre-trial hearing on 21 October 2012.</w:t>
      </w:r>
    </w:p>
    <w:p w:rsidR="00A82E9B" w:rsidRDefault="00A82E9B"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Vote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and his client’s representative, fully aware of the date of pre-trial hearing chose not to attend the hearing. Therein </w:t>
      </w:r>
      <w:proofErr w:type="gramStart"/>
      <w:r>
        <w:rPr>
          <w:rFonts w:ascii="Times New Roman" w:hAnsi="Times New Roman" w:cs="Times New Roman"/>
          <w:sz w:val="24"/>
          <w:szCs w:val="24"/>
        </w:rPr>
        <w:t>lies</w:t>
      </w:r>
      <w:proofErr w:type="gramEnd"/>
      <w:r>
        <w:rPr>
          <w:rFonts w:ascii="Times New Roman" w:hAnsi="Times New Roman" w:cs="Times New Roman"/>
          <w:sz w:val="24"/>
          <w:szCs w:val="24"/>
        </w:rPr>
        <w:t xml:space="preserve"> the problem. In his founding affidavit, Vote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has</w:t>
      </w:r>
      <w:r w:rsidR="00BF6400">
        <w:rPr>
          <w:rFonts w:ascii="Times New Roman" w:hAnsi="Times New Roman" w:cs="Times New Roman"/>
          <w:sz w:val="24"/>
          <w:szCs w:val="24"/>
        </w:rPr>
        <w:t xml:space="preserve"> </w:t>
      </w:r>
      <w:r>
        <w:rPr>
          <w:rFonts w:ascii="Times New Roman" w:hAnsi="Times New Roman" w:cs="Times New Roman"/>
          <w:sz w:val="24"/>
          <w:szCs w:val="24"/>
        </w:rPr>
        <w:t>c</w:t>
      </w:r>
      <w:r w:rsidR="00BF6400">
        <w:rPr>
          <w:rFonts w:ascii="Times New Roman" w:hAnsi="Times New Roman" w:cs="Times New Roman"/>
          <w:sz w:val="24"/>
          <w:szCs w:val="24"/>
        </w:rPr>
        <w:t xml:space="preserve">hosen to extensively speculate on what may or may not have happened. The deponent has speculated about the alleged inability of the applicant’s alleged key witness Steven </w:t>
      </w:r>
      <w:proofErr w:type="spellStart"/>
      <w:r w:rsidR="00BF6400">
        <w:rPr>
          <w:rFonts w:ascii="Times New Roman" w:hAnsi="Times New Roman" w:cs="Times New Roman"/>
          <w:sz w:val="24"/>
          <w:szCs w:val="24"/>
        </w:rPr>
        <w:t>Mbavarira</w:t>
      </w:r>
      <w:proofErr w:type="spellEnd"/>
      <w:r w:rsidR="00BF6400">
        <w:rPr>
          <w:rFonts w:ascii="Times New Roman" w:hAnsi="Times New Roman" w:cs="Times New Roman"/>
          <w:sz w:val="24"/>
          <w:szCs w:val="24"/>
        </w:rPr>
        <w:t xml:space="preserve"> to attend the round table discussion of 18 October 2010. Stephen </w:t>
      </w:r>
      <w:proofErr w:type="spellStart"/>
      <w:r w:rsidR="00BF6400">
        <w:rPr>
          <w:rFonts w:ascii="Times New Roman" w:hAnsi="Times New Roman" w:cs="Times New Roman"/>
          <w:sz w:val="24"/>
          <w:szCs w:val="24"/>
        </w:rPr>
        <w:t>Mbavarira’s</w:t>
      </w:r>
      <w:proofErr w:type="spellEnd"/>
      <w:r w:rsidR="00BF6400">
        <w:rPr>
          <w:rFonts w:ascii="Times New Roman" w:hAnsi="Times New Roman" w:cs="Times New Roman"/>
          <w:sz w:val="24"/>
          <w:szCs w:val="24"/>
        </w:rPr>
        <w:t xml:space="preserve"> affidavit is deliberately missing from the application.</w:t>
      </w:r>
    </w:p>
    <w:p w:rsidR="00BF6400" w:rsidRDefault="00BF6400"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founding affidavit, Vote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gives the impression that he discussed the matter with Mr </w:t>
      </w:r>
      <w:proofErr w:type="spellStart"/>
      <w:r>
        <w:rPr>
          <w:rFonts w:ascii="Times New Roman" w:hAnsi="Times New Roman" w:cs="Times New Roman"/>
          <w:sz w:val="24"/>
          <w:szCs w:val="24"/>
        </w:rPr>
        <w:t>Ncube’s</w:t>
      </w:r>
      <w:proofErr w:type="spellEnd"/>
      <w:r>
        <w:rPr>
          <w:rFonts w:ascii="Times New Roman" w:hAnsi="Times New Roman" w:cs="Times New Roman"/>
          <w:sz w:val="24"/>
          <w:szCs w:val="24"/>
        </w:rPr>
        <w:t xml:space="preserve"> clerk and sought to have both the round table conference and the pre-trial </w:t>
      </w:r>
      <w:r>
        <w:rPr>
          <w:rFonts w:ascii="Times New Roman" w:hAnsi="Times New Roman" w:cs="Times New Roman"/>
          <w:sz w:val="24"/>
          <w:szCs w:val="24"/>
        </w:rPr>
        <w:lastRenderedPageBreak/>
        <w:t xml:space="preserve">hearing postponed. Mr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must simply not be taken seriously when he says he believes Mr </w:t>
      </w:r>
      <w:proofErr w:type="spellStart"/>
      <w:r>
        <w:rPr>
          <w:rFonts w:ascii="Times New Roman" w:hAnsi="Times New Roman" w:cs="Times New Roman"/>
          <w:sz w:val="24"/>
          <w:szCs w:val="24"/>
        </w:rPr>
        <w:t>Ncube’s</w:t>
      </w:r>
      <w:proofErr w:type="spellEnd"/>
      <w:r>
        <w:rPr>
          <w:rFonts w:ascii="Times New Roman" w:hAnsi="Times New Roman" w:cs="Times New Roman"/>
          <w:sz w:val="24"/>
          <w:szCs w:val="24"/>
        </w:rPr>
        <w:t xml:space="preserve"> clerk’s indication to him would bind both Mr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and the presiding judge in having the matter set down for pre-trial conference automatically postponed in Vote </w:t>
      </w:r>
      <w:proofErr w:type="spellStart"/>
      <w:r>
        <w:rPr>
          <w:rFonts w:ascii="Times New Roman" w:hAnsi="Times New Roman" w:cs="Times New Roman"/>
          <w:sz w:val="24"/>
          <w:szCs w:val="24"/>
        </w:rPr>
        <w:t>Muza’s</w:t>
      </w:r>
      <w:proofErr w:type="spellEnd"/>
      <w:r>
        <w:rPr>
          <w:rFonts w:ascii="Times New Roman" w:hAnsi="Times New Roman" w:cs="Times New Roman"/>
          <w:sz w:val="24"/>
          <w:szCs w:val="24"/>
        </w:rPr>
        <w:t xml:space="preserve"> absence.</w:t>
      </w:r>
    </w:p>
    <w:p w:rsidR="00BF6400" w:rsidRDefault="00BF6400"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nothing like an automatic postponement when a matter is set down before a judge. A party desiring a postponement must advance </w:t>
      </w:r>
      <w:r w:rsidR="006D14DD">
        <w:rPr>
          <w:rFonts w:ascii="Times New Roman" w:hAnsi="Times New Roman" w:cs="Times New Roman"/>
          <w:sz w:val="24"/>
          <w:szCs w:val="24"/>
        </w:rPr>
        <w:t>cogent</w:t>
      </w:r>
      <w:r>
        <w:rPr>
          <w:rFonts w:ascii="Times New Roman" w:hAnsi="Times New Roman" w:cs="Times New Roman"/>
          <w:sz w:val="24"/>
          <w:szCs w:val="24"/>
        </w:rPr>
        <w:t xml:space="preserve"> reasons for a postponement and seek the court’s indulgence in that regard. </w:t>
      </w:r>
      <w:proofErr w:type="gramStart"/>
      <w:r>
        <w:rPr>
          <w:rFonts w:ascii="Times New Roman" w:hAnsi="Times New Roman" w:cs="Times New Roman"/>
          <w:sz w:val="24"/>
          <w:szCs w:val="24"/>
        </w:rPr>
        <w:t>Only when the court agrees with the submissions of a party seeking postponement would the court accedes to such an application.</w:t>
      </w:r>
      <w:proofErr w:type="gramEnd"/>
      <w:r>
        <w:rPr>
          <w:rFonts w:ascii="Times New Roman" w:hAnsi="Times New Roman" w:cs="Times New Roman"/>
          <w:sz w:val="24"/>
          <w:szCs w:val="24"/>
        </w:rPr>
        <w:t xml:space="preserve"> It was certainly not enough for Mr </w:t>
      </w:r>
      <w:proofErr w:type="spellStart"/>
      <w:r w:rsidRPr="006D14DD">
        <w:rPr>
          <w:rFonts w:ascii="Times New Roman" w:hAnsi="Times New Roman" w:cs="Times New Roman"/>
          <w:sz w:val="24"/>
          <w:szCs w:val="24"/>
        </w:rPr>
        <w:t>Muza</w:t>
      </w:r>
      <w:proofErr w:type="spellEnd"/>
      <w:r w:rsidRPr="006D14DD">
        <w:rPr>
          <w:rFonts w:ascii="Times New Roman" w:hAnsi="Times New Roman" w:cs="Times New Roman"/>
          <w:sz w:val="24"/>
          <w:szCs w:val="24"/>
        </w:rPr>
        <w:t xml:space="preserve"> </w:t>
      </w:r>
      <w:r>
        <w:rPr>
          <w:rFonts w:ascii="Times New Roman" w:hAnsi="Times New Roman" w:cs="Times New Roman"/>
          <w:sz w:val="24"/>
          <w:szCs w:val="24"/>
        </w:rPr>
        <w:t>to decide from the comfort</w:t>
      </w:r>
      <w:r w:rsidR="00A24736">
        <w:rPr>
          <w:rFonts w:ascii="Times New Roman" w:hAnsi="Times New Roman" w:cs="Times New Roman"/>
          <w:sz w:val="24"/>
          <w:szCs w:val="24"/>
        </w:rPr>
        <w:t xml:space="preserve"> of his office not to himself attend court on a date that he had personally conceded to have the matter postponed and to delegate his junior Mr </w:t>
      </w:r>
      <w:proofErr w:type="spellStart"/>
      <w:r w:rsidR="00A24736">
        <w:rPr>
          <w:rFonts w:ascii="Times New Roman" w:hAnsi="Times New Roman" w:cs="Times New Roman"/>
          <w:sz w:val="24"/>
          <w:szCs w:val="24"/>
        </w:rPr>
        <w:t>Tawona</w:t>
      </w:r>
      <w:proofErr w:type="spellEnd"/>
      <w:r w:rsidR="00A24736">
        <w:rPr>
          <w:rFonts w:ascii="Times New Roman" w:hAnsi="Times New Roman" w:cs="Times New Roman"/>
          <w:sz w:val="24"/>
          <w:szCs w:val="24"/>
        </w:rPr>
        <w:t xml:space="preserve"> to handle the desired postponement.</w:t>
      </w:r>
    </w:p>
    <w:p w:rsidR="00A24736" w:rsidRDefault="00A24736"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yawning gaps in </w:t>
      </w:r>
      <w:r w:rsidRPr="006D14DD">
        <w:rPr>
          <w:rFonts w:ascii="Times New Roman" w:hAnsi="Times New Roman" w:cs="Times New Roman"/>
          <w:sz w:val="24"/>
          <w:szCs w:val="24"/>
        </w:rPr>
        <w:t xml:space="preserve">Vote </w:t>
      </w:r>
      <w:proofErr w:type="spellStart"/>
      <w:r w:rsidRPr="006D14DD">
        <w:rPr>
          <w:rFonts w:ascii="Times New Roman" w:hAnsi="Times New Roman" w:cs="Times New Roman"/>
          <w:sz w:val="24"/>
          <w:szCs w:val="24"/>
        </w:rPr>
        <w:t>Muza’s</w:t>
      </w:r>
      <w:proofErr w:type="spellEnd"/>
      <w:r>
        <w:rPr>
          <w:rFonts w:ascii="Times New Roman" w:hAnsi="Times New Roman" w:cs="Times New Roman"/>
          <w:sz w:val="24"/>
          <w:szCs w:val="24"/>
        </w:rPr>
        <w:t xml:space="preserve"> founding affidavit is that he does not himself explain why he did not personally take it upon himself to appear before the presiding judge and seek a postponement. Equally surprising is Mr </w:t>
      </w:r>
      <w:proofErr w:type="spellStart"/>
      <w:r w:rsidRPr="006D14DD">
        <w:rPr>
          <w:rFonts w:ascii="Times New Roman" w:hAnsi="Times New Roman" w:cs="Times New Roman"/>
          <w:sz w:val="24"/>
          <w:szCs w:val="24"/>
        </w:rPr>
        <w:t>Muza’</w:t>
      </w:r>
      <w:r>
        <w:rPr>
          <w:rFonts w:ascii="Times New Roman" w:hAnsi="Times New Roman" w:cs="Times New Roman"/>
          <w:sz w:val="24"/>
          <w:szCs w:val="24"/>
        </w:rPr>
        <w:t>s</w:t>
      </w:r>
      <w:proofErr w:type="spellEnd"/>
      <w:r>
        <w:rPr>
          <w:rFonts w:ascii="Times New Roman" w:hAnsi="Times New Roman" w:cs="Times New Roman"/>
          <w:sz w:val="24"/>
          <w:szCs w:val="24"/>
        </w:rPr>
        <w:t xml:space="preserve"> appetite to speculate on behalf of Mr </w:t>
      </w:r>
      <w:proofErr w:type="spellStart"/>
      <w:r>
        <w:rPr>
          <w:rFonts w:ascii="Times New Roman" w:hAnsi="Times New Roman" w:cs="Times New Roman"/>
          <w:sz w:val="24"/>
          <w:szCs w:val="24"/>
        </w:rPr>
        <w:t>Tawona</w:t>
      </w:r>
      <w:proofErr w:type="spellEnd"/>
      <w:r>
        <w:rPr>
          <w:rFonts w:ascii="Times New Roman" w:hAnsi="Times New Roman" w:cs="Times New Roman"/>
          <w:sz w:val="24"/>
          <w:szCs w:val="24"/>
        </w:rPr>
        <w:t xml:space="preserve"> without appreciating the wisdom of compiling </w:t>
      </w:r>
      <w:proofErr w:type="spellStart"/>
      <w:r>
        <w:rPr>
          <w:rFonts w:ascii="Times New Roman" w:hAnsi="Times New Roman" w:cs="Times New Roman"/>
          <w:sz w:val="24"/>
          <w:szCs w:val="24"/>
        </w:rPr>
        <w:t>Tawona’s</w:t>
      </w:r>
      <w:proofErr w:type="spellEnd"/>
      <w:r>
        <w:rPr>
          <w:rFonts w:ascii="Times New Roman" w:hAnsi="Times New Roman" w:cs="Times New Roman"/>
          <w:sz w:val="24"/>
          <w:szCs w:val="24"/>
        </w:rPr>
        <w:t xml:space="preserve"> affidavit in support of the application.</w:t>
      </w:r>
    </w:p>
    <w:p w:rsidR="00A24736" w:rsidRDefault="00A24736"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founding affidavit of Mr </w:t>
      </w:r>
      <w:proofErr w:type="spellStart"/>
      <w:r w:rsidRPr="006D14DD">
        <w:rPr>
          <w:rFonts w:ascii="Times New Roman" w:hAnsi="Times New Roman" w:cs="Times New Roman"/>
          <w:sz w:val="24"/>
          <w:szCs w:val="24"/>
        </w:rPr>
        <w:t>Muza</w:t>
      </w:r>
      <w:proofErr w:type="spellEnd"/>
      <w:r w:rsidRPr="006D14DD">
        <w:rPr>
          <w:rFonts w:ascii="Times New Roman" w:hAnsi="Times New Roman" w:cs="Times New Roman"/>
          <w:sz w:val="24"/>
          <w:szCs w:val="24"/>
        </w:rPr>
        <w:t xml:space="preserve"> </w:t>
      </w:r>
      <w:r>
        <w:rPr>
          <w:rFonts w:ascii="Times New Roman" w:hAnsi="Times New Roman" w:cs="Times New Roman"/>
          <w:sz w:val="24"/>
          <w:szCs w:val="24"/>
        </w:rPr>
        <w:t xml:space="preserve">attempts to monopolise the alleged expert evidence of Stephen </w:t>
      </w:r>
      <w:proofErr w:type="spellStart"/>
      <w:r>
        <w:rPr>
          <w:rFonts w:ascii="Times New Roman" w:hAnsi="Times New Roman" w:cs="Times New Roman"/>
          <w:sz w:val="24"/>
          <w:szCs w:val="24"/>
        </w:rPr>
        <w:t>Mbaravira</w:t>
      </w:r>
      <w:proofErr w:type="spellEnd"/>
      <w:r>
        <w:rPr>
          <w:rFonts w:ascii="Times New Roman" w:hAnsi="Times New Roman" w:cs="Times New Roman"/>
          <w:sz w:val="24"/>
          <w:szCs w:val="24"/>
        </w:rPr>
        <w:t xml:space="preserve"> whose evidence he alleged was central and decisive in the applicant’s defence. But if this witness was that important one </w:t>
      </w:r>
      <w:r w:rsidR="003D379D">
        <w:rPr>
          <w:rFonts w:ascii="Times New Roman" w:hAnsi="Times New Roman" w:cs="Times New Roman"/>
          <w:sz w:val="24"/>
          <w:szCs w:val="24"/>
        </w:rPr>
        <w:t xml:space="preserve">does not understand why he could not avail himself on either 20 or 21 October 2010 if he was writing his professional examinations during the week commencing 25 October 2010. Again, </w:t>
      </w:r>
      <w:proofErr w:type="spellStart"/>
      <w:r w:rsidR="003D379D">
        <w:rPr>
          <w:rFonts w:ascii="Times New Roman" w:hAnsi="Times New Roman" w:cs="Times New Roman"/>
          <w:sz w:val="24"/>
          <w:szCs w:val="24"/>
        </w:rPr>
        <w:t>Mbavarira’s</w:t>
      </w:r>
      <w:proofErr w:type="spellEnd"/>
      <w:r w:rsidR="003D379D">
        <w:rPr>
          <w:rFonts w:ascii="Times New Roman" w:hAnsi="Times New Roman" w:cs="Times New Roman"/>
          <w:sz w:val="24"/>
          <w:szCs w:val="24"/>
        </w:rPr>
        <w:t xml:space="preserve"> affidavit is conspicuously missing to explain his alleged challenges and to explain that of all the experts within the applicant’s employment he was the only one fully qualified to defend the applicant in the manner alleged by </w:t>
      </w:r>
      <w:r w:rsidR="003D379D" w:rsidRPr="006D14DD">
        <w:rPr>
          <w:rFonts w:ascii="Times New Roman" w:hAnsi="Times New Roman" w:cs="Times New Roman"/>
          <w:sz w:val="24"/>
          <w:szCs w:val="24"/>
        </w:rPr>
        <w:t xml:space="preserve">Vote </w:t>
      </w:r>
      <w:proofErr w:type="spellStart"/>
      <w:r w:rsidR="003D379D" w:rsidRPr="006D14DD">
        <w:rPr>
          <w:rFonts w:ascii="Times New Roman" w:hAnsi="Times New Roman" w:cs="Times New Roman"/>
          <w:sz w:val="24"/>
          <w:szCs w:val="24"/>
        </w:rPr>
        <w:t>Muza</w:t>
      </w:r>
      <w:proofErr w:type="spellEnd"/>
      <w:r w:rsidR="003D379D">
        <w:rPr>
          <w:rFonts w:ascii="Times New Roman" w:hAnsi="Times New Roman" w:cs="Times New Roman"/>
          <w:sz w:val="24"/>
          <w:szCs w:val="24"/>
        </w:rPr>
        <w:t xml:space="preserve"> in his founding affidavit.</w:t>
      </w:r>
    </w:p>
    <w:p w:rsidR="003D379D" w:rsidRDefault="003D379D"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founding affidavit of </w:t>
      </w:r>
      <w:r w:rsidRPr="006D14DD">
        <w:rPr>
          <w:rFonts w:ascii="Times New Roman" w:hAnsi="Times New Roman" w:cs="Times New Roman"/>
          <w:sz w:val="24"/>
          <w:szCs w:val="24"/>
        </w:rPr>
        <w:t xml:space="preserve">Vote </w:t>
      </w:r>
      <w:proofErr w:type="spellStart"/>
      <w:r w:rsidRPr="006D14DD">
        <w:rPr>
          <w:rFonts w:ascii="Times New Roman" w:hAnsi="Times New Roman" w:cs="Times New Roman"/>
          <w:sz w:val="24"/>
          <w:szCs w:val="24"/>
        </w:rPr>
        <w:t>Muza</w:t>
      </w:r>
      <w:proofErr w:type="spellEnd"/>
      <w:r>
        <w:rPr>
          <w:rFonts w:ascii="Times New Roman" w:hAnsi="Times New Roman" w:cs="Times New Roman"/>
          <w:sz w:val="24"/>
          <w:szCs w:val="24"/>
        </w:rPr>
        <w:t xml:space="preserve"> one cannot avoid coming to the seemingly inevitable conclusion that with his mind fully alert, he deliberately decided not to attend firstly the round table conference as directed by the presiding judge and secondly the pre-trial hearing of 21 October 2010 which date he had accepted for pre-trial hearing.</w:t>
      </w:r>
    </w:p>
    <w:p w:rsidR="003D379D" w:rsidRDefault="003D379D"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frustrations by the presiding judge are understandable and easily </w:t>
      </w:r>
      <w:proofErr w:type="spellStart"/>
      <w:r w:rsidR="006D14DD">
        <w:rPr>
          <w:rFonts w:ascii="Times New Roman" w:hAnsi="Times New Roman" w:cs="Times New Roman"/>
          <w:sz w:val="24"/>
          <w:szCs w:val="24"/>
        </w:rPr>
        <w:t>discernable</w:t>
      </w:r>
      <w:proofErr w:type="spellEnd"/>
      <w:r>
        <w:rPr>
          <w:rFonts w:ascii="Times New Roman" w:hAnsi="Times New Roman" w:cs="Times New Roman"/>
          <w:sz w:val="24"/>
          <w:szCs w:val="24"/>
        </w:rPr>
        <w:t xml:space="preserve"> from her brief ruling when she stated:</w:t>
      </w:r>
    </w:p>
    <w:p w:rsidR="002E4C5A" w:rsidRDefault="002E4C5A" w:rsidP="002E4C5A">
      <w:pPr>
        <w:spacing w:after="0" w:line="240" w:lineRule="auto"/>
        <w:ind w:firstLine="720"/>
        <w:jc w:val="both"/>
        <w:rPr>
          <w:rFonts w:ascii="Times New Roman" w:hAnsi="Times New Roman" w:cs="Times New Roman"/>
          <w:sz w:val="24"/>
          <w:szCs w:val="24"/>
        </w:rPr>
      </w:pPr>
    </w:p>
    <w:p w:rsidR="003D379D" w:rsidRDefault="003D379D" w:rsidP="006D14D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Result:</w:t>
      </w:r>
      <w:r>
        <w:rPr>
          <w:rFonts w:ascii="Times New Roman" w:hAnsi="Times New Roman" w:cs="Times New Roman"/>
          <w:sz w:val="24"/>
          <w:szCs w:val="24"/>
        </w:rPr>
        <w:tab/>
        <w:t>The defendant is not in attendance. Its legal practitioner was unable to proffer a reasonable excuse for failure by the defendant to send a representative to attend the pre-trial conference.</w:t>
      </w:r>
    </w:p>
    <w:p w:rsidR="003D379D" w:rsidRDefault="003D379D" w:rsidP="006D14D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Mr </w:t>
      </w:r>
      <w:proofErr w:type="spellStart"/>
      <w:r w:rsidRPr="002E4C5A">
        <w:rPr>
          <w:rFonts w:ascii="Times New Roman" w:hAnsi="Times New Roman" w:cs="Times New Roman"/>
          <w:sz w:val="24"/>
          <w:szCs w:val="24"/>
        </w:rPr>
        <w:t>Ncube</w:t>
      </w:r>
      <w:proofErr w:type="spellEnd"/>
      <w:r>
        <w:rPr>
          <w:rFonts w:ascii="Times New Roman" w:hAnsi="Times New Roman" w:cs="Times New Roman"/>
          <w:sz w:val="24"/>
          <w:szCs w:val="24"/>
        </w:rPr>
        <w:t xml:space="preserve"> submitted that this was the second occasion on which the defendant failed to attend the pre-trial conference without a reasonable explanation. The parties were supposed to have met yesterday to discuss settlement and the plaintiff and his legal practitioner waited for them for thirty minutes. A call then came from </w:t>
      </w:r>
      <w:proofErr w:type="spellStart"/>
      <w:r w:rsidRPr="002E4C5A">
        <w:rPr>
          <w:rFonts w:ascii="Times New Roman" w:hAnsi="Times New Roman" w:cs="Times New Roman"/>
          <w:sz w:val="24"/>
          <w:szCs w:val="24"/>
        </w:rPr>
        <w:t>Muza</w:t>
      </w:r>
      <w:proofErr w:type="spellEnd"/>
      <w:r w:rsidRPr="002E4C5A">
        <w:rPr>
          <w:rFonts w:ascii="Times New Roman" w:hAnsi="Times New Roman" w:cs="Times New Roman"/>
          <w:sz w:val="24"/>
          <w:szCs w:val="24"/>
        </w:rPr>
        <w:t xml:space="preserve"> </w:t>
      </w:r>
      <w:r w:rsidRPr="003D379D">
        <w:rPr>
          <w:rFonts w:ascii="Times New Roman" w:hAnsi="Times New Roman" w:cs="Times New Roman"/>
          <w:sz w:val="24"/>
          <w:szCs w:val="24"/>
        </w:rPr>
        <w:t>to say that his cl</w:t>
      </w:r>
      <w:r>
        <w:rPr>
          <w:rFonts w:ascii="Times New Roman" w:hAnsi="Times New Roman" w:cs="Times New Roman"/>
          <w:sz w:val="24"/>
          <w:szCs w:val="24"/>
        </w:rPr>
        <w:t>i</w:t>
      </w:r>
      <w:r w:rsidRPr="003D379D">
        <w:rPr>
          <w:rFonts w:ascii="Times New Roman" w:hAnsi="Times New Roman" w:cs="Times New Roman"/>
          <w:sz w:val="24"/>
          <w:szCs w:val="24"/>
        </w:rPr>
        <w:t>e</w:t>
      </w:r>
      <w:r>
        <w:rPr>
          <w:rFonts w:ascii="Times New Roman" w:hAnsi="Times New Roman" w:cs="Times New Roman"/>
          <w:sz w:val="24"/>
          <w:szCs w:val="24"/>
        </w:rPr>
        <w:t>nt</w:t>
      </w:r>
      <w:r w:rsidR="00055B68">
        <w:rPr>
          <w:rFonts w:ascii="Times New Roman" w:hAnsi="Times New Roman" w:cs="Times New Roman"/>
          <w:sz w:val="24"/>
          <w:szCs w:val="24"/>
        </w:rPr>
        <w:t xml:space="preserve"> could not come because of a course in </w:t>
      </w:r>
      <w:proofErr w:type="spellStart"/>
      <w:r w:rsidR="00055B68">
        <w:rPr>
          <w:rFonts w:ascii="Times New Roman" w:hAnsi="Times New Roman" w:cs="Times New Roman"/>
          <w:sz w:val="24"/>
          <w:szCs w:val="24"/>
        </w:rPr>
        <w:t>Kadoma</w:t>
      </w:r>
      <w:proofErr w:type="spellEnd"/>
      <w:r w:rsidR="00055B68">
        <w:rPr>
          <w:rFonts w:ascii="Times New Roman" w:hAnsi="Times New Roman" w:cs="Times New Roman"/>
          <w:sz w:val="24"/>
          <w:szCs w:val="24"/>
        </w:rPr>
        <w:t>.</w:t>
      </w:r>
    </w:p>
    <w:p w:rsidR="00055B68" w:rsidRDefault="00055B68" w:rsidP="006D14D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defendant has been </w:t>
      </w:r>
      <w:r>
        <w:rPr>
          <w:rFonts w:ascii="Times New Roman" w:hAnsi="Times New Roman" w:cs="Times New Roman"/>
          <w:i/>
          <w:sz w:val="24"/>
          <w:szCs w:val="24"/>
        </w:rPr>
        <w:t>dilatory</w:t>
      </w:r>
      <w:r>
        <w:rPr>
          <w:rFonts w:ascii="Times New Roman" w:hAnsi="Times New Roman" w:cs="Times New Roman"/>
          <w:sz w:val="24"/>
          <w:szCs w:val="24"/>
        </w:rPr>
        <w:t xml:space="preserve"> in dealing with this PTC and having no explanation for its non-atte4ndance on two occasions. I find that it is in default. The plaintiff sought and has applied for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the defence to be struck out.</w:t>
      </w:r>
    </w:p>
    <w:p w:rsidR="00055B68" w:rsidRDefault="00055B68"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w:t>
      </w:r>
    </w:p>
    <w:p w:rsidR="00657D8A" w:rsidRDefault="00657D8A" w:rsidP="00657D8A">
      <w:pPr>
        <w:spacing w:after="0" w:line="240" w:lineRule="auto"/>
        <w:ind w:firstLine="720"/>
        <w:jc w:val="both"/>
        <w:rPr>
          <w:rFonts w:ascii="Times New Roman" w:hAnsi="Times New Roman" w:cs="Times New Roman"/>
          <w:sz w:val="24"/>
          <w:szCs w:val="24"/>
        </w:rPr>
      </w:pPr>
    </w:p>
    <w:p w:rsidR="00055B68" w:rsidRDefault="00055B68" w:rsidP="006D14D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defence and plea by the defendant be and is hereby struck out.</w:t>
      </w:r>
    </w:p>
    <w:p w:rsidR="00055B68" w:rsidRPr="00055B68" w:rsidRDefault="00055B68" w:rsidP="006D14D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referred to the unopposed roll for proof of damages by the plaintiff.</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922E7E" w:rsidRDefault="00922E7E" w:rsidP="006D14DD">
      <w:pPr>
        <w:spacing w:after="0" w:line="240" w:lineRule="auto"/>
        <w:jc w:val="both"/>
        <w:rPr>
          <w:rFonts w:ascii="Times New Roman" w:hAnsi="Times New Roman" w:cs="Times New Roman"/>
          <w:sz w:val="24"/>
          <w:szCs w:val="24"/>
        </w:rPr>
      </w:pPr>
    </w:p>
    <w:p w:rsidR="00055B68" w:rsidRDefault="00055B68"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quite significant that the ruling by the judge concerned provides another dimension to the </w:t>
      </w:r>
      <w:r>
        <w:rPr>
          <w:rFonts w:ascii="Times New Roman" w:hAnsi="Times New Roman" w:cs="Times New Roman"/>
          <w:i/>
          <w:sz w:val="24"/>
          <w:szCs w:val="24"/>
        </w:rPr>
        <w:t>bona fides</w:t>
      </w:r>
      <w:r>
        <w:rPr>
          <w:rFonts w:ascii="Times New Roman" w:hAnsi="Times New Roman" w:cs="Times New Roman"/>
          <w:sz w:val="24"/>
          <w:szCs w:val="24"/>
        </w:rPr>
        <w:t xml:space="preserve"> of the applicant’s explanation for the default. Whereas, in his founding affidavit Mr </w:t>
      </w:r>
      <w:proofErr w:type="spellStart"/>
      <w:r w:rsidRPr="002E4C5A">
        <w:rPr>
          <w:rFonts w:ascii="Times New Roman" w:hAnsi="Times New Roman" w:cs="Times New Roman"/>
          <w:sz w:val="24"/>
          <w:szCs w:val="24"/>
        </w:rPr>
        <w:t>Muza</w:t>
      </w:r>
      <w:proofErr w:type="spellEnd"/>
      <w:r w:rsidRPr="002E4C5A">
        <w:rPr>
          <w:rFonts w:ascii="Times New Roman" w:hAnsi="Times New Roman" w:cs="Times New Roman"/>
          <w:sz w:val="24"/>
          <w:szCs w:val="24"/>
        </w:rPr>
        <w:t xml:space="preserve"> </w:t>
      </w:r>
      <w:r>
        <w:rPr>
          <w:rFonts w:ascii="Times New Roman" w:hAnsi="Times New Roman" w:cs="Times New Roman"/>
          <w:sz w:val="24"/>
          <w:szCs w:val="24"/>
        </w:rPr>
        <w:t>stoutly tried to convince the court that the reason for default was that his client</w:t>
      </w:r>
      <w:r w:rsidR="00440426">
        <w:rPr>
          <w:rFonts w:ascii="Times New Roman" w:hAnsi="Times New Roman" w:cs="Times New Roman"/>
          <w:sz w:val="24"/>
          <w:szCs w:val="24"/>
        </w:rPr>
        <w:t xml:space="preserve">’s representative was held up by professional examinations, his fellow legal practitioner Mr </w:t>
      </w:r>
      <w:proofErr w:type="spellStart"/>
      <w:r w:rsidR="00440426" w:rsidRPr="002E4C5A">
        <w:rPr>
          <w:rFonts w:ascii="Times New Roman" w:hAnsi="Times New Roman" w:cs="Times New Roman"/>
          <w:sz w:val="24"/>
          <w:szCs w:val="24"/>
        </w:rPr>
        <w:t>Tawona</w:t>
      </w:r>
      <w:proofErr w:type="spellEnd"/>
      <w:r w:rsidR="00440426">
        <w:rPr>
          <w:rFonts w:ascii="Times New Roman" w:hAnsi="Times New Roman" w:cs="Times New Roman"/>
          <w:sz w:val="24"/>
          <w:szCs w:val="24"/>
        </w:rPr>
        <w:t xml:space="preserve"> was singing a different song before the presiding judge by advising that the representative was attending a course in </w:t>
      </w:r>
      <w:proofErr w:type="spellStart"/>
      <w:r w:rsidR="00440426">
        <w:rPr>
          <w:rFonts w:ascii="Times New Roman" w:hAnsi="Times New Roman" w:cs="Times New Roman"/>
          <w:sz w:val="24"/>
          <w:szCs w:val="24"/>
        </w:rPr>
        <w:t>Kadoma</w:t>
      </w:r>
      <w:proofErr w:type="spellEnd"/>
      <w:r w:rsidR="00440426">
        <w:rPr>
          <w:rFonts w:ascii="Times New Roman" w:hAnsi="Times New Roman" w:cs="Times New Roman"/>
          <w:sz w:val="24"/>
          <w:szCs w:val="24"/>
        </w:rPr>
        <w:t>. One can only conclude that there was a clear determination by the applicant to frustrate the conclusion of this case and such conduct must find no sympathy from the court.</w:t>
      </w:r>
    </w:p>
    <w:p w:rsidR="00440426" w:rsidRDefault="00440426"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it is true that a legal practitioner is competent to file a founding affidavit for and on behalf of an applicant as in the instant case one should al</w:t>
      </w:r>
      <w:r w:rsidR="001D5A0A">
        <w:rPr>
          <w:rFonts w:ascii="Times New Roman" w:hAnsi="Times New Roman" w:cs="Times New Roman"/>
          <w:sz w:val="24"/>
          <w:szCs w:val="24"/>
        </w:rPr>
        <w:t>ways be aware of the attendant risks involved in the case of a situation where the founding affidavit departs materially from the pleadings filed of record. If that happens, then the competence of the legal practitioner in filing a supporting affidavit inevitably calls for scrutiny.</w:t>
      </w:r>
    </w:p>
    <w:p w:rsidR="001D5A0A" w:rsidRDefault="001D5A0A"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instant case and in a desperate effort to lay the foundation of the applicant’s </w:t>
      </w:r>
      <w:r>
        <w:rPr>
          <w:rFonts w:ascii="Times New Roman" w:hAnsi="Times New Roman" w:cs="Times New Roman"/>
          <w:i/>
          <w:sz w:val="24"/>
          <w:szCs w:val="24"/>
        </w:rPr>
        <w:t>bona fides</w:t>
      </w:r>
      <w:r>
        <w:rPr>
          <w:rFonts w:ascii="Times New Roman" w:hAnsi="Times New Roman" w:cs="Times New Roman"/>
          <w:sz w:val="24"/>
          <w:szCs w:val="24"/>
        </w:rPr>
        <w:t xml:space="preserve"> in its defence, the deponent has completely denied liability on the part of the applicant. Unfortunately the filed pleadings do not quite support him. It will be noted that on 16 January 2010, the applicant wrote to the applicant complaining about the burnt electric motors which had been caused by low voltage leading to disruption of the supply of electricity at the respondent’s plot, which disruption is the cause of his action in the main matter. In its response the applicant, through its secretary one J </w:t>
      </w:r>
      <w:proofErr w:type="spellStart"/>
      <w:r>
        <w:rPr>
          <w:rFonts w:ascii="Times New Roman" w:hAnsi="Times New Roman" w:cs="Times New Roman"/>
          <w:sz w:val="24"/>
          <w:szCs w:val="24"/>
        </w:rPr>
        <w:t>Tsamba</w:t>
      </w:r>
      <w:proofErr w:type="spellEnd"/>
      <w:r>
        <w:rPr>
          <w:rFonts w:ascii="Times New Roman" w:hAnsi="Times New Roman" w:cs="Times New Roman"/>
          <w:sz w:val="24"/>
          <w:szCs w:val="24"/>
        </w:rPr>
        <w:t xml:space="preserve"> partially accepted blame through its letter of 27 January 2010 which was to the following:</w:t>
      </w:r>
    </w:p>
    <w:p w:rsidR="001D5A0A" w:rsidRDefault="001D5A0A" w:rsidP="00657D8A">
      <w:pPr>
        <w:spacing w:after="0" w:line="240" w:lineRule="auto"/>
        <w:ind w:firstLine="720"/>
        <w:jc w:val="both"/>
        <w:rPr>
          <w:rFonts w:ascii="Times New Roman" w:hAnsi="Times New Roman" w:cs="Times New Roman"/>
          <w:sz w:val="24"/>
          <w:szCs w:val="24"/>
        </w:rPr>
      </w:pPr>
    </w:p>
    <w:p w:rsidR="001D5A0A" w:rsidRDefault="001D5A0A" w:rsidP="006D14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acknowledge receipt of your letter dated 6 January 2010 whose contents have been noted.</w:t>
      </w:r>
    </w:p>
    <w:p w:rsidR="001D5A0A" w:rsidRDefault="001D5A0A" w:rsidP="006D14DD">
      <w:pPr>
        <w:spacing w:after="0" w:line="240" w:lineRule="auto"/>
        <w:ind w:firstLine="720"/>
        <w:jc w:val="both"/>
        <w:rPr>
          <w:rFonts w:ascii="Times New Roman" w:hAnsi="Times New Roman" w:cs="Times New Roman"/>
          <w:sz w:val="24"/>
          <w:szCs w:val="24"/>
        </w:rPr>
      </w:pPr>
    </w:p>
    <w:p w:rsidR="001D5A0A" w:rsidRDefault="001D5A0A" w:rsidP="006D14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Please be advised that it was established that a 100 KVA transformer which was available by then was installed in 2002 at </w:t>
      </w:r>
      <w:proofErr w:type="spellStart"/>
      <w:r>
        <w:rPr>
          <w:rFonts w:ascii="Times New Roman" w:hAnsi="Times New Roman" w:cs="Times New Roman"/>
          <w:sz w:val="24"/>
          <w:szCs w:val="24"/>
        </w:rPr>
        <w:t>Exwick</w:t>
      </w:r>
      <w:proofErr w:type="spellEnd"/>
      <w:r>
        <w:rPr>
          <w:rFonts w:ascii="Times New Roman" w:hAnsi="Times New Roman" w:cs="Times New Roman"/>
          <w:sz w:val="24"/>
          <w:szCs w:val="24"/>
        </w:rPr>
        <w:t xml:space="preserve"> Plots and could cater for the load. </w:t>
      </w:r>
      <w:r w:rsidRPr="001D5A0A">
        <w:rPr>
          <w:rFonts w:ascii="Times New Roman" w:hAnsi="Times New Roman" w:cs="Times New Roman"/>
          <w:sz w:val="24"/>
          <w:szCs w:val="24"/>
          <w:u w:val="single"/>
        </w:rPr>
        <w:t>Due to the increase in the load over the years, the transformer capacity could not match the load</w:t>
      </w:r>
      <w:r>
        <w:rPr>
          <w:rFonts w:ascii="Times New Roman" w:hAnsi="Times New Roman" w:cs="Times New Roman"/>
          <w:sz w:val="24"/>
          <w:szCs w:val="24"/>
        </w:rPr>
        <w:t>.</w:t>
      </w:r>
    </w:p>
    <w:p w:rsidR="001D5A0A" w:rsidRDefault="001D5A0A" w:rsidP="006D14DD">
      <w:pPr>
        <w:spacing w:after="0" w:line="240" w:lineRule="auto"/>
        <w:ind w:left="720"/>
        <w:jc w:val="both"/>
        <w:rPr>
          <w:rFonts w:ascii="Times New Roman" w:hAnsi="Times New Roman" w:cs="Times New Roman"/>
          <w:sz w:val="24"/>
          <w:szCs w:val="24"/>
        </w:rPr>
      </w:pPr>
    </w:p>
    <w:p w:rsidR="00C02E8F" w:rsidRDefault="001D5A0A" w:rsidP="006D14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To ensure adequate supplies an increase in transformer capacity will be made from 100 </w:t>
      </w:r>
      <w:r w:rsidR="00C02E8F">
        <w:rPr>
          <w:rFonts w:ascii="Times New Roman" w:hAnsi="Times New Roman" w:cs="Times New Roman"/>
          <w:sz w:val="24"/>
          <w:szCs w:val="24"/>
        </w:rPr>
        <w:t>KVA</w:t>
      </w:r>
      <w:r>
        <w:rPr>
          <w:rFonts w:ascii="Times New Roman" w:hAnsi="Times New Roman" w:cs="Times New Roman"/>
          <w:sz w:val="24"/>
          <w:szCs w:val="24"/>
        </w:rPr>
        <w:t xml:space="preserve"> to 315 </w:t>
      </w:r>
      <w:r w:rsidR="00C02E8F">
        <w:rPr>
          <w:rFonts w:ascii="Times New Roman" w:hAnsi="Times New Roman" w:cs="Times New Roman"/>
          <w:sz w:val="24"/>
          <w:szCs w:val="24"/>
        </w:rPr>
        <w:t>KVA. The LT line will be uprated from 50 mm</w:t>
      </w:r>
      <w:r w:rsidR="00C02E8F" w:rsidRPr="006D14DD">
        <w:rPr>
          <w:rFonts w:ascii="Times New Roman" w:hAnsi="Times New Roman" w:cs="Times New Roman"/>
          <w:sz w:val="24"/>
          <w:szCs w:val="24"/>
          <w:vertAlign w:val="superscript"/>
        </w:rPr>
        <w:t>2</w:t>
      </w:r>
      <w:r w:rsidR="00C02E8F">
        <w:rPr>
          <w:rFonts w:ascii="Times New Roman" w:hAnsi="Times New Roman" w:cs="Times New Roman"/>
          <w:sz w:val="24"/>
          <w:szCs w:val="24"/>
        </w:rPr>
        <w:t xml:space="preserve"> HAD to 100 mm</w:t>
      </w:r>
      <w:r w:rsidR="00C02E8F" w:rsidRPr="006D14DD">
        <w:rPr>
          <w:rFonts w:ascii="Times New Roman" w:hAnsi="Times New Roman" w:cs="Times New Roman"/>
          <w:sz w:val="24"/>
          <w:szCs w:val="24"/>
          <w:vertAlign w:val="superscript"/>
        </w:rPr>
        <w:t>2</w:t>
      </w:r>
      <w:r w:rsidR="00C02E8F">
        <w:rPr>
          <w:rFonts w:ascii="Times New Roman" w:hAnsi="Times New Roman" w:cs="Times New Roman"/>
          <w:sz w:val="24"/>
          <w:szCs w:val="24"/>
        </w:rPr>
        <w:t xml:space="preserve"> HAD by 15 February 2010.</w:t>
      </w:r>
    </w:p>
    <w:p w:rsidR="00C02E8F" w:rsidRDefault="00C02E8F" w:rsidP="006D14DD">
      <w:pPr>
        <w:spacing w:after="0" w:line="240" w:lineRule="auto"/>
        <w:ind w:left="720"/>
        <w:jc w:val="both"/>
        <w:rPr>
          <w:rFonts w:ascii="Times New Roman" w:hAnsi="Times New Roman" w:cs="Times New Roman"/>
          <w:sz w:val="24"/>
          <w:szCs w:val="24"/>
        </w:rPr>
      </w:pPr>
    </w:p>
    <w:p w:rsidR="00C02E8F" w:rsidRDefault="00C02E8F" w:rsidP="006D14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hope this addresses your concerns.”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C02E8F" w:rsidRDefault="00C02E8F" w:rsidP="006D14DD">
      <w:pPr>
        <w:spacing w:after="0" w:line="240" w:lineRule="auto"/>
        <w:jc w:val="both"/>
        <w:rPr>
          <w:rFonts w:ascii="Times New Roman" w:hAnsi="Times New Roman" w:cs="Times New Roman"/>
          <w:sz w:val="24"/>
          <w:szCs w:val="24"/>
        </w:rPr>
      </w:pPr>
    </w:p>
    <w:p w:rsidR="00935D3C" w:rsidRDefault="00C02E8F"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Compare this conciliatory gesture which </w:t>
      </w:r>
      <w:r w:rsidR="00CA60A3">
        <w:rPr>
          <w:rFonts w:ascii="Times New Roman" w:hAnsi="Times New Roman" w:cs="Times New Roman"/>
          <w:sz w:val="24"/>
          <w:szCs w:val="24"/>
        </w:rPr>
        <w:t>in</w:t>
      </w:r>
      <w:bookmarkStart w:id="0" w:name="_GoBack"/>
      <w:bookmarkEnd w:id="0"/>
      <w:r>
        <w:rPr>
          <w:rFonts w:ascii="Times New Roman" w:hAnsi="Times New Roman" w:cs="Times New Roman"/>
          <w:sz w:val="24"/>
          <w:szCs w:val="24"/>
        </w:rPr>
        <w:t xml:space="preserve"> my view is a partial admission of liability w</w:t>
      </w:r>
      <w:r w:rsidR="005E0D6F">
        <w:rPr>
          <w:rFonts w:ascii="Times New Roman" w:hAnsi="Times New Roman" w:cs="Times New Roman"/>
          <w:sz w:val="24"/>
          <w:szCs w:val="24"/>
        </w:rPr>
        <w:t>ith</w:t>
      </w:r>
      <w:r>
        <w:rPr>
          <w:rFonts w:ascii="Times New Roman" w:hAnsi="Times New Roman" w:cs="Times New Roman"/>
          <w:sz w:val="24"/>
          <w:szCs w:val="24"/>
        </w:rPr>
        <w:t xml:space="preserve"> the fully fledged denial of liability that runs through Vote </w:t>
      </w:r>
      <w:proofErr w:type="spellStart"/>
      <w:r>
        <w:rPr>
          <w:rFonts w:ascii="Times New Roman" w:hAnsi="Times New Roman" w:cs="Times New Roman"/>
          <w:sz w:val="24"/>
          <w:szCs w:val="24"/>
        </w:rPr>
        <w:t>Muza’s</w:t>
      </w:r>
      <w:proofErr w:type="spellEnd"/>
      <w:r>
        <w:rPr>
          <w:rFonts w:ascii="Times New Roman" w:hAnsi="Times New Roman" w:cs="Times New Roman"/>
          <w:sz w:val="24"/>
          <w:szCs w:val="24"/>
        </w:rPr>
        <w:t xml:space="preserve"> founding affidavit filed for and on behalf of the applicant. This conflicting approach in dealing with this matter neither edifies the applicant’s defence nor portrays Vote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in good light. If anything it </w:t>
      </w:r>
      <w:r w:rsidR="00935D3C">
        <w:rPr>
          <w:rFonts w:ascii="Times New Roman" w:hAnsi="Times New Roman" w:cs="Times New Roman"/>
          <w:sz w:val="24"/>
          <w:szCs w:val="24"/>
        </w:rPr>
        <w:t xml:space="preserve">casts reasonable doubt on the </w:t>
      </w:r>
      <w:r w:rsidR="00935D3C">
        <w:rPr>
          <w:rFonts w:ascii="Times New Roman" w:hAnsi="Times New Roman" w:cs="Times New Roman"/>
          <w:i/>
          <w:sz w:val="24"/>
          <w:szCs w:val="24"/>
        </w:rPr>
        <w:t>bona fides</w:t>
      </w:r>
      <w:r w:rsidR="00935D3C">
        <w:rPr>
          <w:rFonts w:ascii="Times New Roman" w:hAnsi="Times New Roman" w:cs="Times New Roman"/>
          <w:sz w:val="24"/>
          <w:szCs w:val="24"/>
        </w:rPr>
        <w:t xml:space="preserve"> of the application filed.</w:t>
      </w:r>
    </w:p>
    <w:p w:rsidR="00935D3C" w:rsidRDefault="00935D3C"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11 of his notice of opposition to the application made the respondent had challenged the applicant why its entire institution had failed to nominate a representative to represent it at the pre-trial conference of 21 October 2010. In response, and in his answering affidavit, Vote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then grudgingly referred to the affidavit of Judith </w:t>
      </w:r>
      <w:proofErr w:type="spellStart"/>
      <w:r>
        <w:rPr>
          <w:rFonts w:ascii="Times New Roman" w:hAnsi="Times New Roman" w:cs="Times New Roman"/>
          <w:sz w:val="24"/>
          <w:szCs w:val="24"/>
        </w:rPr>
        <w:t>Tsamba</w:t>
      </w:r>
      <w:proofErr w:type="spellEnd"/>
      <w:r>
        <w:rPr>
          <w:rFonts w:ascii="Times New Roman" w:hAnsi="Times New Roman" w:cs="Times New Roman"/>
          <w:sz w:val="24"/>
          <w:szCs w:val="24"/>
        </w:rPr>
        <w:t xml:space="preserve"> “filed herewith.”</w:t>
      </w:r>
    </w:p>
    <w:p w:rsidR="001D5A0A" w:rsidRDefault="00935D3C"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to me that reference to Judith </w:t>
      </w:r>
      <w:proofErr w:type="spellStart"/>
      <w:r>
        <w:rPr>
          <w:rFonts w:ascii="Times New Roman" w:hAnsi="Times New Roman" w:cs="Times New Roman"/>
          <w:sz w:val="24"/>
          <w:szCs w:val="24"/>
        </w:rPr>
        <w:t>Tsamba’s</w:t>
      </w:r>
      <w:proofErr w:type="spellEnd"/>
      <w:r>
        <w:rPr>
          <w:rFonts w:ascii="Times New Roman" w:hAnsi="Times New Roman" w:cs="Times New Roman"/>
          <w:sz w:val="24"/>
          <w:szCs w:val="24"/>
        </w:rPr>
        <w:t xml:space="preserve"> affidavit further compounded the applicant’s application as it amounted to improperly smuggling </w:t>
      </w:r>
      <w:proofErr w:type="spellStart"/>
      <w:r>
        <w:rPr>
          <w:rFonts w:ascii="Times New Roman" w:hAnsi="Times New Roman" w:cs="Times New Roman"/>
          <w:sz w:val="24"/>
          <w:szCs w:val="24"/>
        </w:rPr>
        <w:t>Tsamba’s</w:t>
      </w:r>
      <w:proofErr w:type="spellEnd"/>
      <w:r>
        <w:rPr>
          <w:rFonts w:ascii="Times New Roman" w:hAnsi="Times New Roman" w:cs="Times New Roman"/>
          <w:sz w:val="24"/>
          <w:szCs w:val="24"/>
        </w:rPr>
        <w:t xml:space="preserve"> affidavit into this application. There was a complete violation of the rules of procedure in introducing the affidavit of </w:t>
      </w:r>
      <w:proofErr w:type="spellStart"/>
      <w:r>
        <w:rPr>
          <w:rFonts w:ascii="Times New Roman" w:hAnsi="Times New Roman" w:cs="Times New Roman"/>
          <w:sz w:val="24"/>
          <w:szCs w:val="24"/>
        </w:rPr>
        <w:t>Tsamba</w:t>
      </w:r>
      <w:proofErr w:type="spellEnd"/>
      <w:r>
        <w:rPr>
          <w:rFonts w:ascii="Times New Roman" w:hAnsi="Times New Roman" w:cs="Times New Roman"/>
          <w:sz w:val="24"/>
          <w:szCs w:val="24"/>
        </w:rPr>
        <w:t xml:space="preserve">. It occurs to me that what the applicant did is exactly the mischief that was sought to be prevented </w:t>
      </w:r>
      <w:proofErr w:type="gramStart"/>
      <w:r>
        <w:rPr>
          <w:rFonts w:ascii="Times New Roman" w:hAnsi="Times New Roman" w:cs="Times New Roman"/>
          <w:sz w:val="24"/>
          <w:szCs w:val="24"/>
        </w:rPr>
        <w:t>by order 32 r 235 which is couched as follows</w:t>
      </w:r>
      <w:proofErr w:type="gramEnd"/>
      <w:r>
        <w:rPr>
          <w:rFonts w:ascii="Times New Roman" w:hAnsi="Times New Roman" w:cs="Times New Roman"/>
          <w:sz w:val="24"/>
          <w:szCs w:val="24"/>
        </w:rPr>
        <w:t>:</w:t>
      </w:r>
    </w:p>
    <w:p w:rsidR="00935D3C" w:rsidRDefault="00935D3C" w:rsidP="006D14DD">
      <w:pPr>
        <w:spacing w:after="0" w:line="240" w:lineRule="auto"/>
        <w:ind w:left="720"/>
        <w:jc w:val="both"/>
        <w:rPr>
          <w:rFonts w:ascii="Times New Roman" w:hAnsi="Times New Roman" w:cs="Times New Roman"/>
          <w:sz w:val="24"/>
          <w:szCs w:val="24"/>
        </w:rPr>
      </w:pPr>
    </w:p>
    <w:p w:rsidR="00935D3C" w:rsidRDefault="00935D3C" w:rsidP="006D14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”235. After an answering affidavit has been filed, no further affidavit may be filed without the leave of the court or a judge.”</w:t>
      </w:r>
    </w:p>
    <w:p w:rsidR="00935D3C" w:rsidRDefault="00935D3C" w:rsidP="006D14DD">
      <w:pPr>
        <w:spacing w:after="0" w:line="240" w:lineRule="auto"/>
        <w:jc w:val="both"/>
        <w:rPr>
          <w:rFonts w:ascii="Times New Roman" w:hAnsi="Times New Roman" w:cs="Times New Roman"/>
          <w:sz w:val="24"/>
          <w:szCs w:val="24"/>
        </w:rPr>
      </w:pPr>
    </w:p>
    <w:p w:rsidR="00935D3C" w:rsidRDefault="00935D3C" w:rsidP="006D14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goes without saying that if reliance was to be s</w:t>
      </w:r>
      <w:r w:rsidR="00845A8D">
        <w:rPr>
          <w:rFonts w:ascii="Times New Roman" w:hAnsi="Times New Roman" w:cs="Times New Roman"/>
          <w:sz w:val="24"/>
          <w:szCs w:val="24"/>
        </w:rPr>
        <w:t>o</w:t>
      </w:r>
      <w:r>
        <w:rPr>
          <w:rFonts w:ascii="Times New Roman" w:hAnsi="Times New Roman" w:cs="Times New Roman"/>
          <w:sz w:val="24"/>
          <w:szCs w:val="24"/>
        </w:rPr>
        <w:t xml:space="preserve">ught on </w:t>
      </w:r>
      <w:proofErr w:type="spellStart"/>
      <w:r>
        <w:rPr>
          <w:rFonts w:ascii="Times New Roman" w:hAnsi="Times New Roman" w:cs="Times New Roman"/>
          <w:sz w:val="24"/>
          <w:szCs w:val="24"/>
        </w:rPr>
        <w:t>Tsamba’s</w:t>
      </w:r>
      <w:proofErr w:type="spellEnd"/>
      <w:r>
        <w:rPr>
          <w:rFonts w:ascii="Times New Roman" w:hAnsi="Times New Roman" w:cs="Times New Roman"/>
          <w:sz w:val="24"/>
          <w:szCs w:val="24"/>
        </w:rPr>
        <w:t xml:space="preserve"> affidavit, the leave of the court or a judge ought to have been obtained first.</w:t>
      </w:r>
    </w:p>
    <w:p w:rsidR="00935D3C" w:rsidRDefault="00935D3C" w:rsidP="006D14DD">
      <w:pPr>
        <w:spacing w:after="0" w:line="240" w:lineRule="auto"/>
        <w:ind w:left="720"/>
        <w:jc w:val="both"/>
        <w:rPr>
          <w:rFonts w:ascii="Times New Roman" w:hAnsi="Times New Roman" w:cs="Times New Roman"/>
          <w:sz w:val="24"/>
          <w:szCs w:val="24"/>
        </w:rPr>
      </w:pPr>
    </w:p>
    <w:p w:rsidR="00935D3C" w:rsidRDefault="00935D3C" w:rsidP="006D14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both his founding affidavit and the answering affidavit Mr Vote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goes out of his way to explain what he perceives to be the hopelessness of the respondent’s case. The deponent states </w:t>
      </w:r>
      <w:r>
        <w:rPr>
          <w:rFonts w:ascii="Times New Roman" w:hAnsi="Times New Roman" w:cs="Times New Roman"/>
          <w:i/>
          <w:sz w:val="24"/>
          <w:szCs w:val="24"/>
        </w:rPr>
        <w:t>inter alia</w:t>
      </w:r>
      <w:r w:rsidRPr="00845A8D">
        <w:rPr>
          <w:rFonts w:ascii="Times New Roman" w:hAnsi="Times New Roman" w:cs="Times New Roman"/>
          <w:sz w:val="24"/>
          <w:szCs w:val="24"/>
        </w:rPr>
        <w:t>;</w:t>
      </w:r>
    </w:p>
    <w:p w:rsidR="00845A8D" w:rsidRDefault="00845A8D" w:rsidP="006D14DD">
      <w:pPr>
        <w:spacing w:after="0" w:line="240" w:lineRule="auto"/>
        <w:ind w:left="720"/>
        <w:jc w:val="both"/>
        <w:rPr>
          <w:rFonts w:ascii="Times New Roman" w:hAnsi="Times New Roman" w:cs="Times New Roman"/>
          <w:sz w:val="24"/>
          <w:szCs w:val="24"/>
        </w:rPr>
      </w:pPr>
    </w:p>
    <w:p w:rsidR="00845A8D" w:rsidRDefault="00845A8D" w:rsidP="006D14D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matter to be determined by the court is essentially </w:t>
      </w:r>
      <w:r>
        <w:rPr>
          <w:rFonts w:ascii="Times New Roman" w:hAnsi="Times New Roman" w:cs="Times New Roman"/>
          <w:i/>
          <w:sz w:val="24"/>
          <w:szCs w:val="24"/>
        </w:rPr>
        <w:t>res nova</w:t>
      </w:r>
      <w:r>
        <w:rPr>
          <w:rFonts w:ascii="Times New Roman" w:hAnsi="Times New Roman" w:cs="Times New Roman"/>
          <w:sz w:val="24"/>
          <w:szCs w:val="24"/>
        </w:rPr>
        <w:t>. Any judgment to be granted by the court will be ground</w:t>
      </w:r>
      <w:r w:rsidR="006D14DD">
        <w:rPr>
          <w:rFonts w:ascii="Times New Roman" w:hAnsi="Times New Roman" w:cs="Times New Roman"/>
          <w:sz w:val="24"/>
          <w:szCs w:val="24"/>
        </w:rPr>
        <w:t xml:space="preserve"> </w:t>
      </w:r>
      <w:r>
        <w:rPr>
          <w:rFonts w:ascii="Times New Roman" w:hAnsi="Times New Roman" w:cs="Times New Roman"/>
          <w:sz w:val="24"/>
          <w:szCs w:val="24"/>
        </w:rPr>
        <w:t xml:space="preserve">breaking in our way or the other. The Supreme Court has already said that in respect of such matters, </w:t>
      </w:r>
      <w:proofErr w:type="gramStart"/>
      <w:r>
        <w:rPr>
          <w:rFonts w:ascii="Times New Roman" w:hAnsi="Times New Roman" w:cs="Times New Roman"/>
          <w:sz w:val="24"/>
          <w:szCs w:val="24"/>
        </w:rPr>
        <w:t>either party has prospects of success and</w:t>
      </w:r>
      <w:proofErr w:type="gramEnd"/>
      <w:r>
        <w:rPr>
          <w:rFonts w:ascii="Times New Roman" w:hAnsi="Times New Roman" w:cs="Times New Roman"/>
          <w:sz w:val="24"/>
          <w:szCs w:val="24"/>
        </w:rPr>
        <w:t xml:space="preserve"> same have to be fully interrogated. Reliance will be placed upon the relevant authorities should the matter be argued.’”</w:t>
      </w:r>
      <w:r>
        <w:rPr>
          <w:rStyle w:val="FootnoteReference"/>
          <w:rFonts w:ascii="Times New Roman" w:hAnsi="Times New Roman" w:cs="Times New Roman"/>
          <w:sz w:val="24"/>
          <w:szCs w:val="24"/>
        </w:rPr>
        <w:footnoteReference w:id="7"/>
      </w:r>
    </w:p>
    <w:p w:rsidR="00845A8D" w:rsidRDefault="00845A8D" w:rsidP="006D14DD">
      <w:pPr>
        <w:spacing w:after="0" w:line="240" w:lineRule="auto"/>
        <w:jc w:val="both"/>
        <w:rPr>
          <w:rFonts w:ascii="Times New Roman" w:hAnsi="Times New Roman" w:cs="Times New Roman"/>
          <w:sz w:val="24"/>
          <w:szCs w:val="24"/>
        </w:rPr>
      </w:pPr>
    </w:p>
    <w:p w:rsidR="00845A8D" w:rsidRDefault="00845A8D"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heads of argument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the applicant’s counsel further emphasized that the issues raised in the main matter are </w:t>
      </w:r>
      <w:r>
        <w:rPr>
          <w:rFonts w:ascii="Times New Roman" w:hAnsi="Times New Roman" w:cs="Times New Roman"/>
          <w:i/>
          <w:sz w:val="24"/>
          <w:szCs w:val="24"/>
        </w:rPr>
        <w:t>res nova</w:t>
      </w:r>
      <w:r>
        <w:rPr>
          <w:rFonts w:ascii="Times New Roman" w:hAnsi="Times New Roman" w:cs="Times New Roman"/>
          <w:sz w:val="24"/>
          <w:szCs w:val="24"/>
        </w:rPr>
        <w:t>. This is what the applicant’s counsel stated in his heads of argument:</w:t>
      </w:r>
    </w:p>
    <w:p w:rsidR="00845A8D" w:rsidRDefault="00845A8D" w:rsidP="002E4C5A">
      <w:pPr>
        <w:spacing w:after="0" w:line="240" w:lineRule="auto"/>
        <w:jc w:val="both"/>
        <w:rPr>
          <w:rFonts w:ascii="Times New Roman" w:hAnsi="Times New Roman" w:cs="Times New Roman"/>
          <w:sz w:val="24"/>
          <w:szCs w:val="24"/>
        </w:rPr>
      </w:pPr>
    </w:p>
    <w:p w:rsidR="00845A8D" w:rsidRDefault="00845A8D" w:rsidP="006D14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t xml:space="preserve">At any rate, the issues raised by the main matter are </w:t>
      </w:r>
      <w:r>
        <w:rPr>
          <w:rFonts w:ascii="Times New Roman" w:hAnsi="Times New Roman" w:cs="Times New Roman"/>
          <w:i/>
          <w:sz w:val="24"/>
          <w:szCs w:val="24"/>
        </w:rPr>
        <w:t>res nova</w:t>
      </w:r>
      <w:r>
        <w:rPr>
          <w:rFonts w:ascii="Times New Roman" w:hAnsi="Times New Roman" w:cs="Times New Roman"/>
          <w:sz w:val="24"/>
          <w:szCs w:val="24"/>
        </w:rPr>
        <w:t xml:space="preserve">. The liability of the applicant under these </w:t>
      </w:r>
      <w:proofErr w:type="gramStart"/>
      <w:r>
        <w:rPr>
          <w:rFonts w:ascii="Times New Roman" w:hAnsi="Times New Roman" w:cs="Times New Roman"/>
          <w:sz w:val="24"/>
          <w:szCs w:val="24"/>
        </w:rPr>
        <w:t>sort</w:t>
      </w:r>
      <w:proofErr w:type="gramEnd"/>
      <w:r>
        <w:rPr>
          <w:rFonts w:ascii="Times New Roman" w:hAnsi="Times New Roman" w:cs="Times New Roman"/>
          <w:sz w:val="24"/>
          <w:szCs w:val="24"/>
        </w:rPr>
        <w:t xml:space="preserve"> of circumstances has to my knowledge never been pronounced upon by the court… The law has to be settled on whether </w:t>
      </w:r>
      <w:proofErr w:type="spellStart"/>
      <w:r>
        <w:rPr>
          <w:rFonts w:ascii="Times New Roman" w:hAnsi="Times New Roman" w:cs="Times New Roman"/>
          <w:sz w:val="24"/>
          <w:szCs w:val="24"/>
        </w:rPr>
        <w:t>Aquilan</w:t>
      </w:r>
      <w:proofErr w:type="spellEnd"/>
      <w:r>
        <w:rPr>
          <w:rFonts w:ascii="Times New Roman" w:hAnsi="Times New Roman" w:cs="Times New Roman"/>
          <w:sz w:val="24"/>
          <w:szCs w:val="24"/>
        </w:rPr>
        <w:t xml:space="preserve"> liability can be extended under these </w:t>
      </w:r>
      <w:proofErr w:type="gramStart"/>
      <w:r>
        <w:rPr>
          <w:rFonts w:ascii="Times New Roman" w:hAnsi="Times New Roman" w:cs="Times New Roman"/>
          <w:sz w:val="24"/>
          <w:szCs w:val="24"/>
        </w:rPr>
        <w:t>sort</w:t>
      </w:r>
      <w:proofErr w:type="gramEnd"/>
      <w:r>
        <w:rPr>
          <w:rFonts w:ascii="Times New Roman" w:hAnsi="Times New Roman" w:cs="Times New Roman"/>
          <w:sz w:val="24"/>
          <w:szCs w:val="24"/>
        </w:rPr>
        <w:t xml:space="preserve"> of circumstances. In this regard the Judge hearing the application for reinstatement is in the position commented upon by the CHIEF JUSTICE in </w:t>
      </w:r>
      <w:proofErr w:type="spellStart"/>
      <w:r>
        <w:rPr>
          <w:rFonts w:ascii="Times New Roman" w:hAnsi="Times New Roman" w:cs="Times New Roman"/>
          <w:i/>
          <w:sz w:val="24"/>
          <w:szCs w:val="24"/>
        </w:rPr>
        <w:t>Chikafu</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Dodhill</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w:t>
      </w:r>
      <w:r w:rsidRPr="00845A8D">
        <w:rPr>
          <w:rFonts w:ascii="Times New Roman" w:hAnsi="Times New Roman" w:cs="Times New Roman"/>
          <w:i/>
          <w:sz w:val="24"/>
          <w:szCs w:val="24"/>
        </w:rPr>
        <w:t xml:space="preserve">&amp; </w:t>
      </w:r>
      <w:proofErr w:type="spellStart"/>
      <w:r w:rsidRPr="00845A8D">
        <w:rPr>
          <w:rFonts w:ascii="Times New Roman" w:hAnsi="Times New Roman" w:cs="Times New Roman"/>
          <w:i/>
          <w:sz w:val="24"/>
          <w:szCs w:val="24"/>
        </w:rPr>
        <w:t>Ors</w:t>
      </w:r>
      <w:proofErr w:type="spellEnd"/>
      <w:r>
        <w:rPr>
          <w:rFonts w:ascii="Times New Roman" w:hAnsi="Times New Roman" w:cs="Times New Roman"/>
          <w:sz w:val="24"/>
          <w:szCs w:val="24"/>
        </w:rPr>
        <w:t xml:space="preserve"> SC 28-09. The result is that the application, as observed by the Supreme Court ought to be granted.</w:t>
      </w:r>
      <w:r>
        <w:rPr>
          <w:rStyle w:val="FootnoteReference"/>
          <w:rFonts w:ascii="Times New Roman" w:hAnsi="Times New Roman" w:cs="Times New Roman"/>
          <w:sz w:val="24"/>
          <w:szCs w:val="24"/>
        </w:rPr>
        <w:footnoteReference w:id="9"/>
      </w:r>
      <w:r w:rsidR="00304F44">
        <w:rPr>
          <w:rFonts w:ascii="Times New Roman" w:hAnsi="Times New Roman" w:cs="Times New Roman"/>
          <w:sz w:val="24"/>
          <w:szCs w:val="24"/>
        </w:rPr>
        <w:t>”</w:t>
      </w:r>
    </w:p>
    <w:p w:rsidR="00304F44" w:rsidRDefault="00304F44" w:rsidP="006D14DD">
      <w:pPr>
        <w:spacing w:after="0" w:line="240" w:lineRule="auto"/>
        <w:jc w:val="both"/>
        <w:rPr>
          <w:rFonts w:ascii="Times New Roman" w:hAnsi="Times New Roman" w:cs="Times New Roman"/>
          <w:sz w:val="24"/>
          <w:szCs w:val="24"/>
        </w:rPr>
      </w:pPr>
    </w:p>
    <w:p w:rsidR="00304F44" w:rsidRDefault="00304F44"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did not hear counsel to be arguing that to his understanding the Supreme Court would condone counsel’s lackadaisical or dilatory approach in the handling of this matter as demonstrated in this judgment.</w:t>
      </w:r>
    </w:p>
    <w:p w:rsidR="00304F44" w:rsidRDefault="00304F44"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there can be no doubt that through its conduct</w:t>
      </w:r>
      <w:r w:rsidR="005E0D6F">
        <w:rPr>
          <w:rFonts w:ascii="Times New Roman" w:hAnsi="Times New Roman" w:cs="Times New Roman"/>
          <w:sz w:val="24"/>
          <w:szCs w:val="24"/>
        </w:rPr>
        <w:t xml:space="preserve"> via its duly chosen counsel,</w:t>
      </w:r>
      <w:r>
        <w:rPr>
          <w:rFonts w:ascii="Times New Roman" w:hAnsi="Times New Roman" w:cs="Times New Roman"/>
          <w:sz w:val="24"/>
          <w:szCs w:val="24"/>
        </w:rPr>
        <w:t xml:space="preserve"> the applicant has deprived itself of the opportunity to clearly ventilate the issues </w:t>
      </w:r>
      <w:proofErr w:type="gramStart"/>
      <w:r>
        <w:rPr>
          <w:rFonts w:ascii="Times New Roman" w:hAnsi="Times New Roman" w:cs="Times New Roman"/>
          <w:sz w:val="24"/>
          <w:szCs w:val="24"/>
        </w:rPr>
        <w:t xml:space="preserve">in a </w:t>
      </w:r>
      <w:proofErr w:type="spellStart"/>
      <w:r>
        <w:rPr>
          <w:rFonts w:ascii="Times New Roman" w:hAnsi="Times New Roman" w:cs="Times New Roman"/>
          <w:sz w:val="24"/>
          <w:szCs w:val="24"/>
        </w:rPr>
        <w:t>fully fledged</w:t>
      </w:r>
      <w:proofErr w:type="spellEnd"/>
      <w:r>
        <w:rPr>
          <w:rFonts w:ascii="Times New Roman" w:hAnsi="Times New Roman" w:cs="Times New Roman"/>
          <w:sz w:val="24"/>
          <w:szCs w:val="24"/>
        </w:rPr>
        <w:t xml:space="preserve"> adversarial proceedings</w:t>
      </w:r>
      <w:proofErr w:type="gramEnd"/>
      <w:r>
        <w:rPr>
          <w:rFonts w:ascii="Times New Roman" w:hAnsi="Times New Roman" w:cs="Times New Roman"/>
          <w:sz w:val="24"/>
          <w:szCs w:val="24"/>
        </w:rPr>
        <w:t>.</w:t>
      </w:r>
    </w:p>
    <w:p w:rsidR="00304F44" w:rsidRDefault="00304F44"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it cannot be seriously contented that in a default judgment the court that will be seized with the matter in the unopposed roll will be precluded from canvassing the issues in order to come up with a sound decision either for or against the respondent. I remain </w:t>
      </w:r>
      <w:r>
        <w:rPr>
          <w:rFonts w:ascii="Times New Roman" w:hAnsi="Times New Roman" w:cs="Times New Roman"/>
          <w:sz w:val="24"/>
          <w:szCs w:val="24"/>
        </w:rPr>
        <w:lastRenderedPageBreak/>
        <w:t xml:space="preserve">firmly convinced that all these issues about the respondent’s claim being </w:t>
      </w:r>
      <w:r>
        <w:rPr>
          <w:rFonts w:ascii="Times New Roman" w:hAnsi="Times New Roman" w:cs="Times New Roman"/>
          <w:i/>
          <w:sz w:val="24"/>
          <w:szCs w:val="24"/>
        </w:rPr>
        <w:t>res nova</w:t>
      </w:r>
      <w:r>
        <w:rPr>
          <w:rFonts w:ascii="Times New Roman" w:hAnsi="Times New Roman" w:cs="Times New Roman"/>
          <w:sz w:val="24"/>
          <w:szCs w:val="24"/>
        </w:rPr>
        <w:t xml:space="preserve">, the extension of the </w:t>
      </w:r>
      <w:proofErr w:type="spellStart"/>
      <w:r>
        <w:rPr>
          <w:rFonts w:ascii="Times New Roman" w:hAnsi="Times New Roman" w:cs="Times New Roman"/>
          <w:sz w:val="24"/>
          <w:szCs w:val="24"/>
        </w:rPr>
        <w:t>aquilan</w:t>
      </w:r>
      <w:proofErr w:type="spellEnd"/>
      <w:r>
        <w:rPr>
          <w:rFonts w:ascii="Times New Roman" w:hAnsi="Times New Roman" w:cs="Times New Roman"/>
          <w:sz w:val="24"/>
          <w:szCs w:val="24"/>
        </w:rPr>
        <w:t xml:space="preserve"> liability if at all, the ground breaking judgment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squarely fall within the province of the court that will be seized with the assessment of damages and they will be adequately addressed at that forum.</w:t>
      </w:r>
    </w:p>
    <w:p w:rsidR="00304F44" w:rsidRDefault="00304F44"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and after having looked at the explanation tendered for the default in conjunction with the alleged </w:t>
      </w:r>
      <w:r>
        <w:rPr>
          <w:rFonts w:ascii="Times New Roman" w:hAnsi="Times New Roman" w:cs="Times New Roman"/>
          <w:i/>
          <w:sz w:val="24"/>
          <w:szCs w:val="24"/>
        </w:rPr>
        <w:t xml:space="preserve">bona fides </w:t>
      </w:r>
      <w:r w:rsidRPr="00304F44">
        <w:rPr>
          <w:rFonts w:ascii="Times New Roman" w:hAnsi="Times New Roman" w:cs="Times New Roman"/>
          <w:sz w:val="24"/>
          <w:szCs w:val="24"/>
        </w:rPr>
        <w:t>of the applicant’s defence</w:t>
      </w:r>
      <w:r>
        <w:rPr>
          <w:rFonts w:ascii="Times New Roman" w:hAnsi="Times New Roman" w:cs="Times New Roman"/>
          <w:sz w:val="24"/>
          <w:szCs w:val="24"/>
        </w:rPr>
        <w:t xml:space="preserve"> on merits as I am obliged to do, I am satisfied that the applicant has not made a good case to warrant the granting of the relief sought.</w:t>
      </w:r>
    </w:p>
    <w:p w:rsidR="00304F44" w:rsidRDefault="00304F44" w:rsidP="006D1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accordingly dismissed with costs.</w:t>
      </w:r>
    </w:p>
    <w:p w:rsidR="00304F44" w:rsidRDefault="00304F44" w:rsidP="006D14DD">
      <w:pPr>
        <w:spacing w:after="0" w:line="360" w:lineRule="auto"/>
        <w:jc w:val="both"/>
        <w:rPr>
          <w:rFonts w:ascii="Times New Roman" w:hAnsi="Times New Roman" w:cs="Times New Roman"/>
          <w:sz w:val="24"/>
          <w:szCs w:val="24"/>
        </w:rPr>
      </w:pPr>
    </w:p>
    <w:p w:rsidR="00304F44" w:rsidRDefault="00304F44" w:rsidP="006D14DD">
      <w:pPr>
        <w:spacing w:after="0" w:line="360" w:lineRule="auto"/>
        <w:jc w:val="both"/>
        <w:rPr>
          <w:rFonts w:ascii="Times New Roman" w:hAnsi="Times New Roman" w:cs="Times New Roman"/>
          <w:sz w:val="24"/>
          <w:szCs w:val="24"/>
        </w:rPr>
      </w:pPr>
    </w:p>
    <w:p w:rsidR="00304F44" w:rsidRDefault="00304F44" w:rsidP="006D14DD">
      <w:pPr>
        <w:spacing w:after="0" w:line="360" w:lineRule="auto"/>
        <w:jc w:val="both"/>
        <w:rPr>
          <w:rFonts w:ascii="Times New Roman" w:hAnsi="Times New Roman" w:cs="Times New Roman"/>
          <w:sz w:val="24"/>
          <w:szCs w:val="24"/>
        </w:rPr>
      </w:pPr>
    </w:p>
    <w:p w:rsidR="00304F44" w:rsidRDefault="00304F44" w:rsidP="00472D8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Muza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Nyapadi</w:t>
      </w:r>
      <w:proofErr w:type="spellEnd"/>
      <w:r>
        <w:rPr>
          <w:rFonts w:ascii="Times New Roman" w:hAnsi="Times New Roman" w:cs="Times New Roman"/>
          <w:sz w:val="24"/>
          <w:szCs w:val="24"/>
        </w:rPr>
        <w:t>, applicant’s legal practitioners</w:t>
      </w:r>
    </w:p>
    <w:p w:rsidR="00304F44" w:rsidRPr="006D14DD" w:rsidRDefault="00304F44" w:rsidP="00472D8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w:t>
      </w:r>
      <w:r>
        <w:rPr>
          <w:rFonts w:ascii="Times New Roman" w:hAnsi="Times New Roman" w:cs="Times New Roman"/>
          <w:sz w:val="24"/>
          <w:szCs w:val="24"/>
        </w:rPr>
        <w:t xml:space="preserve">, </w:t>
      </w:r>
      <w:proofErr w:type="spellStart"/>
      <w:r w:rsidRPr="006D14DD">
        <w:rPr>
          <w:rFonts w:ascii="Times New Roman" w:hAnsi="Times New Roman" w:cs="Times New Roman"/>
          <w:i/>
          <w:sz w:val="24"/>
          <w:szCs w:val="24"/>
        </w:rPr>
        <w:t>Godlonton</w:t>
      </w:r>
      <w:proofErr w:type="spellEnd"/>
      <w:r w:rsidRPr="006D14DD">
        <w:rPr>
          <w:rFonts w:ascii="Times New Roman" w:hAnsi="Times New Roman" w:cs="Times New Roman"/>
          <w:i/>
          <w:sz w:val="24"/>
          <w:szCs w:val="24"/>
        </w:rPr>
        <w:t xml:space="preserve"> &amp; </w:t>
      </w:r>
      <w:proofErr w:type="spellStart"/>
      <w:r w:rsidRPr="006D14DD">
        <w:rPr>
          <w:rFonts w:ascii="Times New Roman" w:hAnsi="Times New Roman" w:cs="Times New Roman"/>
          <w:i/>
          <w:sz w:val="24"/>
          <w:szCs w:val="24"/>
        </w:rPr>
        <w:t>Gerrans</w:t>
      </w:r>
      <w:proofErr w:type="spellEnd"/>
      <w:r>
        <w:rPr>
          <w:rFonts w:ascii="Times New Roman" w:hAnsi="Times New Roman" w:cs="Times New Roman"/>
          <w:i/>
          <w:sz w:val="24"/>
          <w:szCs w:val="24"/>
        </w:rPr>
        <w:t xml:space="preserve">, </w:t>
      </w:r>
      <w:r w:rsidRPr="006D14DD">
        <w:rPr>
          <w:rFonts w:ascii="Times New Roman" w:hAnsi="Times New Roman" w:cs="Times New Roman"/>
          <w:sz w:val="24"/>
          <w:szCs w:val="24"/>
        </w:rPr>
        <w:t>respondent</w:t>
      </w:r>
      <w:r w:rsidR="006D14DD" w:rsidRPr="006D14DD">
        <w:rPr>
          <w:rFonts w:ascii="Times New Roman" w:hAnsi="Times New Roman" w:cs="Times New Roman"/>
          <w:sz w:val="24"/>
          <w:szCs w:val="24"/>
        </w:rPr>
        <w:t>’s</w:t>
      </w:r>
      <w:r w:rsidR="006D14DD">
        <w:rPr>
          <w:rFonts w:ascii="Times New Roman" w:hAnsi="Times New Roman" w:cs="Times New Roman"/>
          <w:sz w:val="24"/>
          <w:szCs w:val="24"/>
        </w:rPr>
        <w:t xml:space="preserve"> legal practitioners</w:t>
      </w:r>
    </w:p>
    <w:sectPr w:rsidR="00304F44" w:rsidRPr="006D14DD">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3B" w:rsidRDefault="0077423B" w:rsidP="00451B4E">
      <w:pPr>
        <w:spacing w:after="0" w:line="240" w:lineRule="auto"/>
      </w:pPr>
      <w:r>
        <w:separator/>
      </w:r>
    </w:p>
  </w:endnote>
  <w:endnote w:type="continuationSeparator" w:id="0">
    <w:p w:rsidR="0077423B" w:rsidRDefault="0077423B" w:rsidP="0045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3B" w:rsidRDefault="0077423B" w:rsidP="00451B4E">
      <w:pPr>
        <w:spacing w:after="0" w:line="240" w:lineRule="auto"/>
      </w:pPr>
      <w:r>
        <w:separator/>
      </w:r>
    </w:p>
  </w:footnote>
  <w:footnote w:type="continuationSeparator" w:id="0">
    <w:p w:rsidR="0077423B" w:rsidRDefault="0077423B" w:rsidP="00451B4E">
      <w:pPr>
        <w:spacing w:after="0" w:line="240" w:lineRule="auto"/>
      </w:pPr>
      <w:r>
        <w:continuationSeparator/>
      </w:r>
    </w:p>
  </w:footnote>
  <w:footnote w:id="1">
    <w:p w:rsidR="00451B4E" w:rsidRDefault="00451B4E">
      <w:pPr>
        <w:pStyle w:val="FootnoteText"/>
      </w:pPr>
      <w:r>
        <w:rPr>
          <w:rStyle w:val="FootnoteReference"/>
        </w:rPr>
        <w:footnoteRef/>
      </w:r>
      <w:r>
        <w:t xml:space="preserve"> </w:t>
      </w:r>
      <w:proofErr w:type="gramStart"/>
      <w:r>
        <w:t xml:space="preserve">Zimbabwe Banking Corporation Ltd v Trust Finance Ltd &amp; </w:t>
      </w:r>
      <w:proofErr w:type="spellStart"/>
      <w:r>
        <w:t>Anor</w:t>
      </w:r>
      <w:proofErr w:type="spellEnd"/>
      <w:r>
        <w:t xml:space="preserve"> 2000 (2) ZLR 404.</w:t>
      </w:r>
      <w:proofErr w:type="gramEnd"/>
    </w:p>
  </w:footnote>
  <w:footnote w:id="2">
    <w:p w:rsidR="00042760" w:rsidRDefault="00042760">
      <w:pPr>
        <w:pStyle w:val="FootnoteText"/>
      </w:pPr>
      <w:r>
        <w:rPr>
          <w:rStyle w:val="FootnoteReference"/>
        </w:rPr>
        <w:footnoteRef/>
      </w:r>
      <w:r>
        <w:t xml:space="preserve"> 1993 (2) ZLR 345 (S)</w:t>
      </w:r>
    </w:p>
  </w:footnote>
  <w:footnote w:id="3">
    <w:p w:rsidR="00042760" w:rsidRDefault="00042760">
      <w:pPr>
        <w:pStyle w:val="FootnoteText"/>
      </w:pPr>
      <w:r>
        <w:rPr>
          <w:rStyle w:val="FootnoteReference"/>
        </w:rPr>
        <w:footnoteRef/>
      </w:r>
      <w:r>
        <w:t xml:space="preserve"> 1985 (2) SA 756 at 764</w:t>
      </w:r>
    </w:p>
  </w:footnote>
  <w:footnote w:id="4">
    <w:p w:rsidR="00406722" w:rsidRDefault="00406722">
      <w:pPr>
        <w:pStyle w:val="FootnoteText"/>
      </w:pPr>
      <w:r>
        <w:rPr>
          <w:rStyle w:val="FootnoteReference"/>
        </w:rPr>
        <w:footnoteRef/>
      </w:r>
      <w:r>
        <w:t xml:space="preserve"> 1998 (1) ZLR 368 (S) at 369 H – 370B</w:t>
      </w:r>
    </w:p>
  </w:footnote>
  <w:footnote w:id="5">
    <w:p w:rsidR="00406722" w:rsidRDefault="00406722">
      <w:pPr>
        <w:pStyle w:val="FootnoteText"/>
      </w:pPr>
      <w:r>
        <w:rPr>
          <w:rStyle w:val="FootnoteReference"/>
        </w:rPr>
        <w:footnoteRef/>
      </w:r>
      <w:r>
        <w:t xml:space="preserve"> 1995 (2) ZLR 400 (S) at 402 D</w:t>
      </w:r>
    </w:p>
  </w:footnote>
  <w:footnote w:id="6">
    <w:p w:rsidR="00055B68" w:rsidRDefault="00055B68">
      <w:pPr>
        <w:pStyle w:val="FootnoteText"/>
      </w:pPr>
      <w:r>
        <w:rPr>
          <w:rStyle w:val="FootnoteReference"/>
        </w:rPr>
        <w:footnoteRef/>
      </w:r>
      <w:r>
        <w:t xml:space="preserve"> The court’s ruling on 21 October 2010</w:t>
      </w:r>
    </w:p>
  </w:footnote>
  <w:footnote w:id="7">
    <w:p w:rsidR="00845A8D" w:rsidRDefault="00845A8D">
      <w:pPr>
        <w:pStyle w:val="FootnoteText"/>
      </w:pPr>
      <w:r>
        <w:rPr>
          <w:rStyle w:val="FootnoteReference"/>
        </w:rPr>
        <w:footnoteRef/>
      </w:r>
      <w:r>
        <w:t xml:space="preserve"> Para 18 (</w:t>
      </w:r>
      <w:proofErr w:type="spellStart"/>
      <w:r>
        <w:t>i</w:t>
      </w:r>
      <w:proofErr w:type="spellEnd"/>
      <w:r>
        <w:t xml:space="preserve">) of Vote </w:t>
      </w:r>
      <w:proofErr w:type="spellStart"/>
      <w:r>
        <w:t>Muza’s</w:t>
      </w:r>
      <w:proofErr w:type="spellEnd"/>
      <w:r>
        <w:t xml:space="preserve"> founding affidavit</w:t>
      </w:r>
    </w:p>
  </w:footnote>
  <w:footnote w:id="8">
    <w:p w:rsidR="00845A8D" w:rsidRDefault="00845A8D">
      <w:pPr>
        <w:pStyle w:val="FootnoteText"/>
      </w:pPr>
      <w:r>
        <w:rPr>
          <w:rStyle w:val="FootnoteReference"/>
        </w:rPr>
        <w:footnoteRef/>
      </w:r>
      <w:r>
        <w:t xml:space="preserve"> Applicant’s heads of argument </w:t>
      </w:r>
      <w:proofErr w:type="spellStart"/>
      <w:r>
        <w:t>para</w:t>
      </w:r>
      <w:proofErr w:type="spellEnd"/>
      <w:r>
        <w:t xml:space="preserve"> 40 (4.1.1) p 58</w:t>
      </w:r>
    </w:p>
  </w:footnote>
  <w:footnote w:id="9">
    <w:p w:rsidR="00845A8D" w:rsidRDefault="00845A8D">
      <w:pPr>
        <w:pStyle w:val="FootnoteText"/>
      </w:pPr>
      <w:r>
        <w:rPr>
          <w:rStyle w:val="FootnoteReferenc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503521"/>
      <w:docPartObj>
        <w:docPartGallery w:val="Page Numbers (Top of Page)"/>
        <w:docPartUnique/>
      </w:docPartObj>
    </w:sdtPr>
    <w:sdtEndPr>
      <w:rPr>
        <w:noProof/>
      </w:rPr>
    </w:sdtEndPr>
    <w:sdtContent>
      <w:p w:rsidR="00657D8A" w:rsidRDefault="00657D8A">
        <w:pPr>
          <w:pStyle w:val="Header"/>
          <w:jc w:val="right"/>
          <w:rPr>
            <w:noProof/>
          </w:rPr>
        </w:pPr>
        <w:r>
          <w:fldChar w:fldCharType="begin"/>
        </w:r>
        <w:r>
          <w:instrText xml:space="preserve"> PAGE   \* MERGEFORMAT </w:instrText>
        </w:r>
        <w:r>
          <w:fldChar w:fldCharType="separate"/>
        </w:r>
        <w:r w:rsidR="00CA60A3">
          <w:rPr>
            <w:noProof/>
          </w:rPr>
          <w:t>6</w:t>
        </w:r>
        <w:r>
          <w:rPr>
            <w:noProof/>
          </w:rPr>
          <w:fldChar w:fldCharType="end"/>
        </w:r>
      </w:p>
      <w:p w:rsidR="00657D8A" w:rsidRDefault="00657D8A">
        <w:pPr>
          <w:pStyle w:val="Header"/>
          <w:jc w:val="right"/>
          <w:rPr>
            <w:noProof/>
          </w:rPr>
        </w:pPr>
        <w:r>
          <w:rPr>
            <w:noProof/>
          </w:rPr>
          <w:t>HH 307-2012</w:t>
        </w:r>
      </w:p>
      <w:p w:rsidR="00657D8A" w:rsidRDefault="00657D8A">
        <w:pPr>
          <w:pStyle w:val="Header"/>
          <w:jc w:val="right"/>
        </w:pPr>
        <w:r>
          <w:rPr>
            <w:noProof/>
          </w:rPr>
          <w:t>HC 7739/10</w:t>
        </w:r>
      </w:p>
    </w:sdtContent>
  </w:sdt>
  <w:p w:rsidR="002E4C5A" w:rsidRDefault="002E4C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127DF"/>
    <w:multiLevelType w:val="hybridMultilevel"/>
    <w:tmpl w:val="5666F116"/>
    <w:lvl w:ilvl="0" w:tplc="7A6AB55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EC443C4"/>
    <w:multiLevelType w:val="hybridMultilevel"/>
    <w:tmpl w:val="6C381876"/>
    <w:lvl w:ilvl="0" w:tplc="A5FC2B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7E"/>
    <w:rsid w:val="00042760"/>
    <w:rsid w:val="00055B68"/>
    <w:rsid w:val="000820F0"/>
    <w:rsid w:val="001D5A0A"/>
    <w:rsid w:val="002E4C5A"/>
    <w:rsid w:val="00304F44"/>
    <w:rsid w:val="003D379D"/>
    <w:rsid w:val="00406722"/>
    <w:rsid w:val="00440426"/>
    <w:rsid w:val="00451B4E"/>
    <w:rsid w:val="00452BB1"/>
    <w:rsid w:val="00472D84"/>
    <w:rsid w:val="0056072E"/>
    <w:rsid w:val="005E0D6F"/>
    <w:rsid w:val="00657D8A"/>
    <w:rsid w:val="006D14DD"/>
    <w:rsid w:val="0077423B"/>
    <w:rsid w:val="00845A8D"/>
    <w:rsid w:val="00863CAE"/>
    <w:rsid w:val="008D3056"/>
    <w:rsid w:val="008F57D6"/>
    <w:rsid w:val="00922E7E"/>
    <w:rsid w:val="00935D3C"/>
    <w:rsid w:val="009D0356"/>
    <w:rsid w:val="00A24736"/>
    <w:rsid w:val="00A82E9B"/>
    <w:rsid w:val="00BF6400"/>
    <w:rsid w:val="00C02E8F"/>
    <w:rsid w:val="00CA60A3"/>
    <w:rsid w:val="00D92C94"/>
    <w:rsid w:val="00E0003B"/>
    <w:rsid w:val="00E5412C"/>
    <w:rsid w:val="00F91E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E7E"/>
    <w:pPr>
      <w:ind w:left="720"/>
      <w:contextualSpacing/>
    </w:pPr>
  </w:style>
  <w:style w:type="paragraph" w:styleId="FootnoteText">
    <w:name w:val="footnote text"/>
    <w:basedOn w:val="Normal"/>
    <w:link w:val="FootnoteTextChar"/>
    <w:uiPriority w:val="99"/>
    <w:semiHidden/>
    <w:unhideWhenUsed/>
    <w:rsid w:val="00451B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B4E"/>
    <w:rPr>
      <w:sz w:val="20"/>
      <w:szCs w:val="20"/>
    </w:rPr>
  </w:style>
  <w:style w:type="character" w:styleId="FootnoteReference">
    <w:name w:val="footnote reference"/>
    <w:basedOn w:val="DefaultParagraphFont"/>
    <w:uiPriority w:val="99"/>
    <w:semiHidden/>
    <w:unhideWhenUsed/>
    <w:rsid w:val="00451B4E"/>
    <w:rPr>
      <w:vertAlign w:val="superscript"/>
    </w:rPr>
  </w:style>
  <w:style w:type="paragraph" w:styleId="BalloonText">
    <w:name w:val="Balloon Text"/>
    <w:basedOn w:val="Normal"/>
    <w:link w:val="BalloonTextChar"/>
    <w:uiPriority w:val="99"/>
    <w:semiHidden/>
    <w:unhideWhenUsed/>
    <w:rsid w:val="00C02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8F"/>
    <w:rPr>
      <w:rFonts w:ascii="Tahoma" w:hAnsi="Tahoma" w:cs="Tahoma"/>
      <w:sz w:val="16"/>
      <w:szCs w:val="16"/>
    </w:rPr>
  </w:style>
  <w:style w:type="paragraph" w:styleId="Header">
    <w:name w:val="header"/>
    <w:basedOn w:val="Normal"/>
    <w:link w:val="HeaderChar"/>
    <w:uiPriority w:val="99"/>
    <w:unhideWhenUsed/>
    <w:rsid w:val="002E4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C5A"/>
  </w:style>
  <w:style w:type="paragraph" w:styleId="Footer">
    <w:name w:val="footer"/>
    <w:basedOn w:val="Normal"/>
    <w:link w:val="FooterChar"/>
    <w:uiPriority w:val="99"/>
    <w:unhideWhenUsed/>
    <w:rsid w:val="002E4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E7E"/>
    <w:pPr>
      <w:ind w:left="720"/>
      <w:contextualSpacing/>
    </w:pPr>
  </w:style>
  <w:style w:type="paragraph" w:styleId="FootnoteText">
    <w:name w:val="footnote text"/>
    <w:basedOn w:val="Normal"/>
    <w:link w:val="FootnoteTextChar"/>
    <w:uiPriority w:val="99"/>
    <w:semiHidden/>
    <w:unhideWhenUsed/>
    <w:rsid w:val="00451B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B4E"/>
    <w:rPr>
      <w:sz w:val="20"/>
      <w:szCs w:val="20"/>
    </w:rPr>
  </w:style>
  <w:style w:type="character" w:styleId="FootnoteReference">
    <w:name w:val="footnote reference"/>
    <w:basedOn w:val="DefaultParagraphFont"/>
    <w:uiPriority w:val="99"/>
    <w:semiHidden/>
    <w:unhideWhenUsed/>
    <w:rsid w:val="00451B4E"/>
    <w:rPr>
      <w:vertAlign w:val="superscript"/>
    </w:rPr>
  </w:style>
  <w:style w:type="paragraph" w:styleId="BalloonText">
    <w:name w:val="Balloon Text"/>
    <w:basedOn w:val="Normal"/>
    <w:link w:val="BalloonTextChar"/>
    <w:uiPriority w:val="99"/>
    <w:semiHidden/>
    <w:unhideWhenUsed/>
    <w:rsid w:val="00C02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8F"/>
    <w:rPr>
      <w:rFonts w:ascii="Tahoma" w:hAnsi="Tahoma" w:cs="Tahoma"/>
      <w:sz w:val="16"/>
      <w:szCs w:val="16"/>
    </w:rPr>
  </w:style>
  <w:style w:type="paragraph" w:styleId="Header">
    <w:name w:val="header"/>
    <w:basedOn w:val="Normal"/>
    <w:link w:val="HeaderChar"/>
    <w:uiPriority w:val="99"/>
    <w:unhideWhenUsed/>
    <w:rsid w:val="002E4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C5A"/>
  </w:style>
  <w:style w:type="paragraph" w:styleId="Footer">
    <w:name w:val="footer"/>
    <w:basedOn w:val="Normal"/>
    <w:link w:val="FooterChar"/>
    <w:uiPriority w:val="99"/>
    <w:unhideWhenUsed/>
    <w:rsid w:val="002E4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44736-28CB-4FC3-A451-88525999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2012-07-24T13:20:00Z</cp:lastPrinted>
  <dcterms:created xsi:type="dcterms:W3CDTF">2012-07-26T06:57:00Z</dcterms:created>
  <dcterms:modified xsi:type="dcterms:W3CDTF">2012-07-27T13:09:00Z</dcterms:modified>
</cp:coreProperties>
</file>