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5570" w:val="left" w:leader="none"/>
          <w:tab w:pos="5611" w:val="left" w:leader="none"/>
        </w:tabs>
        <w:spacing w:line="405" w:lineRule="auto" w:before="82"/>
        <w:ind w:right="250"/>
      </w:pPr>
      <w:r>
        <w:rPr/>
        <w:t>IN THE LABOUR COURT</w:t>
      </w:r>
      <w:r>
        <w:rPr>
          <w:spacing w:val="-9"/>
        </w:rPr>
        <w:t> </w:t>
      </w:r>
      <w:r>
        <w:rPr/>
        <w:t>OF</w:t>
      </w:r>
      <w:r>
        <w:rPr>
          <w:spacing w:val="-1"/>
        </w:rPr>
        <w:t> </w:t>
      </w:r>
      <w:r>
        <w:rPr/>
        <w:t>ZIMBABWE</w:t>
        <w:tab/>
        <w:tab/>
        <w:t>JUDGMENT NO.LC/H/45/23 HARARE, 24</w:t>
      </w:r>
      <w:r>
        <w:rPr>
          <w:spacing w:val="-6"/>
        </w:rPr>
        <w:t> </w:t>
      </w:r>
      <w:r>
        <w:rPr/>
        <w:t>JANUARY,</w:t>
      </w:r>
      <w:r>
        <w:rPr>
          <w:spacing w:val="-3"/>
        </w:rPr>
        <w:t> </w:t>
      </w:r>
      <w:r>
        <w:rPr/>
        <w:t>2023</w:t>
        <w:tab/>
        <w:t>CASE NO.</w:t>
      </w:r>
      <w:r>
        <w:rPr>
          <w:spacing w:val="-2"/>
        </w:rPr>
        <w:t> </w:t>
      </w:r>
      <w:r>
        <w:rPr/>
        <w:t>LC/H/947/22</w:t>
      </w:r>
    </w:p>
    <w:p>
      <w:pPr>
        <w:pStyle w:val="BodyText"/>
        <w:rPr>
          <w:b/>
          <w:sz w:val="28"/>
        </w:rPr>
      </w:pPr>
    </w:p>
    <w:p>
      <w:pPr>
        <w:pStyle w:val="BodyText"/>
        <w:rPr>
          <w:b/>
          <w:sz w:val="28"/>
        </w:rPr>
      </w:pPr>
    </w:p>
    <w:p>
      <w:pPr>
        <w:pStyle w:val="BodyText"/>
        <w:rPr>
          <w:b/>
          <w:sz w:val="28"/>
        </w:rPr>
      </w:pPr>
    </w:p>
    <w:p>
      <w:pPr>
        <w:pStyle w:val="BodyText"/>
        <w:spacing w:before="9"/>
        <w:rPr>
          <w:b/>
        </w:rPr>
      </w:pPr>
    </w:p>
    <w:p>
      <w:pPr>
        <w:tabs>
          <w:tab w:pos="7057" w:val="left" w:leader="none"/>
        </w:tabs>
        <w:spacing w:before="0"/>
        <w:ind w:left="100" w:right="0" w:firstLine="0"/>
        <w:jc w:val="left"/>
        <w:rPr>
          <w:b/>
          <w:sz w:val="24"/>
        </w:rPr>
      </w:pPr>
      <w:r>
        <w:rPr>
          <w:b/>
          <w:sz w:val="24"/>
        </w:rPr>
        <w:t>ZIMBABWE CONSOLIDATED</w:t>
      </w:r>
      <w:r>
        <w:rPr>
          <w:b/>
          <w:spacing w:val="-9"/>
          <w:sz w:val="24"/>
        </w:rPr>
        <w:t> </w:t>
      </w:r>
      <w:r>
        <w:rPr>
          <w:b/>
          <w:sz w:val="24"/>
        </w:rPr>
        <w:t>DIAMOND</w:t>
      </w:r>
      <w:r>
        <w:rPr>
          <w:b/>
          <w:spacing w:val="-2"/>
          <w:sz w:val="24"/>
        </w:rPr>
        <w:t> </w:t>
      </w:r>
      <w:r>
        <w:rPr>
          <w:b/>
          <w:sz w:val="24"/>
        </w:rPr>
        <w:t>COMPANY</w:t>
        <w:tab/>
        <w:t>APPLICANT</w:t>
      </w:r>
    </w:p>
    <w:p>
      <w:pPr>
        <w:pStyle w:val="BodyText"/>
        <w:rPr>
          <w:b/>
          <w:sz w:val="28"/>
        </w:rPr>
      </w:pPr>
    </w:p>
    <w:p>
      <w:pPr>
        <w:pStyle w:val="BodyText"/>
        <w:spacing w:before="5"/>
        <w:rPr>
          <w:b/>
          <w:sz w:val="36"/>
        </w:rPr>
      </w:pPr>
    </w:p>
    <w:p>
      <w:pPr>
        <w:pStyle w:val="BodyText"/>
        <w:spacing w:before="1"/>
        <w:ind w:left="100"/>
      </w:pPr>
      <w:r>
        <w:rPr/>
        <w:t>Versus</w:t>
      </w:r>
    </w:p>
    <w:p>
      <w:pPr>
        <w:pStyle w:val="BodyText"/>
        <w:rPr>
          <w:sz w:val="28"/>
        </w:rPr>
      </w:pPr>
    </w:p>
    <w:p>
      <w:pPr>
        <w:pStyle w:val="BodyText"/>
        <w:rPr>
          <w:sz w:val="28"/>
        </w:rPr>
      </w:pPr>
    </w:p>
    <w:p>
      <w:pPr>
        <w:pStyle w:val="BodyText"/>
        <w:spacing w:before="7"/>
        <w:rPr>
          <w:sz w:val="32"/>
        </w:rPr>
      </w:pPr>
    </w:p>
    <w:p>
      <w:pPr>
        <w:pStyle w:val="Heading1"/>
        <w:tabs>
          <w:tab w:pos="6785" w:val="left" w:leader="none"/>
        </w:tabs>
      </w:pPr>
      <w:r>
        <w:rPr/>
        <w:t>RICHARD</w:t>
      </w:r>
      <w:r>
        <w:rPr>
          <w:spacing w:val="-4"/>
        </w:rPr>
        <w:t> </w:t>
      </w:r>
      <w:r>
        <w:rPr/>
        <w:t>MABAYA</w:t>
        <w:tab/>
        <w:t>RESPONDENT</w:t>
      </w:r>
    </w:p>
    <w:p>
      <w:pPr>
        <w:pStyle w:val="BodyText"/>
        <w:rPr>
          <w:b/>
          <w:sz w:val="28"/>
        </w:rPr>
      </w:pPr>
    </w:p>
    <w:p>
      <w:pPr>
        <w:pStyle w:val="BodyText"/>
        <w:spacing w:before="8"/>
        <w:rPr>
          <w:b/>
          <w:sz w:val="36"/>
        </w:rPr>
      </w:pPr>
    </w:p>
    <w:p>
      <w:pPr>
        <w:spacing w:before="0"/>
        <w:ind w:left="100" w:right="0" w:firstLine="0"/>
        <w:jc w:val="left"/>
        <w:rPr>
          <w:b/>
          <w:sz w:val="24"/>
        </w:rPr>
      </w:pPr>
      <w:r>
        <w:rPr>
          <w:b/>
          <w:sz w:val="24"/>
        </w:rPr>
        <w:t>Before the Honourable Kudya J;</w:t>
      </w:r>
    </w:p>
    <w:p>
      <w:pPr>
        <w:pStyle w:val="BodyText"/>
        <w:tabs>
          <w:tab w:pos="2980" w:val="left" w:leader="none"/>
          <w:tab w:pos="4833" w:val="left" w:leader="none"/>
        </w:tabs>
        <w:spacing w:line="717" w:lineRule="auto" w:before="243"/>
        <w:ind w:left="100" w:right="2386"/>
      </w:pPr>
      <w:r>
        <w:rPr/>
        <w:t>For the</w:t>
      </w:r>
      <w:r>
        <w:rPr>
          <w:spacing w:val="-3"/>
        </w:rPr>
        <w:t> </w:t>
      </w:r>
      <w:r>
        <w:rPr/>
        <w:t>Applicant -</w:t>
        <w:tab/>
        <w:t>Ms N.G Maphosa (Legal Practitioner) For the</w:t>
      </w:r>
      <w:r>
        <w:rPr>
          <w:spacing w:val="-3"/>
        </w:rPr>
        <w:t> </w:t>
      </w:r>
      <w:r>
        <w:rPr/>
        <w:t>Respondent</w:t>
      </w:r>
      <w:r>
        <w:rPr>
          <w:spacing w:val="-1"/>
        </w:rPr>
        <w:t> </w:t>
      </w:r>
      <w:r>
        <w:rPr>
          <w:b/>
        </w:rPr>
        <w:t>-</w:t>
        <w:tab/>
      </w:r>
      <w:r>
        <w:rPr/>
        <w:t>Mr</w:t>
      </w:r>
      <w:r>
        <w:rPr>
          <w:spacing w:val="-1"/>
        </w:rPr>
        <w:t> </w:t>
      </w:r>
      <w:r>
        <w:rPr/>
        <w:t>J.</w:t>
      </w:r>
      <w:r>
        <w:rPr>
          <w:spacing w:val="-1"/>
        </w:rPr>
        <w:t> </w:t>
      </w:r>
      <w:r>
        <w:rPr/>
        <w:t>Tuso</w:t>
        <w:tab/>
        <w:t>(Legal</w:t>
      </w:r>
      <w:r>
        <w:rPr>
          <w:spacing w:val="-5"/>
        </w:rPr>
        <w:t> </w:t>
      </w:r>
      <w:r>
        <w:rPr/>
        <w:t>Practitioner)</w:t>
      </w:r>
    </w:p>
    <w:p>
      <w:pPr>
        <w:pStyle w:val="Heading1"/>
        <w:spacing w:before="200"/>
      </w:pPr>
      <w:r>
        <w:rPr/>
        <w:t>KUDYA J:</w:t>
      </w:r>
    </w:p>
    <w:p>
      <w:pPr>
        <w:pStyle w:val="BodyText"/>
        <w:spacing w:line="360" w:lineRule="auto" w:before="246"/>
        <w:ind w:left="100" w:right="117" w:firstLine="631"/>
        <w:jc w:val="both"/>
      </w:pPr>
      <w:r>
        <w:rPr/>
        <w:t>This matter was set down as an application for leave to appeal. Before the merits of the application could be entertained two points in limine were raised by the respondent. It is only these two points which are the subject of this judgement.</w:t>
      </w:r>
    </w:p>
    <w:p>
      <w:pPr>
        <w:pStyle w:val="BodyText"/>
        <w:rPr>
          <w:sz w:val="28"/>
        </w:rPr>
      </w:pPr>
    </w:p>
    <w:p>
      <w:pPr>
        <w:pStyle w:val="BodyText"/>
        <w:rPr>
          <w:sz w:val="41"/>
        </w:rPr>
      </w:pPr>
    </w:p>
    <w:p>
      <w:pPr>
        <w:pStyle w:val="BodyText"/>
        <w:spacing w:line="360" w:lineRule="auto"/>
        <w:ind w:left="100" w:right="117" w:firstLine="719"/>
        <w:jc w:val="both"/>
      </w:pPr>
      <w:r>
        <w:rPr/>
        <w:t>The 1</w:t>
      </w:r>
      <w:r>
        <w:rPr>
          <w:position w:val="8"/>
          <w:sz w:val="16"/>
        </w:rPr>
        <w:t>st </w:t>
      </w:r>
      <w:r>
        <w:rPr/>
        <w:t>point is that the application is fatally defective on account of the fact it is not made on the correct form.</w:t>
      </w:r>
    </w:p>
    <w:p>
      <w:pPr>
        <w:pStyle w:val="BodyText"/>
        <w:spacing w:line="360" w:lineRule="auto" w:before="201"/>
        <w:ind w:left="100" w:right="114" w:firstLine="719"/>
        <w:jc w:val="both"/>
      </w:pPr>
      <w:r>
        <w:rPr/>
        <w:t>2</w:t>
      </w:r>
      <w:r>
        <w:rPr>
          <w:position w:val="8"/>
          <w:sz w:val="16"/>
        </w:rPr>
        <w:t>nd </w:t>
      </w:r>
      <w:r>
        <w:rPr/>
        <w:t>point is that the founding affidavit does not spell out that the deponent is authorised by the applicant to depose to the affidavit and further that no resolution authorising him to represent the company is attached. The respondent cited a lot of authorities</w:t>
      </w:r>
      <w:r>
        <w:rPr>
          <w:spacing w:val="-13"/>
        </w:rPr>
        <w:t> </w:t>
      </w:r>
      <w:r>
        <w:rPr/>
        <w:t>which</w:t>
      </w:r>
      <w:r>
        <w:rPr>
          <w:spacing w:val="-12"/>
        </w:rPr>
        <w:t> </w:t>
      </w:r>
      <w:r>
        <w:rPr/>
        <w:t>speak</w:t>
      </w:r>
      <w:r>
        <w:rPr>
          <w:spacing w:val="-12"/>
        </w:rPr>
        <w:t> </w:t>
      </w:r>
      <w:r>
        <w:rPr/>
        <w:t>to</w:t>
      </w:r>
      <w:r>
        <w:rPr>
          <w:spacing w:val="-10"/>
        </w:rPr>
        <w:t> </w:t>
      </w:r>
      <w:r>
        <w:rPr/>
        <w:t>the</w:t>
      </w:r>
      <w:r>
        <w:rPr>
          <w:spacing w:val="-11"/>
        </w:rPr>
        <w:t> </w:t>
      </w:r>
      <w:r>
        <w:rPr/>
        <w:t>need</w:t>
      </w:r>
      <w:r>
        <w:rPr>
          <w:spacing w:val="-13"/>
        </w:rPr>
        <w:t> </w:t>
      </w:r>
      <w:r>
        <w:rPr/>
        <w:t>to</w:t>
      </w:r>
      <w:r>
        <w:rPr>
          <w:spacing w:val="-13"/>
        </w:rPr>
        <w:t> </w:t>
      </w:r>
      <w:r>
        <w:rPr/>
        <w:t>file</w:t>
      </w:r>
      <w:r>
        <w:rPr>
          <w:spacing w:val="-11"/>
        </w:rPr>
        <w:t> </w:t>
      </w:r>
      <w:r>
        <w:rPr/>
        <w:t>the</w:t>
      </w:r>
      <w:r>
        <w:rPr>
          <w:spacing w:val="-10"/>
        </w:rPr>
        <w:t> </w:t>
      </w:r>
      <w:r>
        <w:rPr/>
        <w:t>application</w:t>
      </w:r>
      <w:r>
        <w:rPr>
          <w:spacing w:val="-11"/>
        </w:rPr>
        <w:t> </w:t>
      </w:r>
      <w:r>
        <w:rPr/>
        <w:t>in</w:t>
      </w:r>
      <w:r>
        <w:rPr>
          <w:spacing w:val="-12"/>
        </w:rPr>
        <w:t> </w:t>
      </w:r>
      <w:r>
        <w:rPr/>
        <w:t>compliance</w:t>
      </w:r>
      <w:r>
        <w:rPr>
          <w:spacing w:val="-12"/>
        </w:rPr>
        <w:t> </w:t>
      </w:r>
      <w:r>
        <w:rPr/>
        <w:t>with</w:t>
      </w:r>
      <w:r>
        <w:rPr>
          <w:spacing w:val="-12"/>
        </w:rPr>
        <w:t> </w:t>
      </w:r>
      <w:r>
        <w:rPr/>
        <w:t>the</w:t>
      </w:r>
      <w:r>
        <w:rPr>
          <w:spacing w:val="-11"/>
        </w:rPr>
        <w:t> </w:t>
      </w:r>
      <w:r>
        <w:rPr/>
        <w:t>court</w:t>
      </w:r>
    </w:p>
    <w:p>
      <w:pPr>
        <w:spacing w:after="0" w:line="360" w:lineRule="auto"/>
        <w:jc w:val="both"/>
        <w:sectPr>
          <w:type w:val="continuous"/>
          <w:pgSz w:w="11910" w:h="16840"/>
          <w:pgMar w:top="1340" w:bottom="280" w:left="1340" w:right="1320"/>
        </w:sectPr>
      </w:pPr>
    </w:p>
    <w:p>
      <w:pPr>
        <w:pStyle w:val="BodyText"/>
        <w:spacing w:before="81"/>
        <w:ind w:left="6660" w:right="113" w:hanging="512"/>
        <w:jc w:val="right"/>
      </w:pPr>
      <w:r>
        <w:rPr/>
        <w:t>JUDGMENT NO. LC/H/45/23 CASE NO. LC/H/947/22</w:t>
      </w:r>
    </w:p>
    <w:p>
      <w:pPr>
        <w:pStyle w:val="BodyText"/>
        <w:spacing w:line="360" w:lineRule="auto" w:before="141"/>
        <w:ind w:left="100" w:right="116"/>
        <w:jc w:val="both"/>
      </w:pPr>
      <w:r>
        <w:rPr/>
        <w:t>rules. In reaction to the points the applicant conceded that it did not file the application</w:t>
      </w:r>
      <w:r>
        <w:rPr>
          <w:spacing w:val="-13"/>
        </w:rPr>
        <w:t> </w:t>
      </w:r>
      <w:r>
        <w:rPr/>
        <w:t>as</w:t>
      </w:r>
      <w:r>
        <w:rPr>
          <w:spacing w:val="-12"/>
        </w:rPr>
        <w:t> </w:t>
      </w:r>
      <w:r>
        <w:rPr/>
        <w:t>required</w:t>
      </w:r>
      <w:r>
        <w:rPr>
          <w:spacing w:val="-15"/>
        </w:rPr>
        <w:t> </w:t>
      </w:r>
      <w:r>
        <w:rPr/>
        <w:t>by</w:t>
      </w:r>
      <w:r>
        <w:rPr>
          <w:spacing w:val="-13"/>
        </w:rPr>
        <w:t> </w:t>
      </w:r>
      <w:r>
        <w:rPr/>
        <w:t>the</w:t>
      </w:r>
      <w:r>
        <w:rPr>
          <w:spacing w:val="-11"/>
        </w:rPr>
        <w:t> </w:t>
      </w:r>
      <w:r>
        <w:rPr/>
        <w:t>court</w:t>
      </w:r>
      <w:r>
        <w:rPr>
          <w:spacing w:val="-13"/>
        </w:rPr>
        <w:t> </w:t>
      </w:r>
      <w:r>
        <w:rPr/>
        <w:t>rules</w:t>
      </w:r>
      <w:r>
        <w:rPr>
          <w:spacing w:val="-12"/>
        </w:rPr>
        <w:t> </w:t>
      </w:r>
      <w:r>
        <w:rPr/>
        <w:t>and</w:t>
      </w:r>
      <w:r>
        <w:rPr>
          <w:spacing w:val="-13"/>
        </w:rPr>
        <w:t> </w:t>
      </w:r>
      <w:r>
        <w:rPr/>
        <w:t>that</w:t>
      </w:r>
      <w:r>
        <w:rPr>
          <w:spacing w:val="-15"/>
        </w:rPr>
        <w:t> </w:t>
      </w:r>
      <w:r>
        <w:rPr/>
        <w:t>the</w:t>
      </w:r>
      <w:r>
        <w:rPr>
          <w:spacing w:val="-11"/>
        </w:rPr>
        <w:t> </w:t>
      </w:r>
      <w:r>
        <w:rPr/>
        <w:t>founding</w:t>
      </w:r>
      <w:r>
        <w:rPr>
          <w:spacing w:val="-13"/>
        </w:rPr>
        <w:t> </w:t>
      </w:r>
      <w:r>
        <w:rPr/>
        <w:t>affidavit</w:t>
      </w:r>
      <w:r>
        <w:rPr>
          <w:spacing w:val="-14"/>
        </w:rPr>
        <w:t> </w:t>
      </w:r>
      <w:r>
        <w:rPr/>
        <w:t>was</w:t>
      </w:r>
      <w:r>
        <w:rPr>
          <w:spacing w:val="-12"/>
        </w:rPr>
        <w:t> </w:t>
      </w:r>
      <w:r>
        <w:rPr/>
        <w:t>defective for want of a resolution, reference that the deponent was deposing on behalf of the company and that the respondent’s opposing affidavit instead of saying that it is the applicant’s</w:t>
      </w:r>
      <w:r>
        <w:rPr>
          <w:spacing w:val="-1"/>
        </w:rPr>
        <w:t> </w:t>
      </w:r>
      <w:r>
        <w:rPr/>
        <w:t>affidavit.</w:t>
      </w:r>
    </w:p>
    <w:p>
      <w:pPr>
        <w:pStyle w:val="BodyText"/>
        <w:spacing w:line="360" w:lineRule="auto" w:before="201"/>
        <w:ind w:left="100" w:right="115" w:firstLine="719"/>
        <w:jc w:val="both"/>
      </w:pPr>
      <w:r>
        <w:rPr/>
        <w:t>It however maintained that all the defects were of a technical nature capable of being resolved in terms of rule 12 of not being strict with the rules to achieve justice. To that end the applicant prayed that it be allowed to have the deponent amend his affidavit and that it be allowed to file the concerned resolution.</w:t>
      </w:r>
    </w:p>
    <w:p>
      <w:pPr>
        <w:pStyle w:val="BodyText"/>
        <w:spacing w:line="360" w:lineRule="auto" w:before="199"/>
        <w:ind w:left="100" w:right="116" w:firstLine="794"/>
        <w:jc w:val="both"/>
      </w:pPr>
      <w:r>
        <w:rPr/>
        <w:t>It</w:t>
      </w:r>
      <w:r>
        <w:rPr>
          <w:spacing w:val="-10"/>
        </w:rPr>
        <w:t> </w:t>
      </w:r>
      <w:r>
        <w:rPr/>
        <w:t>was</w:t>
      </w:r>
      <w:r>
        <w:rPr>
          <w:spacing w:val="-9"/>
        </w:rPr>
        <w:t> </w:t>
      </w:r>
      <w:r>
        <w:rPr/>
        <w:t>apparent</w:t>
      </w:r>
      <w:r>
        <w:rPr>
          <w:spacing w:val="-9"/>
        </w:rPr>
        <w:t> </w:t>
      </w:r>
      <w:r>
        <w:rPr/>
        <w:t>from</w:t>
      </w:r>
      <w:r>
        <w:rPr>
          <w:spacing w:val="-10"/>
        </w:rPr>
        <w:t> </w:t>
      </w:r>
      <w:r>
        <w:rPr/>
        <w:t>the</w:t>
      </w:r>
      <w:r>
        <w:rPr>
          <w:spacing w:val="-8"/>
        </w:rPr>
        <w:t> </w:t>
      </w:r>
      <w:r>
        <w:rPr/>
        <w:t>applicant’s</w:t>
      </w:r>
      <w:r>
        <w:rPr>
          <w:spacing w:val="-10"/>
        </w:rPr>
        <w:t> </w:t>
      </w:r>
      <w:r>
        <w:rPr/>
        <w:t>response</w:t>
      </w:r>
      <w:r>
        <w:rPr>
          <w:spacing w:val="-9"/>
        </w:rPr>
        <w:t> </w:t>
      </w:r>
      <w:r>
        <w:rPr/>
        <w:t>that</w:t>
      </w:r>
      <w:r>
        <w:rPr>
          <w:spacing w:val="-10"/>
        </w:rPr>
        <w:t> </w:t>
      </w:r>
      <w:r>
        <w:rPr/>
        <w:t>it</w:t>
      </w:r>
      <w:r>
        <w:rPr>
          <w:spacing w:val="-8"/>
        </w:rPr>
        <w:t> </w:t>
      </w:r>
      <w:r>
        <w:rPr/>
        <w:t>had</w:t>
      </w:r>
      <w:r>
        <w:rPr>
          <w:spacing w:val="-10"/>
        </w:rPr>
        <w:t> </w:t>
      </w:r>
      <w:r>
        <w:rPr/>
        <w:t>a</w:t>
      </w:r>
      <w:r>
        <w:rPr>
          <w:spacing w:val="-9"/>
        </w:rPr>
        <w:t> </w:t>
      </w:r>
      <w:r>
        <w:rPr/>
        <w:t>casual</w:t>
      </w:r>
      <w:r>
        <w:rPr>
          <w:spacing w:val="-9"/>
        </w:rPr>
        <w:t> </w:t>
      </w:r>
      <w:r>
        <w:rPr/>
        <w:t>approach</w:t>
      </w:r>
      <w:r>
        <w:rPr>
          <w:spacing w:val="-9"/>
        </w:rPr>
        <w:t> </w:t>
      </w:r>
      <w:r>
        <w:rPr/>
        <w:t>to the</w:t>
      </w:r>
      <w:r>
        <w:rPr>
          <w:spacing w:val="-18"/>
        </w:rPr>
        <w:t> </w:t>
      </w:r>
      <w:r>
        <w:rPr/>
        <w:t>breaches</w:t>
      </w:r>
      <w:r>
        <w:rPr>
          <w:spacing w:val="-19"/>
        </w:rPr>
        <w:t> </w:t>
      </w:r>
      <w:r>
        <w:rPr/>
        <w:t>of</w:t>
      </w:r>
      <w:r>
        <w:rPr>
          <w:spacing w:val="-19"/>
        </w:rPr>
        <w:t> </w:t>
      </w:r>
      <w:r>
        <w:rPr/>
        <w:t>the</w:t>
      </w:r>
      <w:r>
        <w:rPr>
          <w:spacing w:val="-17"/>
        </w:rPr>
        <w:t> </w:t>
      </w:r>
      <w:r>
        <w:rPr/>
        <w:t>rules.</w:t>
      </w:r>
      <w:r>
        <w:rPr>
          <w:spacing w:val="35"/>
        </w:rPr>
        <w:t> </w:t>
      </w:r>
      <w:r>
        <w:rPr/>
        <w:t>It</w:t>
      </w:r>
      <w:r>
        <w:rPr>
          <w:spacing w:val="-21"/>
        </w:rPr>
        <w:t> </w:t>
      </w:r>
      <w:r>
        <w:rPr/>
        <w:t>is</w:t>
      </w:r>
      <w:r>
        <w:rPr>
          <w:spacing w:val="-18"/>
        </w:rPr>
        <w:t> </w:t>
      </w:r>
      <w:r>
        <w:rPr/>
        <w:t>important</w:t>
      </w:r>
      <w:r>
        <w:rPr>
          <w:spacing w:val="-20"/>
        </w:rPr>
        <w:t> </w:t>
      </w:r>
      <w:r>
        <w:rPr/>
        <w:t>to</w:t>
      </w:r>
      <w:r>
        <w:rPr>
          <w:spacing w:val="-20"/>
        </w:rPr>
        <w:t> </w:t>
      </w:r>
      <w:r>
        <w:rPr/>
        <w:t>remind</w:t>
      </w:r>
      <w:r>
        <w:rPr>
          <w:spacing w:val="-20"/>
        </w:rPr>
        <w:t> </w:t>
      </w:r>
      <w:r>
        <w:rPr/>
        <w:t>the</w:t>
      </w:r>
      <w:r>
        <w:rPr>
          <w:spacing w:val="-17"/>
        </w:rPr>
        <w:t> </w:t>
      </w:r>
      <w:r>
        <w:rPr/>
        <w:t>applicant</w:t>
      </w:r>
      <w:r>
        <w:rPr>
          <w:spacing w:val="-20"/>
        </w:rPr>
        <w:t> </w:t>
      </w:r>
      <w:r>
        <w:rPr/>
        <w:t>of</w:t>
      </w:r>
      <w:r>
        <w:rPr>
          <w:spacing w:val="-20"/>
        </w:rPr>
        <w:t> </w:t>
      </w:r>
      <w:r>
        <w:rPr/>
        <w:t>the</w:t>
      </w:r>
      <w:r>
        <w:rPr>
          <w:spacing w:val="-17"/>
        </w:rPr>
        <w:t> </w:t>
      </w:r>
      <w:r>
        <w:rPr/>
        <w:t>view</w:t>
      </w:r>
      <w:r>
        <w:rPr>
          <w:spacing w:val="-20"/>
        </w:rPr>
        <w:t> </w:t>
      </w:r>
      <w:r>
        <w:rPr/>
        <w:t>expressed in Ndebele v Ncube 1992 (1) ZLR 288(SC) that parties should be warned not to flagrantly breach court rules and plead for the court’s</w:t>
      </w:r>
      <w:r>
        <w:rPr>
          <w:spacing w:val="-8"/>
        </w:rPr>
        <w:t> </w:t>
      </w:r>
      <w:r>
        <w:rPr/>
        <w:t>pardon.</w:t>
      </w:r>
    </w:p>
    <w:p>
      <w:pPr>
        <w:pStyle w:val="BodyText"/>
        <w:spacing w:line="360" w:lineRule="auto" w:before="202"/>
        <w:ind w:left="100" w:right="117" w:firstLine="719"/>
        <w:jc w:val="both"/>
      </w:pPr>
      <w:r>
        <w:rPr/>
        <w:t>It is apparent that the applicant has adopted a laisses fare approach to the breaches</w:t>
      </w:r>
      <w:r>
        <w:rPr>
          <w:spacing w:val="-15"/>
        </w:rPr>
        <w:t> </w:t>
      </w:r>
      <w:r>
        <w:rPr/>
        <w:t>which</w:t>
      </w:r>
      <w:r>
        <w:rPr>
          <w:spacing w:val="-15"/>
        </w:rPr>
        <w:t> </w:t>
      </w:r>
      <w:r>
        <w:rPr/>
        <w:t>it</w:t>
      </w:r>
      <w:r>
        <w:rPr>
          <w:spacing w:val="-15"/>
        </w:rPr>
        <w:t> </w:t>
      </w:r>
      <w:r>
        <w:rPr/>
        <w:t>styles</w:t>
      </w:r>
      <w:r>
        <w:rPr>
          <w:spacing w:val="-14"/>
        </w:rPr>
        <w:t> </w:t>
      </w:r>
      <w:r>
        <w:rPr/>
        <w:t>technical.</w:t>
      </w:r>
      <w:r>
        <w:rPr>
          <w:spacing w:val="45"/>
        </w:rPr>
        <w:t> </w:t>
      </w:r>
      <w:r>
        <w:rPr/>
        <w:t>The</w:t>
      </w:r>
      <w:r>
        <w:rPr>
          <w:spacing w:val="-11"/>
        </w:rPr>
        <w:t> </w:t>
      </w:r>
      <w:r>
        <w:rPr/>
        <w:t>court</w:t>
      </w:r>
      <w:r>
        <w:rPr>
          <w:spacing w:val="-13"/>
        </w:rPr>
        <w:t> </w:t>
      </w:r>
      <w:r>
        <w:rPr>
          <w:spacing w:val="3"/>
        </w:rPr>
        <w:t>is</w:t>
      </w:r>
      <w:r>
        <w:rPr>
          <w:spacing w:val="-14"/>
        </w:rPr>
        <w:t> </w:t>
      </w:r>
      <w:r>
        <w:rPr/>
        <w:t>satisfied</w:t>
      </w:r>
      <w:r>
        <w:rPr>
          <w:spacing w:val="-16"/>
        </w:rPr>
        <w:t> </w:t>
      </w:r>
      <w:r>
        <w:rPr/>
        <w:t>that</w:t>
      </w:r>
      <w:r>
        <w:rPr>
          <w:spacing w:val="-16"/>
        </w:rPr>
        <w:t> </w:t>
      </w:r>
      <w:r>
        <w:rPr/>
        <w:t>there</w:t>
      </w:r>
      <w:r>
        <w:rPr>
          <w:spacing w:val="-14"/>
        </w:rPr>
        <w:t> </w:t>
      </w:r>
      <w:r>
        <w:rPr/>
        <w:t>is</w:t>
      </w:r>
      <w:r>
        <w:rPr>
          <w:spacing w:val="-11"/>
        </w:rPr>
        <w:t> </w:t>
      </w:r>
      <w:r>
        <w:rPr/>
        <w:t>nothing</w:t>
      </w:r>
      <w:r>
        <w:rPr>
          <w:spacing w:val="-16"/>
        </w:rPr>
        <w:t> </w:t>
      </w:r>
      <w:r>
        <w:rPr/>
        <w:t>technical about making an application on a wrong form and not attaching a resolution or a deponent not averring that is duly instructed by his principal. Those issues are the bedrock of the application and by stretch of imagination cannot be styled</w:t>
      </w:r>
      <w:r>
        <w:rPr>
          <w:spacing w:val="-25"/>
        </w:rPr>
        <w:t> </w:t>
      </w:r>
      <w:r>
        <w:rPr/>
        <w:t>technical.</w:t>
      </w:r>
    </w:p>
    <w:p>
      <w:pPr>
        <w:pStyle w:val="BodyText"/>
        <w:spacing w:line="360" w:lineRule="auto" w:before="198"/>
        <w:ind w:left="100" w:right="119" w:firstLine="719"/>
        <w:jc w:val="both"/>
      </w:pPr>
      <w:r>
        <w:rPr/>
        <w:t>The</w:t>
      </w:r>
      <w:r>
        <w:rPr>
          <w:spacing w:val="-16"/>
        </w:rPr>
        <w:t> </w:t>
      </w:r>
      <w:r>
        <w:rPr/>
        <w:t>court</w:t>
      </w:r>
      <w:r>
        <w:rPr>
          <w:spacing w:val="-15"/>
        </w:rPr>
        <w:t> </w:t>
      </w:r>
      <w:r>
        <w:rPr/>
        <w:t>is</w:t>
      </w:r>
      <w:r>
        <w:rPr>
          <w:spacing w:val="-15"/>
        </w:rPr>
        <w:t> </w:t>
      </w:r>
      <w:r>
        <w:rPr/>
        <w:t>satisfied</w:t>
      </w:r>
      <w:r>
        <w:rPr>
          <w:spacing w:val="-17"/>
        </w:rPr>
        <w:t> </w:t>
      </w:r>
      <w:r>
        <w:rPr/>
        <w:t>that</w:t>
      </w:r>
      <w:r>
        <w:rPr>
          <w:spacing w:val="-16"/>
        </w:rPr>
        <w:t> </w:t>
      </w:r>
      <w:r>
        <w:rPr/>
        <w:t>on</w:t>
      </w:r>
      <w:r>
        <w:rPr>
          <w:spacing w:val="-17"/>
        </w:rPr>
        <w:t> </w:t>
      </w:r>
      <w:r>
        <w:rPr/>
        <w:t>account</w:t>
      </w:r>
      <w:r>
        <w:rPr>
          <w:spacing w:val="-15"/>
        </w:rPr>
        <w:t> </w:t>
      </w:r>
      <w:r>
        <w:rPr/>
        <w:t>of</w:t>
      </w:r>
      <w:r>
        <w:rPr>
          <w:spacing w:val="-14"/>
        </w:rPr>
        <w:t> </w:t>
      </w:r>
      <w:r>
        <w:rPr/>
        <w:t>the</w:t>
      </w:r>
      <w:r>
        <w:rPr>
          <w:spacing w:val="-15"/>
        </w:rPr>
        <w:t> </w:t>
      </w:r>
      <w:r>
        <w:rPr/>
        <w:t>breach</w:t>
      </w:r>
      <w:r>
        <w:rPr>
          <w:spacing w:val="-17"/>
        </w:rPr>
        <w:t> </w:t>
      </w:r>
      <w:r>
        <w:rPr/>
        <w:t>the</w:t>
      </w:r>
      <w:r>
        <w:rPr>
          <w:spacing w:val="-15"/>
        </w:rPr>
        <w:t> </w:t>
      </w:r>
      <w:r>
        <w:rPr/>
        <w:t>application</w:t>
      </w:r>
      <w:r>
        <w:rPr>
          <w:spacing w:val="-16"/>
        </w:rPr>
        <w:t> </w:t>
      </w:r>
      <w:r>
        <w:rPr/>
        <w:t>is</w:t>
      </w:r>
      <w:r>
        <w:rPr>
          <w:spacing w:val="-15"/>
        </w:rPr>
        <w:t> </w:t>
      </w:r>
      <w:r>
        <w:rPr/>
        <w:t>improperly before the court. It should to that end be struck off the roll with</w:t>
      </w:r>
      <w:r>
        <w:rPr>
          <w:spacing w:val="-9"/>
        </w:rPr>
        <w:t> </w:t>
      </w:r>
      <w:r>
        <w:rPr/>
        <w:t>costs.</w:t>
      </w:r>
    </w:p>
    <w:p>
      <w:pPr>
        <w:pStyle w:val="Heading1"/>
        <w:spacing w:before="202"/>
        <w:jc w:val="both"/>
      </w:pPr>
      <w:r>
        <w:rPr/>
        <w:t>IT IS ORDERED THAT,</w:t>
      </w:r>
    </w:p>
    <w:p>
      <w:pPr>
        <w:pStyle w:val="BodyText"/>
        <w:spacing w:before="6"/>
        <w:rPr>
          <w:b/>
          <w:sz w:val="28"/>
        </w:rPr>
      </w:pPr>
    </w:p>
    <w:p>
      <w:pPr>
        <w:pStyle w:val="BodyText"/>
        <w:spacing w:line="360" w:lineRule="auto"/>
        <w:ind w:left="100" w:right="117"/>
        <w:jc w:val="both"/>
      </w:pPr>
      <w:r>
        <w:rPr/>
        <w:t>Points in limine being well placed they be and hereby succeed. Application for leave to appeal be and is hereby struck off the roll with costs for being non-compliant with the court rules.</w:t>
      </w:r>
    </w:p>
    <w:p>
      <w:pPr>
        <w:pStyle w:val="BodyText"/>
        <w:rPr>
          <w:sz w:val="28"/>
        </w:rPr>
      </w:pPr>
    </w:p>
    <w:p>
      <w:pPr>
        <w:pStyle w:val="BodyText"/>
        <w:spacing w:before="2"/>
        <w:rPr>
          <w:sz w:val="41"/>
        </w:rPr>
      </w:pPr>
    </w:p>
    <w:p>
      <w:pPr>
        <w:pStyle w:val="BodyText"/>
        <w:ind w:left="100"/>
        <w:jc w:val="both"/>
      </w:pPr>
      <w:r>
        <w:rPr/>
        <w:t>Sawyer and Mkushi – Applicant’s Legal Practitioners</w:t>
      </w:r>
    </w:p>
    <w:p>
      <w:pPr>
        <w:pStyle w:val="BodyText"/>
        <w:spacing w:before="6"/>
        <w:rPr>
          <w:sz w:val="28"/>
        </w:rPr>
      </w:pPr>
    </w:p>
    <w:p>
      <w:pPr>
        <w:pStyle w:val="BodyText"/>
        <w:ind w:left="100"/>
        <w:jc w:val="both"/>
      </w:pPr>
      <w:r>
        <w:rPr/>
        <w:t>Tavenhave and Machingauta – Respondent’s Legal Practitioner</w:t>
      </w:r>
    </w:p>
    <w:p>
      <w:pPr>
        <w:pStyle w:val="BodyText"/>
        <w:rPr>
          <w:sz w:val="20"/>
        </w:rPr>
      </w:pPr>
    </w:p>
    <w:p>
      <w:pPr>
        <w:pStyle w:val="BodyText"/>
        <w:rPr>
          <w:sz w:val="20"/>
        </w:rPr>
      </w:pPr>
    </w:p>
    <w:p>
      <w:pPr>
        <w:pStyle w:val="BodyText"/>
        <w:spacing w:before="10"/>
        <w:rPr>
          <w:sz w:val="17"/>
        </w:rPr>
      </w:pPr>
    </w:p>
    <w:p>
      <w:pPr>
        <w:spacing w:before="56"/>
        <w:ind w:left="0" w:right="16" w:firstLine="0"/>
        <w:jc w:val="center"/>
        <w:rPr>
          <w:rFonts w:ascii="Carlito"/>
          <w:sz w:val="22"/>
        </w:rPr>
      </w:pPr>
      <w:r>
        <w:rPr>
          <w:rFonts w:ascii="Carlito"/>
          <w:w w:val="100"/>
          <w:sz w:val="22"/>
        </w:rPr>
        <w:t>2</w:t>
      </w:r>
    </w:p>
    <w:sectPr>
      <w:pgSz w:w="11910" w:h="16840"/>
      <w:pgMar w:top="62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Carlito">
    <w:altName w:val="Carlito"/>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4"/>
      <w:szCs w:val="24"/>
      <w:lang w:val="en-US" w:eastAsia="en-US" w:bidi="ar-SA"/>
    </w:rPr>
  </w:style>
  <w:style w:styleId="Heading1" w:type="paragraph">
    <w:name w:val="Heading 1"/>
    <w:basedOn w:val="Normal"/>
    <w:uiPriority w:val="1"/>
    <w:qFormat/>
    <w:pPr>
      <w:ind w:left="100"/>
      <w:outlineLvl w:val="1"/>
    </w:pPr>
    <w:rPr>
      <w:rFonts w:ascii="Tahoma" w:hAnsi="Tahoma" w:eastAsia="Tahoma" w:cs="Tahoma"/>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2023-05-15T09:56:28Z</dcterms:created>
  <dcterms:modified xsi:type="dcterms:W3CDTF">2023-05-15T09:56:28Z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 2019</vt:lpwstr>
  </property>
  <property fmtid="{D5CDD505-2E9C-101B-9397-08002B2CF9AE}" pid="4" name="LastSaved">
    <vt:filetime>2023-05-15T00:00:00Z</vt:filetime>
  </property>
</Properties>
</file>