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14:paraId="41E4D921" w14:textId="77777777" w:rsidTr="009C18C8">
        <w:trPr>
          <w:trHeight w:val="70"/>
        </w:trPr>
        <w:tc>
          <w:tcPr>
            <w:tcW w:w="3896" w:type="dxa"/>
            <w:tcBorders>
              <w:bottom w:val="nil"/>
            </w:tcBorders>
          </w:tcPr>
          <w:p w14:paraId="4F3E1C5B" w14:textId="77777777" w:rsidR="005A4D7A" w:rsidRDefault="005A4D7A" w:rsidP="009A35C7">
            <w:pPr>
              <w:tabs>
                <w:tab w:val="left" w:pos="1134"/>
                <w:tab w:val="left" w:pos="1276"/>
                <w:tab w:val="left" w:pos="1560"/>
                <w:tab w:val="center" w:pos="4395"/>
                <w:tab w:val="right" w:pos="8505"/>
              </w:tabs>
              <w:spacing w:line="360" w:lineRule="auto"/>
              <w:jc w:val="both"/>
              <w:rPr>
                <w:b/>
              </w:rPr>
            </w:pPr>
          </w:p>
        </w:tc>
        <w:tc>
          <w:tcPr>
            <w:tcW w:w="1491" w:type="dxa"/>
            <w:tcBorders>
              <w:bottom w:val="nil"/>
            </w:tcBorders>
          </w:tcPr>
          <w:p w14:paraId="1CD2C06D" w14:textId="77777777" w:rsidR="005A4D7A" w:rsidRDefault="005A4D7A" w:rsidP="009A35C7">
            <w:pPr>
              <w:tabs>
                <w:tab w:val="center" w:pos="4395"/>
                <w:tab w:val="right" w:pos="8505"/>
              </w:tabs>
              <w:spacing w:line="360" w:lineRule="auto"/>
              <w:jc w:val="both"/>
              <w:rPr>
                <w:sz w:val="19"/>
              </w:rPr>
            </w:pPr>
          </w:p>
        </w:tc>
        <w:tc>
          <w:tcPr>
            <w:tcW w:w="4394" w:type="dxa"/>
            <w:tcBorders>
              <w:bottom w:val="nil"/>
            </w:tcBorders>
          </w:tcPr>
          <w:p w14:paraId="5C2CE89E" w14:textId="68469E5A" w:rsidR="005A4D7A" w:rsidRDefault="00F24F4F" w:rsidP="00CF2F67">
            <w:pPr>
              <w:tabs>
                <w:tab w:val="center" w:pos="4395"/>
                <w:tab w:val="right" w:pos="8505"/>
              </w:tabs>
              <w:spacing w:line="360" w:lineRule="auto"/>
              <w:jc w:val="both"/>
              <w:rPr>
                <w:b/>
                <w:sz w:val="19"/>
              </w:rPr>
            </w:pPr>
            <w:r>
              <w:rPr>
                <w:b/>
                <w:sz w:val="19"/>
              </w:rPr>
              <w:t xml:space="preserve">                                                              </w:t>
            </w:r>
          </w:p>
        </w:tc>
      </w:tr>
    </w:tbl>
    <w:p w14:paraId="036A97C4" w14:textId="27542E78" w:rsidR="002912A6" w:rsidRDefault="00853FD1" w:rsidP="00804E6A">
      <w:pPr>
        <w:jc w:val="both"/>
      </w:pPr>
      <w:r>
        <w:t>ZIMBABWE CONSOLIDATED DIAMOND CO. P/L</w:t>
      </w:r>
    </w:p>
    <w:p w14:paraId="2B4CE656" w14:textId="5559A0B0" w:rsidR="002912A6" w:rsidRDefault="00E868D4" w:rsidP="009A35C7">
      <w:pPr>
        <w:jc w:val="both"/>
      </w:pPr>
      <w:r>
        <w:t>v</w:t>
      </w:r>
      <w:r w:rsidR="00CD12E4">
        <w:t>ersus</w:t>
      </w:r>
    </w:p>
    <w:p w14:paraId="402D4A8F" w14:textId="77777777" w:rsidR="00DC67DE" w:rsidRPr="00DC67DE" w:rsidRDefault="00DC67DE" w:rsidP="009A35C7">
      <w:pPr>
        <w:jc w:val="both"/>
        <w:rPr>
          <w:sz w:val="6"/>
          <w:szCs w:val="6"/>
        </w:rPr>
      </w:pPr>
    </w:p>
    <w:p w14:paraId="24921735" w14:textId="77B42F11" w:rsidR="002912A6" w:rsidRDefault="00853FD1" w:rsidP="009A35C7">
      <w:pPr>
        <w:jc w:val="both"/>
      </w:pPr>
      <w:r>
        <w:t>MINEXUS MINERALS RESOURCES P/L</w:t>
      </w:r>
    </w:p>
    <w:p w14:paraId="7855DC4F" w14:textId="08167A4A" w:rsidR="009617B1" w:rsidRDefault="009617B1" w:rsidP="009A35C7">
      <w:pPr>
        <w:jc w:val="both"/>
      </w:pPr>
      <w:r w:rsidRPr="009617B1">
        <w:rPr>
          <w:noProof/>
        </w:rPr>
        <w:drawing>
          <wp:inline distT="0" distB="0" distL="0" distR="0" wp14:anchorId="1164EA31" wp14:editId="3DC32F16">
            <wp:extent cx="5943600" cy="349250"/>
            <wp:effectExtent l="0" t="0" r="0" b="0"/>
            <wp:docPr id="1982359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49250"/>
                    </a:xfrm>
                    <a:prstGeom prst="rect">
                      <a:avLst/>
                    </a:prstGeom>
                    <a:noFill/>
                    <a:ln>
                      <a:noFill/>
                    </a:ln>
                  </pic:spPr>
                </pic:pic>
              </a:graphicData>
            </a:graphic>
          </wp:inline>
        </w:drawing>
      </w:r>
    </w:p>
    <w:p w14:paraId="13911C21" w14:textId="79875D61" w:rsidR="00056938" w:rsidRDefault="00E868D4" w:rsidP="009A35C7">
      <w:pPr>
        <w:jc w:val="both"/>
      </w:pPr>
      <w:r>
        <w:t>a</w:t>
      </w:r>
      <w:r w:rsidR="00056938">
        <w:t>nd</w:t>
      </w:r>
    </w:p>
    <w:p w14:paraId="40F0E997" w14:textId="422287B4" w:rsidR="00056938" w:rsidRDefault="00853FD1" w:rsidP="009A35C7">
      <w:pPr>
        <w:jc w:val="both"/>
      </w:pPr>
      <w:r>
        <w:t>EDGETOP MINING P/L</w:t>
      </w:r>
    </w:p>
    <w:p w14:paraId="753E2A42" w14:textId="46AB6834" w:rsidR="00056938" w:rsidRDefault="00E868D4" w:rsidP="009A35C7">
      <w:pPr>
        <w:jc w:val="both"/>
      </w:pPr>
      <w:r>
        <w:t>a</w:t>
      </w:r>
      <w:r w:rsidR="00056938">
        <w:t>nd</w:t>
      </w:r>
    </w:p>
    <w:p w14:paraId="6CE80F19" w14:textId="6DA790F6" w:rsidR="00056938" w:rsidRDefault="00853FD1" w:rsidP="009A35C7">
      <w:pPr>
        <w:jc w:val="both"/>
      </w:pPr>
      <w:r>
        <w:t>FADI ALI KHATOUN</w:t>
      </w:r>
    </w:p>
    <w:p w14:paraId="1F58BE19" w14:textId="1BDC0EE8" w:rsidR="00853FD1" w:rsidRDefault="00E868D4" w:rsidP="009A35C7">
      <w:pPr>
        <w:jc w:val="both"/>
      </w:pPr>
      <w:r>
        <w:t>a</w:t>
      </w:r>
      <w:r w:rsidR="00853FD1">
        <w:t xml:space="preserve">nd </w:t>
      </w:r>
    </w:p>
    <w:p w14:paraId="29D03A89" w14:textId="16F7C53A" w:rsidR="00853FD1" w:rsidRDefault="00853FD1" w:rsidP="009A35C7">
      <w:pPr>
        <w:jc w:val="both"/>
      </w:pPr>
      <w:r>
        <w:t>MINISTER OF MINES AND MINING DEVELOPMENT</w:t>
      </w:r>
    </w:p>
    <w:p w14:paraId="11CD6A19" w14:textId="6CF864DA" w:rsidR="00853FD1" w:rsidRDefault="00E868D4" w:rsidP="009A35C7">
      <w:pPr>
        <w:jc w:val="both"/>
      </w:pPr>
      <w:r>
        <w:t>a</w:t>
      </w:r>
      <w:r w:rsidR="00853FD1">
        <w:t>nd</w:t>
      </w:r>
      <w:bookmarkStart w:id="0" w:name="_GoBack"/>
      <w:bookmarkEnd w:id="0"/>
    </w:p>
    <w:p w14:paraId="13AB6D3E" w14:textId="13265E88" w:rsidR="00853FD1" w:rsidRDefault="00853FD1" w:rsidP="009A35C7">
      <w:pPr>
        <w:jc w:val="both"/>
      </w:pPr>
      <w:r>
        <w:t>ADVOCATES AMIT PINES</w:t>
      </w:r>
    </w:p>
    <w:p w14:paraId="616B16D6" w14:textId="2002CDC5" w:rsidR="00853FD1" w:rsidRDefault="00E868D4" w:rsidP="009A35C7">
      <w:pPr>
        <w:jc w:val="both"/>
      </w:pPr>
      <w:r>
        <w:t>a</w:t>
      </w:r>
      <w:r w:rsidR="00853FD1">
        <w:t>nd</w:t>
      </w:r>
    </w:p>
    <w:p w14:paraId="162E3EF9" w14:textId="1C13FC2C" w:rsidR="00853FD1" w:rsidRDefault="00853FD1" w:rsidP="009A35C7">
      <w:pPr>
        <w:jc w:val="both"/>
      </w:pPr>
      <w:r>
        <w:t>URI GIL</w:t>
      </w:r>
    </w:p>
    <w:p w14:paraId="21837E92" w14:textId="5CFA116F" w:rsidR="00853FD1" w:rsidRDefault="00853FD1" w:rsidP="009A35C7">
      <w:pPr>
        <w:jc w:val="both"/>
      </w:pPr>
      <w:r>
        <w:t>(all in their capacities as Joint Foreign Interim Liquidators of</w:t>
      </w:r>
    </w:p>
    <w:p w14:paraId="251DCA86" w14:textId="047ADA51" w:rsidR="00853FD1" w:rsidRDefault="00853FD1" w:rsidP="009A35C7">
      <w:pPr>
        <w:jc w:val="both"/>
      </w:pPr>
      <w:r>
        <w:t>FUSS DIAMONDS LIMITED</w:t>
      </w:r>
      <w:r w:rsidR="003E6EA3">
        <w:t>)</w:t>
      </w:r>
    </w:p>
    <w:p w14:paraId="1D982C4B" w14:textId="77777777" w:rsidR="00804E6A" w:rsidRPr="00804E6A" w:rsidRDefault="00804E6A" w:rsidP="009A35C7">
      <w:pPr>
        <w:jc w:val="both"/>
        <w:rPr>
          <w:sz w:val="8"/>
          <w:szCs w:val="8"/>
        </w:rPr>
      </w:pPr>
    </w:p>
    <w:p w14:paraId="71E7F69C" w14:textId="77777777" w:rsidR="00405423" w:rsidRDefault="00405423" w:rsidP="00405423">
      <w:pPr>
        <w:jc w:val="both"/>
      </w:pPr>
    </w:p>
    <w:p w14:paraId="6AECB5CE" w14:textId="77777777" w:rsidR="009C18C8" w:rsidRDefault="009C18C8" w:rsidP="009A35C7">
      <w:pPr>
        <w:jc w:val="both"/>
      </w:pPr>
    </w:p>
    <w:p w14:paraId="160798D9" w14:textId="77777777" w:rsidR="005A4D7A" w:rsidRDefault="005A4D7A" w:rsidP="009A35C7">
      <w:pPr>
        <w:jc w:val="both"/>
      </w:pPr>
      <w:r>
        <w:t>HIGH COURT OF ZIMBABWE</w:t>
      </w:r>
    </w:p>
    <w:p w14:paraId="3C7F7DCC" w14:textId="292523D9" w:rsidR="005A4D7A" w:rsidRDefault="00A831D8" w:rsidP="009A35C7">
      <w:pPr>
        <w:jc w:val="both"/>
      </w:pPr>
      <w:r>
        <w:t>CHINAMORA</w:t>
      </w:r>
      <w:r w:rsidR="005A4D7A">
        <w:t xml:space="preserve"> J</w:t>
      </w:r>
    </w:p>
    <w:p w14:paraId="10DD0963" w14:textId="3935DF7F" w:rsidR="000E18E1" w:rsidRDefault="000E18E1" w:rsidP="009A35C7">
      <w:pPr>
        <w:jc w:val="both"/>
      </w:pPr>
      <w:r>
        <w:t xml:space="preserve">HARARE, </w:t>
      </w:r>
      <w:r w:rsidR="00E84BBD">
        <w:t>25 October 2021</w:t>
      </w:r>
      <w:r w:rsidR="00D95890">
        <w:t xml:space="preserve"> &amp;</w:t>
      </w:r>
      <w:r w:rsidR="005516A6">
        <w:t xml:space="preserve"> 12</w:t>
      </w:r>
      <w:r w:rsidR="00843A07">
        <w:t xml:space="preserve"> October 2023</w:t>
      </w:r>
    </w:p>
    <w:p w14:paraId="0209C119" w14:textId="77777777" w:rsidR="005A4D7A" w:rsidRDefault="005A4D7A" w:rsidP="009A35C7">
      <w:pPr>
        <w:spacing w:line="360" w:lineRule="auto"/>
        <w:jc w:val="both"/>
      </w:pPr>
    </w:p>
    <w:p w14:paraId="2F62A098" w14:textId="77777777" w:rsidR="00CC572E" w:rsidRPr="00CC572E" w:rsidRDefault="00CC572E" w:rsidP="009A35C7">
      <w:pPr>
        <w:spacing w:line="360" w:lineRule="auto"/>
        <w:jc w:val="both"/>
        <w:rPr>
          <w:b/>
          <w:sz w:val="4"/>
          <w:szCs w:val="4"/>
        </w:rPr>
      </w:pPr>
    </w:p>
    <w:p w14:paraId="4B418238" w14:textId="56344C5E" w:rsidR="005A4D7A" w:rsidRPr="009A017B" w:rsidRDefault="00900FA8" w:rsidP="009A35C7">
      <w:pPr>
        <w:spacing w:line="360" w:lineRule="auto"/>
        <w:jc w:val="both"/>
        <w:rPr>
          <w:b/>
        </w:rPr>
      </w:pPr>
      <w:r>
        <w:rPr>
          <w:b/>
        </w:rPr>
        <w:t>Opposed application</w:t>
      </w:r>
    </w:p>
    <w:p w14:paraId="2B2D89A5" w14:textId="77777777" w:rsidR="005A4D7A" w:rsidRDefault="005A4D7A" w:rsidP="009A35C7">
      <w:pPr>
        <w:spacing w:line="360" w:lineRule="auto"/>
        <w:jc w:val="both"/>
      </w:pPr>
    </w:p>
    <w:p w14:paraId="0D064D9F" w14:textId="733FD7D5" w:rsidR="00C835A5" w:rsidRDefault="00714640" w:rsidP="00C835A5">
      <w:pPr>
        <w:jc w:val="both"/>
      </w:pPr>
      <w:r>
        <w:rPr>
          <w:i/>
        </w:rPr>
        <w:t>A</w:t>
      </w:r>
      <w:r w:rsidRPr="00C6640D">
        <w:t>dv</w:t>
      </w:r>
      <w:r>
        <w:rPr>
          <w:i/>
        </w:rPr>
        <w:t xml:space="preserve"> G R J, </w:t>
      </w:r>
      <w:r w:rsidR="00FD00F3">
        <w:t xml:space="preserve">for the </w:t>
      </w:r>
      <w:r w:rsidR="00CE42F4">
        <w:t>applicant</w:t>
      </w:r>
      <w:r w:rsidR="00CD12E4">
        <w:t>s</w:t>
      </w:r>
    </w:p>
    <w:p w14:paraId="45DC7599" w14:textId="44E8668E" w:rsidR="004D0E53" w:rsidRDefault="002B46D5" w:rsidP="00C835A5">
      <w:pPr>
        <w:jc w:val="both"/>
      </w:pPr>
      <w:r w:rsidRPr="00C6640D">
        <w:t>Adv</w:t>
      </w:r>
      <w:r>
        <w:rPr>
          <w:i/>
        </w:rPr>
        <w:t xml:space="preserve"> T L Mapuranga, </w:t>
      </w:r>
      <w:r w:rsidR="00CD12E4">
        <w:t xml:space="preserve">for the </w:t>
      </w:r>
      <w:r>
        <w:t>1</w:t>
      </w:r>
      <w:r w:rsidRPr="002B46D5">
        <w:rPr>
          <w:vertAlign w:val="superscript"/>
        </w:rPr>
        <w:t>st</w:t>
      </w:r>
      <w:r>
        <w:t>, 3</w:t>
      </w:r>
      <w:r w:rsidRPr="002B46D5">
        <w:rPr>
          <w:vertAlign w:val="superscript"/>
        </w:rPr>
        <w:t>rd</w:t>
      </w:r>
      <w:r>
        <w:t xml:space="preserve"> and 4</w:t>
      </w:r>
      <w:r w:rsidRPr="002B46D5">
        <w:rPr>
          <w:vertAlign w:val="superscript"/>
        </w:rPr>
        <w:t>th</w:t>
      </w:r>
      <w:r>
        <w:t xml:space="preserve"> </w:t>
      </w:r>
      <w:r w:rsidR="00C835A5">
        <w:t>respondent</w:t>
      </w:r>
      <w:r>
        <w:t>s</w:t>
      </w:r>
    </w:p>
    <w:p w14:paraId="22B331E6" w14:textId="7A03B5D1" w:rsidR="00AB1AB2" w:rsidRDefault="00AB1AB2" w:rsidP="00C835A5">
      <w:pPr>
        <w:jc w:val="both"/>
      </w:pPr>
      <w:r>
        <w:t xml:space="preserve">Prof </w:t>
      </w:r>
      <w:r w:rsidRPr="00C6640D">
        <w:rPr>
          <w:i/>
        </w:rPr>
        <w:t>W Ncube</w:t>
      </w:r>
      <w:r>
        <w:t>, for the 6</w:t>
      </w:r>
      <w:r w:rsidRPr="00AB1AB2">
        <w:rPr>
          <w:vertAlign w:val="superscript"/>
        </w:rPr>
        <w:t>th</w:t>
      </w:r>
      <w:r>
        <w:t>, 7</w:t>
      </w:r>
      <w:r w:rsidRPr="00AB1AB2">
        <w:rPr>
          <w:vertAlign w:val="superscript"/>
        </w:rPr>
        <w:t>th</w:t>
      </w:r>
      <w:r>
        <w:t xml:space="preserve"> and 8</w:t>
      </w:r>
      <w:r w:rsidRPr="00AB1AB2">
        <w:rPr>
          <w:vertAlign w:val="superscript"/>
        </w:rPr>
        <w:t>th</w:t>
      </w:r>
      <w:r>
        <w:t xml:space="preserve"> respondents</w:t>
      </w:r>
    </w:p>
    <w:p w14:paraId="35984832" w14:textId="77777777" w:rsidR="00C835A5" w:rsidRPr="000B1DFA" w:rsidRDefault="00C835A5" w:rsidP="009A35C7">
      <w:pPr>
        <w:spacing w:line="360" w:lineRule="auto"/>
        <w:jc w:val="both"/>
        <w:rPr>
          <w:b/>
        </w:rPr>
      </w:pPr>
    </w:p>
    <w:p w14:paraId="319DE800" w14:textId="7118E8AD" w:rsidR="00B83F70" w:rsidRPr="00C45974" w:rsidRDefault="004169FF" w:rsidP="00405423">
      <w:pPr>
        <w:spacing w:line="360" w:lineRule="auto"/>
        <w:jc w:val="both"/>
        <w:rPr>
          <w:b/>
        </w:rPr>
      </w:pPr>
      <w:r w:rsidRPr="000B1DFA">
        <w:rPr>
          <w:b/>
        </w:rPr>
        <w:t>CHINAMORA</w:t>
      </w:r>
      <w:r w:rsidR="005A4D7A" w:rsidRPr="000B1DFA">
        <w:rPr>
          <w:b/>
        </w:rPr>
        <w:t xml:space="preserve"> J: </w:t>
      </w:r>
    </w:p>
    <w:p w14:paraId="6C1EB9BD" w14:textId="205C6205" w:rsidR="00A75686" w:rsidRPr="00A75686" w:rsidRDefault="00A75686" w:rsidP="00A75686">
      <w:pPr>
        <w:spacing w:line="360" w:lineRule="auto"/>
        <w:jc w:val="both"/>
        <w:rPr>
          <w:b/>
        </w:rPr>
      </w:pPr>
      <w:r w:rsidRPr="00A75686">
        <w:rPr>
          <w:b/>
        </w:rPr>
        <w:t>Background facts</w:t>
      </w:r>
    </w:p>
    <w:p w14:paraId="7FD10785" w14:textId="58A60384" w:rsidR="002210EC" w:rsidRDefault="00853FD1" w:rsidP="0095610F">
      <w:pPr>
        <w:spacing w:line="360" w:lineRule="auto"/>
        <w:ind w:firstLine="720"/>
        <w:jc w:val="both"/>
      </w:pPr>
      <w:r>
        <w:t xml:space="preserve">The </w:t>
      </w:r>
      <w:r w:rsidR="00FB2B29">
        <w:t>dispute between the parties is a simple debt for the payment of money, but is complicated by the involvement of diamonds to part settle the amount due</w:t>
      </w:r>
      <w:r>
        <w:t>. Before delving into the factual matrix of the case, I wish to start by housekeeping issues. On 17 January 2020, the applicant herein filed a court application</w:t>
      </w:r>
      <w:r w:rsidR="00894483">
        <w:t xml:space="preserve"> under HC 403/</w:t>
      </w:r>
      <w:r w:rsidR="00573C54">
        <w:t>20</w:t>
      </w:r>
      <w:r>
        <w:t xml:space="preserve"> seeking a declaratory relief that applicant f</w:t>
      </w:r>
      <w:r w:rsidR="009B2254">
        <w:t>ully paid, extinguished, amortiz</w:t>
      </w:r>
      <w:r>
        <w:t xml:space="preserve">ed and discharged the </w:t>
      </w:r>
      <w:r w:rsidR="00C6640D">
        <w:t xml:space="preserve">first </w:t>
      </w:r>
      <w:r>
        <w:t xml:space="preserve">respondent’s judgment debt, execution costs and legal costs secured under </w:t>
      </w:r>
      <w:r w:rsidR="00573C54">
        <w:t xml:space="preserve">a writ of execution dated 4 October 2017. Furthermore, the applicant </w:t>
      </w:r>
      <w:r w:rsidR="00573C54">
        <w:lastRenderedPageBreak/>
        <w:t xml:space="preserve">sought relief to interdict the </w:t>
      </w:r>
      <w:r w:rsidR="00C6640D">
        <w:t xml:space="preserve">first </w:t>
      </w:r>
      <w:r w:rsidR="00573C54">
        <w:t>respondent from instructing the Sheriff of Zimbabwe to attach, execute or remove applicant’s goods in execution. This matter was duly op</w:t>
      </w:r>
      <w:r w:rsidR="00331CE5">
        <w:t xml:space="preserve">posed. On the following day, </w:t>
      </w:r>
      <w:r w:rsidR="00573C54">
        <w:t>18</w:t>
      </w:r>
      <w:r w:rsidR="00331CE5">
        <w:rPr>
          <w:vertAlign w:val="superscript"/>
        </w:rPr>
        <w:t xml:space="preserve"> </w:t>
      </w:r>
      <w:r w:rsidR="00573C54">
        <w:t xml:space="preserve">January 2020, the applicant approached this court on an urgent basis under HC </w:t>
      </w:r>
      <w:r w:rsidR="00BA25CB">
        <w:t>404/</w:t>
      </w:r>
      <w:r w:rsidR="00A75686">
        <w:t>20. That application</w:t>
      </w:r>
      <w:r w:rsidR="00573C54">
        <w:t xml:space="preserve"> sought a provisional order directing the Sheriff to stay execution of an order granted by this court on 20 September 2017 and the writ dated 4</w:t>
      </w:r>
      <w:r w:rsidR="0035450A">
        <w:rPr>
          <w:vertAlign w:val="superscript"/>
        </w:rPr>
        <w:t xml:space="preserve"> </w:t>
      </w:r>
      <w:r w:rsidR="00573C54">
        <w:t>October 2017 pending the outcome</w:t>
      </w:r>
      <w:r w:rsidR="002210EC">
        <w:t xml:space="preserve"> of the court application f</w:t>
      </w:r>
      <w:r w:rsidR="00CA277B">
        <w:t>iled under case number HC 403/</w:t>
      </w:r>
      <w:r w:rsidR="002210EC">
        <w:t>20.</w:t>
      </w:r>
      <w:r w:rsidR="00573C54">
        <w:t xml:space="preserve"> </w:t>
      </w:r>
      <w:r>
        <w:t xml:space="preserve"> </w:t>
      </w:r>
      <w:r w:rsidR="002210EC">
        <w:t>It is this urgent cha</w:t>
      </w:r>
      <w:r w:rsidR="001D2D9F">
        <w:t>mber application under HC 404/</w:t>
      </w:r>
      <w:r w:rsidR="002210EC">
        <w:t xml:space="preserve">20 which was placed before me. On 31 January 2020, the </w:t>
      </w:r>
      <w:r w:rsidR="00C6640D">
        <w:t>fifth</w:t>
      </w:r>
      <w:r w:rsidR="002210EC">
        <w:t xml:space="preserve">, </w:t>
      </w:r>
      <w:r w:rsidR="00C6640D">
        <w:t>sixth</w:t>
      </w:r>
      <w:r w:rsidR="002210EC">
        <w:t xml:space="preserve"> and </w:t>
      </w:r>
      <w:r w:rsidR="00C6640D">
        <w:t xml:space="preserve">seventh </w:t>
      </w:r>
      <w:r w:rsidR="002210EC">
        <w:t>respondents filed a court application for consolidation in terms of Rule 230 and 92 of the now repealed High Court Rules, 1971. On 4 February 2020, by the consent of the parties I ordered the consolidation of the matters filed un</w:t>
      </w:r>
      <w:r w:rsidR="001B2D5F">
        <w:t>der HC 403/</w:t>
      </w:r>
      <w:r w:rsidR="001875BD">
        <w:t>20 and HC 404/</w:t>
      </w:r>
      <w:r w:rsidR="002210EC">
        <w:t>20.</w:t>
      </w:r>
      <w:r w:rsidR="00655E88">
        <w:t xml:space="preserve"> After having consolidated the matters, I directed as follows:</w:t>
      </w:r>
    </w:p>
    <w:p w14:paraId="3461A421" w14:textId="77777777" w:rsidR="0035450A" w:rsidRPr="0035450A" w:rsidRDefault="0035450A" w:rsidP="0095610F">
      <w:pPr>
        <w:spacing w:line="360" w:lineRule="auto"/>
        <w:ind w:firstLine="720"/>
        <w:jc w:val="both"/>
        <w:rPr>
          <w:sz w:val="20"/>
          <w:szCs w:val="20"/>
        </w:rPr>
      </w:pPr>
    </w:p>
    <w:p w14:paraId="61119F8B" w14:textId="39743C4C" w:rsidR="00655E88" w:rsidRDefault="00A75686" w:rsidP="00655E88">
      <w:pPr>
        <w:pStyle w:val="ListParagraph"/>
        <w:numPr>
          <w:ilvl w:val="0"/>
          <w:numId w:val="33"/>
        </w:numPr>
        <w:spacing w:line="360" w:lineRule="auto"/>
        <w:jc w:val="both"/>
      </w:pPr>
      <w:r>
        <w:t>The a</w:t>
      </w:r>
      <w:r w:rsidR="004E0E6F">
        <w:t>pplicant in HC 404/20 s</w:t>
      </w:r>
      <w:r w:rsidR="00655E88">
        <w:t>hall file its answering affidavit and notice of opposition to the counter appl</w:t>
      </w:r>
      <w:r w:rsidR="0035450A">
        <w:t>ication no later than Friday,</w:t>
      </w:r>
      <w:r w:rsidR="00655E88">
        <w:t xml:space="preserve"> 7 February 2020.</w:t>
      </w:r>
    </w:p>
    <w:p w14:paraId="5E33DE17" w14:textId="2FF51962" w:rsidR="00655E88" w:rsidRDefault="00B44F37" w:rsidP="00655E88">
      <w:pPr>
        <w:pStyle w:val="ListParagraph"/>
        <w:numPr>
          <w:ilvl w:val="0"/>
          <w:numId w:val="33"/>
        </w:numPr>
        <w:spacing w:line="360" w:lineRule="auto"/>
        <w:jc w:val="both"/>
      </w:pPr>
      <w:r>
        <w:t>The a</w:t>
      </w:r>
      <w:r w:rsidR="00B93F9C">
        <w:t>pplicant in HC</w:t>
      </w:r>
      <w:r w:rsidR="00655E88">
        <w:t xml:space="preserve"> 404/20 shall file its answer</w:t>
      </w:r>
      <w:r w:rsidR="00F8159A">
        <w:t>ing affidavit, if any, and its notice of o</w:t>
      </w:r>
      <w:r w:rsidR="00655E88">
        <w:t>pposition to the counter appl</w:t>
      </w:r>
      <w:r w:rsidR="00CF67C6">
        <w:t xml:space="preserve">ication no later than Wednesday, </w:t>
      </w:r>
      <w:r w:rsidR="00655E88">
        <w:t>12</w:t>
      </w:r>
      <w:r w:rsidR="00CF67C6">
        <w:rPr>
          <w:vertAlign w:val="superscript"/>
        </w:rPr>
        <w:t xml:space="preserve"> </w:t>
      </w:r>
      <w:r w:rsidR="00655E88">
        <w:t>February 2020.</w:t>
      </w:r>
    </w:p>
    <w:p w14:paraId="0EE0F709" w14:textId="1FC7E721" w:rsidR="00655E88" w:rsidRDefault="00BE03FD" w:rsidP="00655E88">
      <w:pPr>
        <w:pStyle w:val="ListParagraph"/>
        <w:numPr>
          <w:ilvl w:val="0"/>
          <w:numId w:val="33"/>
        </w:numPr>
        <w:spacing w:line="360" w:lineRule="auto"/>
        <w:jc w:val="both"/>
      </w:pPr>
      <w:r>
        <w:t xml:space="preserve">The </w:t>
      </w:r>
      <w:r w:rsidR="00C6640D">
        <w:t>first</w:t>
      </w:r>
      <w:r w:rsidR="00655E88">
        <w:t xml:space="preserve">, </w:t>
      </w:r>
      <w:r w:rsidR="00C6640D">
        <w:t>second</w:t>
      </w:r>
      <w:r w:rsidR="00655E88">
        <w:t xml:space="preserve">, </w:t>
      </w:r>
      <w:r w:rsidR="00C6640D">
        <w:t>third</w:t>
      </w:r>
      <w:r w:rsidR="00655E88">
        <w:t xml:space="preserve"> and </w:t>
      </w:r>
      <w:r w:rsidR="00C6640D">
        <w:t>fourth</w:t>
      </w:r>
      <w:r w:rsidR="00655E88">
        <w:t xml:space="preserve"> responden</w:t>
      </w:r>
      <w:r w:rsidR="00657EE9">
        <w:t>ts shall file their notices of o</w:t>
      </w:r>
      <w:r w:rsidR="00655E88">
        <w:t>pposition, if any, to the count</w:t>
      </w:r>
      <w:r w:rsidR="00CF67C6">
        <w:t>er application no later than</w:t>
      </w:r>
      <w:r w:rsidR="00655E88">
        <w:t xml:space="preserve"> 14 February 2020.</w:t>
      </w:r>
    </w:p>
    <w:p w14:paraId="26B1C329" w14:textId="009C0B6D" w:rsidR="00655E88" w:rsidRDefault="00BE03FD" w:rsidP="00655E88">
      <w:pPr>
        <w:pStyle w:val="ListParagraph"/>
        <w:numPr>
          <w:ilvl w:val="0"/>
          <w:numId w:val="33"/>
        </w:numPr>
        <w:spacing w:line="360" w:lineRule="auto"/>
        <w:jc w:val="both"/>
      </w:pPr>
      <w:r>
        <w:t xml:space="preserve">The </w:t>
      </w:r>
      <w:r w:rsidR="00C6640D">
        <w:t>sixth</w:t>
      </w:r>
      <w:r w:rsidR="00655E88">
        <w:t xml:space="preserve">, </w:t>
      </w:r>
      <w:r w:rsidR="00C6640D">
        <w:t>seventh</w:t>
      </w:r>
      <w:r w:rsidR="00655E88">
        <w:t xml:space="preserve"> and </w:t>
      </w:r>
      <w:r w:rsidR="00C6640D">
        <w:t xml:space="preserve">eighth </w:t>
      </w:r>
      <w:r w:rsidR="00655E88">
        <w:t xml:space="preserve">respondents in case numbers HC 403/20 </w:t>
      </w:r>
      <w:r w:rsidR="00657EE9">
        <w:t>and HC 404/20 shall file their answering a</w:t>
      </w:r>
      <w:r w:rsidR="00655E88">
        <w:t>ffidavits, if any, by no later than 19</w:t>
      </w:r>
      <w:r w:rsidR="001F7113">
        <w:rPr>
          <w:vertAlign w:val="superscript"/>
        </w:rPr>
        <w:t xml:space="preserve"> </w:t>
      </w:r>
      <w:r w:rsidR="00655E88">
        <w:t>February 2020.</w:t>
      </w:r>
    </w:p>
    <w:p w14:paraId="4364F955" w14:textId="55514C48" w:rsidR="00655E88" w:rsidRDefault="009B2C85" w:rsidP="00655E88">
      <w:pPr>
        <w:pStyle w:val="ListParagraph"/>
        <w:numPr>
          <w:ilvl w:val="0"/>
          <w:numId w:val="33"/>
        </w:numPr>
        <w:spacing w:line="360" w:lineRule="auto"/>
        <w:jc w:val="both"/>
      </w:pPr>
      <w:r>
        <w:t>The applicant under</w:t>
      </w:r>
      <w:r w:rsidR="00655E88">
        <w:t xml:space="preserve"> HC 403/20 and HC 404/20 sh</w:t>
      </w:r>
      <w:r w:rsidR="008F7EAF">
        <w:t>all file consolidated heads of a</w:t>
      </w:r>
      <w:r w:rsidR="00655E88">
        <w:t>rgument no later than Wednesday 26</w:t>
      </w:r>
      <w:r w:rsidR="001F7113">
        <w:rPr>
          <w:vertAlign w:val="superscript"/>
        </w:rPr>
        <w:t xml:space="preserve"> </w:t>
      </w:r>
      <w:r w:rsidR="00655E88">
        <w:t>February 2020 and respondents</w:t>
      </w:r>
      <w:r w:rsidR="00780FC4">
        <w:t xml:space="preserve"> shall file their consolidated heads of a</w:t>
      </w:r>
      <w:r w:rsidR="00655E88">
        <w:t>rgument no later than the 5 March 2020.</w:t>
      </w:r>
    </w:p>
    <w:p w14:paraId="27A89083" w14:textId="377C980E" w:rsidR="00696FD7" w:rsidRDefault="00696FD7" w:rsidP="00655E88">
      <w:pPr>
        <w:pStyle w:val="ListParagraph"/>
        <w:numPr>
          <w:ilvl w:val="0"/>
          <w:numId w:val="33"/>
        </w:numPr>
        <w:spacing w:line="360" w:lineRule="auto"/>
        <w:jc w:val="both"/>
      </w:pPr>
      <w:r>
        <w:t>Thereafter</w:t>
      </w:r>
      <w:r w:rsidR="001F7113">
        <w:t>,</w:t>
      </w:r>
      <w:r>
        <w:t xml:space="preserve"> the consolidated matters shall be</w:t>
      </w:r>
      <w:r w:rsidR="001F7113">
        <w:t xml:space="preserve"> set down before </w:t>
      </w:r>
      <w:r>
        <w:t xml:space="preserve">Justice Chinamora in terms for the </w:t>
      </w:r>
      <w:r w:rsidR="00A671F3">
        <w:t>High Court Rules</w:t>
      </w:r>
      <w:r>
        <w:t xml:space="preserve">. </w:t>
      </w:r>
    </w:p>
    <w:p w14:paraId="08497101" w14:textId="77777777" w:rsidR="00696FD7" w:rsidRPr="00154429" w:rsidRDefault="00696FD7" w:rsidP="00696FD7">
      <w:pPr>
        <w:spacing w:line="360" w:lineRule="auto"/>
        <w:jc w:val="both"/>
        <w:rPr>
          <w:sz w:val="20"/>
          <w:szCs w:val="20"/>
        </w:rPr>
      </w:pPr>
    </w:p>
    <w:p w14:paraId="4124A482" w14:textId="6F5E8CA9" w:rsidR="002210EC" w:rsidRPr="00C2710C" w:rsidRDefault="00696FD7" w:rsidP="00C2710C">
      <w:pPr>
        <w:spacing w:line="360" w:lineRule="auto"/>
        <w:jc w:val="both"/>
        <w:rPr>
          <w:b/>
          <w:bCs/>
          <w:iCs/>
        </w:rPr>
      </w:pPr>
      <w:r w:rsidRPr="00C2710C">
        <w:rPr>
          <w:b/>
          <w:bCs/>
          <w:iCs/>
        </w:rPr>
        <w:t>The applicant’s case</w:t>
      </w:r>
    </w:p>
    <w:p w14:paraId="125CAB26" w14:textId="2BA09EBF" w:rsidR="00DC61F8" w:rsidRDefault="00696FD7" w:rsidP="0095610F">
      <w:pPr>
        <w:spacing w:line="360" w:lineRule="auto"/>
        <w:ind w:firstLine="720"/>
        <w:jc w:val="both"/>
      </w:pPr>
      <w:r>
        <w:t xml:space="preserve">It is applicant’s case </w:t>
      </w:r>
      <w:r w:rsidR="00EB6C07">
        <w:t xml:space="preserve">is </w:t>
      </w:r>
      <w:r>
        <w:t>that</w:t>
      </w:r>
      <w:r w:rsidR="00D87EA2">
        <w:t xml:space="preserve"> the </w:t>
      </w:r>
      <w:r w:rsidR="00C6640D">
        <w:t>first</w:t>
      </w:r>
      <w:r w:rsidR="00D87EA2">
        <w:t xml:space="preserve">, </w:t>
      </w:r>
      <w:r w:rsidR="00C6640D">
        <w:t>third</w:t>
      </w:r>
      <w:r w:rsidR="00D87EA2">
        <w:t xml:space="preserve">, and </w:t>
      </w:r>
      <w:r w:rsidR="00C6640D">
        <w:t>fourth</w:t>
      </w:r>
      <w:r w:rsidR="00EB6C07">
        <w:t xml:space="preserve"> respondents filed </w:t>
      </w:r>
      <w:r w:rsidR="00D87EA2">
        <w:t xml:space="preserve">an application for </w:t>
      </w:r>
      <w:r w:rsidR="00EB6C07">
        <w:t xml:space="preserve">a </w:t>
      </w:r>
      <w:r w:rsidR="00D87EA2">
        <w:t>declaratory order under HC 3117/17 with this cou</w:t>
      </w:r>
      <w:r w:rsidR="00EB6C07">
        <w:t xml:space="preserve">rt. By judgment of </w:t>
      </w:r>
      <w:r w:rsidR="00EB6C07" w:rsidRPr="00C6640D">
        <w:rPr>
          <w:smallCaps/>
        </w:rPr>
        <w:t>T</w:t>
      </w:r>
      <w:r w:rsidR="00C6640D" w:rsidRPr="00C6640D">
        <w:rPr>
          <w:smallCaps/>
        </w:rPr>
        <w:t>agu</w:t>
      </w:r>
      <w:r w:rsidR="00154429">
        <w:t xml:space="preserve"> J under HH 619-</w:t>
      </w:r>
      <w:r w:rsidR="00D87EA2">
        <w:t>17</w:t>
      </w:r>
      <w:r w:rsidR="00154429">
        <w:t>, the respondents</w:t>
      </w:r>
      <w:r>
        <w:t xml:space="preserve"> o</w:t>
      </w:r>
      <w:r w:rsidR="00154429">
        <w:t>btained a judgment against the applicant, which</w:t>
      </w:r>
      <w:r>
        <w:t xml:space="preserve"> ordered </w:t>
      </w:r>
      <w:r w:rsidR="00154429">
        <w:t xml:space="preserve">the applicant </w:t>
      </w:r>
      <w:r>
        <w:t>to pay the sum of US$ 1 226 000</w:t>
      </w:r>
      <w:r w:rsidR="00DC61F8">
        <w:t xml:space="preserve">.00. </w:t>
      </w:r>
      <w:r w:rsidR="00D87EA2">
        <w:t>O</w:t>
      </w:r>
      <w:r w:rsidR="00DC61F8">
        <w:t xml:space="preserve">n 25 February 2019, the </w:t>
      </w:r>
      <w:r w:rsidR="00C6640D">
        <w:t>first</w:t>
      </w:r>
      <w:r w:rsidR="00DC61F8">
        <w:t xml:space="preserve"> respondent instructed the sheriff to attach </w:t>
      </w:r>
      <w:r w:rsidR="00DC61F8">
        <w:lastRenderedPageBreak/>
        <w:t xml:space="preserve">and remove </w:t>
      </w:r>
      <w:r w:rsidR="00154429">
        <w:t xml:space="preserve">the </w:t>
      </w:r>
      <w:r w:rsidR="00DC61F8">
        <w:t xml:space="preserve">applicant’s assets at its head office, </w:t>
      </w:r>
      <w:r w:rsidR="00154429">
        <w:t xml:space="preserve">namely, </w:t>
      </w:r>
      <w:r w:rsidR="00DC61F8">
        <w:t>35-37 Coshman Road, Bor</w:t>
      </w:r>
      <w:r w:rsidR="00154429">
        <w:t>rowdale. The a</w:t>
      </w:r>
      <w:r w:rsidR="00DC61F8">
        <w:t>pplicant avers that</w:t>
      </w:r>
      <w:r w:rsidR="00BD252A">
        <w:t>,</w:t>
      </w:r>
      <w:r w:rsidR="00DC61F8">
        <w:t xml:space="preserve"> pursuant to the notice of attachment and removal, the applicant and the </w:t>
      </w:r>
      <w:r w:rsidR="00C6640D">
        <w:t>first</w:t>
      </w:r>
      <w:r w:rsidR="00DC61F8">
        <w:t xml:space="preserve"> respondent engaged and agreed to a payment plan to liquidate the judgment debt</w:t>
      </w:r>
      <w:r w:rsidR="00BD252A">
        <w:t>,</w:t>
      </w:r>
      <w:r w:rsidR="00DC61F8">
        <w:t xml:space="preserve"> together </w:t>
      </w:r>
      <w:r w:rsidR="00BD252A">
        <w:t xml:space="preserve">with </w:t>
      </w:r>
      <w:r w:rsidR="00DC61F8">
        <w:t>interest and</w:t>
      </w:r>
      <w:r w:rsidR="00BD252A">
        <w:t xml:space="preserve"> the judgment creditors’</w:t>
      </w:r>
      <w:r w:rsidR="00DC61F8">
        <w:t xml:space="preserve"> costs</w:t>
      </w:r>
      <w:r w:rsidR="00BD252A">
        <w:t xml:space="preserve"> of suit</w:t>
      </w:r>
      <w:r w:rsidR="00DC61F8">
        <w:t>. In essence</w:t>
      </w:r>
      <w:r w:rsidR="00BD252A">
        <w:t>,</w:t>
      </w:r>
      <w:r w:rsidR="00DC61F8">
        <w:t xml:space="preserve"> t</w:t>
      </w:r>
      <w:r w:rsidR="00E63B4C">
        <w:t xml:space="preserve">he parties agreed that the </w:t>
      </w:r>
      <w:r w:rsidR="00DC61F8">
        <w:t xml:space="preserve">amount </w:t>
      </w:r>
      <w:r w:rsidR="00E63B4C">
        <w:t xml:space="preserve">owing </w:t>
      </w:r>
      <w:r w:rsidR="00DC61F8">
        <w:t>was to be paid as follows:</w:t>
      </w:r>
    </w:p>
    <w:p w14:paraId="1D2776ED" w14:textId="77777777" w:rsidR="00BD252A" w:rsidRPr="00BD252A" w:rsidRDefault="00BD252A" w:rsidP="0095610F">
      <w:pPr>
        <w:spacing w:line="360" w:lineRule="auto"/>
        <w:ind w:firstLine="720"/>
        <w:jc w:val="both"/>
        <w:rPr>
          <w:sz w:val="18"/>
          <w:szCs w:val="18"/>
        </w:rPr>
      </w:pPr>
    </w:p>
    <w:p w14:paraId="165DE8FA" w14:textId="47CCEB97" w:rsidR="00DC61F8" w:rsidRDefault="00DC61F8" w:rsidP="00C6640D">
      <w:pPr>
        <w:pStyle w:val="ListParagraph"/>
        <w:numPr>
          <w:ilvl w:val="0"/>
          <w:numId w:val="34"/>
        </w:numPr>
        <w:spacing w:line="360" w:lineRule="auto"/>
      </w:pPr>
      <w:r>
        <w:t>US$ 150 000</w:t>
      </w:r>
      <w:r w:rsidR="00865731">
        <w:t xml:space="preserve"> </w:t>
      </w:r>
      <w:r>
        <w:t xml:space="preserve">to Messrs </w:t>
      </w:r>
      <w:r w:rsidRPr="00C6640D">
        <w:rPr>
          <w:i/>
        </w:rPr>
        <w:t>Mawadze and Mujaya</w:t>
      </w:r>
      <w:r>
        <w:t xml:space="preserve"> legal practitioners and US$ 150 000</w:t>
      </w:r>
      <w:r w:rsidR="00865731">
        <w:t xml:space="preserve"> </w:t>
      </w:r>
      <w:r>
        <w:t xml:space="preserve">to Cobmaster Investments as per the instructions of the </w:t>
      </w:r>
      <w:r w:rsidR="00C6640D">
        <w:t>first</w:t>
      </w:r>
      <w:r w:rsidR="00332E9C">
        <w:t xml:space="preserve"> r</w:t>
      </w:r>
      <w:r w:rsidR="00C6640D">
        <w:t xml:space="preserve">espondent’s legal </w:t>
      </w:r>
      <w:r>
        <w:t>practitioners.</w:t>
      </w:r>
    </w:p>
    <w:p w14:paraId="664F4FF0" w14:textId="4CD18B42" w:rsidR="00DC61F8" w:rsidRDefault="00DC61F8" w:rsidP="00DC61F8">
      <w:pPr>
        <w:pStyle w:val="ListParagraph"/>
        <w:numPr>
          <w:ilvl w:val="0"/>
          <w:numId w:val="34"/>
        </w:numPr>
        <w:spacing w:line="360" w:lineRule="auto"/>
        <w:jc w:val="both"/>
      </w:pPr>
      <w:r>
        <w:t>Legal fees amounting to US$ 50 000</w:t>
      </w:r>
      <w:r w:rsidR="00865731">
        <w:t xml:space="preserve"> </w:t>
      </w:r>
      <w:r>
        <w:t>were paid on 26 February 2018</w:t>
      </w:r>
    </w:p>
    <w:p w14:paraId="63CDD1FA" w14:textId="777BC7EB" w:rsidR="00DC61F8" w:rsidRDefault="00033874" w:rsidP="00DC61F8">
      <w:pPr>
        <w:pStyle w:val="ListParagraph"/>
        <w:numPr>
          <w:ilvl w:val="0"/>
          <w:numId w:val="34"/>
        </w:numPr>
        <w:spacing w:line="360" w:lineRule="auto"/>
        <w:jc w:val="both"/>
      </w:pPr>
      <w:r>
        <w:t xml:space="preserve">The </w:t>
      </w:r>
      <w:r w:rsidR="00DC61F8">
        <w:t>Sheriff’s costs amounti</w:t>
      </w:r>
      <w:r>
        <w:t>ng to US$ 79 000</w:t>
      </w:r>
      <w:r w:rsidR="00865731">
        <w:t xml:space="preserve"> </w:t>
      </w:r>
      <w:r>
        <w:t>as well as the a</w:t>
      </w:r>
      <w:r w:rsidR="00DC61F8">
        <w:t>ucti</w:t>
      </w:r>
      <w:r>
        <w:t>oneer’s removal and storage charges</w:t>
      </w:r>
      <w:r w:rsidR="00DC61F8">
        <w:t xml:space="preserve"> amounting to US$ 3 330.</w:t>
      </w:r>
    </w:p>
    <w:p w14:paraId="7CCA799F" w14:textId="5908694F" w:rsidR="00DC61F8" w:rsidRDefault="00DC61F8" w:rsidP="00DC61F8">
      <w:pPr>
        <w:pStyle w:val="ListParagraph"/>
        <w:numPr>
          <w:ilvl w:val="0"/>
          <w:numId w:val="34"/>
        </w:numPr>
        <w:spacing w:line="360" w:lineRule="auto"/>
        <w:jc w:val="both"/>
      </w:pPr>
      <w:r>
        <w:t xml:space="preserve">The </w:t>
      </w:r>
      <w:r w:rsidR="00C6640D">
        <w:t>first</w:t>
      </w:r>
      <w:r>
        <w:t xml:space="preserve"> respondent participa</w:t>
      </w:r>
      <w:r w:rsidR="00C860AF">
        <w:t xml:space="preserve">ted in a diamond tender, on </w:t>
      </w:r>
      <w:r>
        <w:t>4</w:t>
      </w:r>
      <w:r w:rsidR="00C860AF">
        <w:rPr>
          <w:vertAlign w:val="superscript"/>
        </w:rPr>
        <w:t xml:space="preserve"> </w:t>
      </w:r>
      <w:r>
        <w:t>June 2019 and won a diamond parcel worth US$ 937 975.19</w:t>
      </w:r>
      <w:r w:rsidR="00C860AF">
        <w:t>,</w:t>
      </w:r>
      <w:r w:rsidR="00421987">
        <w:t xml:space="preserve"> which was set-off against the outstanding balance. The parcel was collected on 26 June 2019 by a representative of </w:t>
      </w:r>
      <w:r w:rsidR="00C860AF">
        <w:t xml:space="preserve">the </w:t>
      </w:r>
      <w:r w:rsidR="00C6640D">
        <w:t>first</w:t>
      </w:r>
      <w:r w:rsidR="00421987">
        <w:t xml:space="preserve"> respondent and left a balance of US$ 342 024.81.</w:t>
      </w:r>
    </w:p>
    <w:p w14:paraId="509264DD" w14:textId="143E7F71" w:rsidR="00421987" w:rsidRDefault="00421987" w:rsidP="00421987">
      <w:pPr>
        <w:pStyle w:val="ListParagraph"/>
        <w:numPr>
          <w:ilvl w:val="0"/>
          <w:numId w:val="34"/>
        </w:numPr>
        <w:spacing w:line="360" w:lineRule="auto"/>
        <w:jc w:val="both"/>
      </w:pPr>
      <w:r>
        <w:t xml:space="preserve">The </w:t>
      </w:r>
      <w:r w:rsidR="00C6640D">
        <w:t>first</w:t>
      </w:r>
      <w:r>
        <w:t xml:space="preserve"> respondent collected yet again another diamond parcel on 21</w:t>
      </w:r>
      <w:r w:rsidR="00401EFC">
        <w:rPr>
          <w:vertAlign w:val="superscript"/>
        </w:rPr>
        <w:t xml:space="preserve"> </w:t>
      </w:r>
      <w:r>
        <w:t xml:space="preserve">August 2019 paying off the outstanding balance. </w:t>
      </w:r>
    </w:p>
    <w:p w14:paraId="2B8019F1" w14:textId="77777777" w:rsidR="00B5773A" w:rsidRPr="004C5B17" w:rsidRDefault="00B5773A" w:rsidP="00B5773A">
      <w:pPr>
        <w:pStyle w:val="ListParagraph"/>
        <w:spacing w:line="360" w:lineRule="auto"/>
        <w:jc w:val="both"/>
        <w:rPr>
          <w:sz w:val="16"/>
          <w:szCs w:val="16"/>
        </w:rPr>
      </w:pPr>
    </w:p>
    <w:p w14:paraId="2E66A517" w14:textId="23DB4A0A" w:rsidR="00421987" w:rsidRDefault="00123FC4" w:rsidP="00865731">
      <w:pPr>
        <w:spacing w:line="360" w:lineRule="auto"/>
        <w:ind w:firstLine="720"/>
        <w:jc w:val="both"/>
      </w:pPr>
      <w:r>
        <w:t xml:space="preserve">Because of the foregoing facts, </w:t>
      </w:r>
      <w:r w:rsidR="00421987">
        <w:t xml:space="preserve">the applicant alleges </w:t>
      </w:r>
      <w:r w:rsidR="00693192">
        <w:t xml:space="preserve">that </w:t>
      </w:r>
      <w:r w:rsidR="00421987">
        <w:t>it paid the full judgment debt, together with interest</w:t>
      </w:r>
      <w:r w:rsidR="00504867">
        <w:t>, legal costs and sheriff’s charges</w:t>
      </w:r>
      <w:r w:rsidR="00421987">
        <w:t xml:space="preserve">. However, according to the applicant, the </w:t>
      </w:r>
      <w:r w:rsidR="00102524">
        <w:t xml:space="preserve">first </w:t>
      </w:r>
      <w:r w:rsidR="00421987">
        <w:t xml:space="preserve">respondent continuously threatens to instruct the </w:t>
      </w:r>
      <w:r w:rsidR="00102524">
        <w:t>second</w:t>
      </w:r>
      <w:r w:rsidR="009617B1">
        <w:t xml:space="preserve"> respondent</w:t>
      </w:r>
      <w:r w:rsidR="00421987">
        <w:t xml:space="preserve"> to execute against the applicant pursuant to the same writ of execution dated 4 October 2017. </w:t>
      </w:r>
      <w:r w:rsidR="009617B1">
        <w:t>Furthermore, the applicant submits that the threa</w:t>
      </w:r>
      <w:r w:rsidR="00536442">
        <w:t>t has since been effected as the</w:t>
      </w:r>
      <w:r w:rsidR="009617B1">
        <w:t xml:space="preserve"> </w:t>
      </w:r>
      <w:r w:rsidR="00102524">
        <w:t>second</w:t>
      </w:r>
      <w:r w:rsidR="00536442">
        <w:t xml:space="preserve"> respondent attached</w:t>
      </w:r>
      <w:r w:rsidR="009617B1">
        <w:t xml:space="preserve"> applicant’s assets on 15 January 2020. </w:t>
      </w:r>
      <w:r w:rsidR="00536442">
        <w:t xml:space="preserve">Additionally, the applicant </w:t>
      </w:r>
      <w:r w:rsidR="009617B1">
        <w:t xml:space="preserve">takes issue with the instructing letter </w:t>
      </w:r>
      <w:r w:rsidR="00A233A2">
        <w:t xml:space="preserve">written </w:t>
      </w:r>
      <w:r w:rsidR="009617B1">
        <w:t xml:space="preserve">by the </w:t>
      </w:r>
      <w:r w:rsidR="00102524">
        <w:t>first</w:t>
      </w:r>
      <w:r w:rsidR="009617B1">
        <w:t xml:space="preserve"> respondent to the </w:t>
      </w:r>
      <w:r w:rsidR="00102524">
        <w:t>second</w:t>
      </w:r>
      <w:r w:rsidR="009617B1">
        <w:t xml:space="preserve"> respondent</w:t>
      </w:r>
      <w:r w:rsidR="002C4CAE">
        <w:t>, which letter is</w:t>
      </w:r>
      <w:r w:rsidR="009617B1">
        <w:t xml:space="preserve"> date</w:t>
      </w:r>
      <w:r w:rsidR="002C4CAE">
        <w:t xml:space="preserve">d 13 January 2010 and is </w:t>
      </w:r>
      <w:r w:rsidR="009617B1">
        <w:t xml:space="preserve">unsigned. The applicant submits that cumulatively, this renders the letter ineffective and defective and the attachment unlawful. </w:t>
      </w:r>
      <w:r w:rsidR="00C509F9">
        <w:t>Simply put, the applicant’s contention is that as the debt had been fully paid, there was no basis for persisting with execution.</w:t>
      </w:r>
    </w:p>
    <w:p w14:paraId="2BF6B87E" w14:textId="77777777" w:rsidR="005339A3" w:rsidRDefault="005339A3" w:rsidP="005339A3">
      <w:pPr>
        <w:spacing w:line="360" w:lineRule="auto"/>
        <w:jc w:val="both"/>
      </w:pPr>
    </w:p>
    <w:p w14:paraId="2EB43255" w14:textId="77777777" w:rsidR="00102524" w:rsidRDefault="00102524" w:rsidP="005339A3">
      <w:pPr>
        <w:spacing w:line="360" w:lineRule="auto"/>
        <w:jc w:val="both"/>
        <w:rPr>
          <w:b/>
          <w:iCs/>
        </w:rPr>
      </w:pPr>
    </w:p>
    <w:p w14:paraId="1B76DBB8" w14:textId="77777777" w:rsidR="00865731" w:rsidRDefault="00865731" w:rsidP="005339A3">
      <w:pPr>
        <w:spacing w:line="360" w:lineRule="auto"/>
        <w:jc w:val="both"/>
        <w:rPr>
          <w:b/>
          <w:iCs/>
        </w:rPr>
      </w:pPr>
    </w:p>
    <w:p w14:paraId="1A330B4B" w14:textId="00AFDA76" w:rsidR="005339A3" w:rsidRPr="00B8384E" w:rsidRDefault="00C72890" w:rsidP="005339A3">
      <w:pPr>
        <w:spacing w:line="360" w:lineRule="auto"/>
        <w:jc w:val="both"/>
        <w:rPr>
          <w:b/>
          <w:iCs/>
        </w:rPr>
      </w:pPr>
      <w:r>
        <w:rPr>
          <w:b/>
          <w:iCs/>
        </w:rPr>
        <w:lastRenderedPageBreak/>
        <w:t xml:space="preserve">The case for </w:t>
      </w:r>
      <w:r w:rsidR="00102524">
        <w:rPr>
          <w:b/>
          <w:iCs/>
        </w:rPr>
        <w:t>first</w:t>
      </w:r>
      <w:r w:rsidR="005339A3" w:rsidRPr="00B8384E">
        <w:rPr>
          <w:b/>
          <w:iCs/>
        </w:rPr>
        <w:t xml:space="preserve">, </w:t>
      </w:r>
      <w:r w:rsidR="00102524">
        <w:rPr>
          <w:b/>
          <w:iCs/>
        </w:rPr>
        <w:t>third</w:t>
      </w:r>
      <w:r w:rsidR="005339A3" w:rsidRPr="00B8384E">
        <w:rPr>
          <w:b/>
          <w:iCs/>
        </w:rPr>
        <w:t xml:space="preserve"> and </w:t>
      </w:r>
      <w:r w:rsidR="00102524">
        <w:rPr>
          <w:b/>
          <w:iCs/>
        </w:rPr>
        <w:t xml:space="preserve">fourth </w:t>
      </w:r>
      <w:r>
        <w:rPr>
          <w:b/>
          <w:iCs/>
        </w:rPr>
        <w:t>respondents</w:t>
      </w:r>
    </w:p>
    <w:p w14:paraId="57EA2879" w14:textId="0103EC1C" w:rsidR="005339A3" w:rsidRDefault="005339A3" w:rsidP="005339A3">
      <w:pPr>
        <w:spacing w:line="360" w:lineRule="auto"/>
        <w:jc w:val="both"/>
      </w:pPr>
      <w:r>
        <w:tab/>
        <w:t xml:space="preserve">The </w:t>
      </w:r>
      <w:r w:rsidR="00102524">
        <w:t>first</w:t>
      </w:r>
      <w:r>
        <w:t xml:space="preserve">, </w:t>
      </w:r>
      <w:r w:rsidR="00102524">
        <w:t>third</w:t>
      </w:r>
      <w:r>
        <w:t xml:space="preserve"> and </w:t>
      </w:r>
      <w:r w:rsidR="00102524">
        <w:t>fourth</w:t>
      </w:r>
      <w:r>
        <w:t xml:space="preserve"> respondents filed their consent to the order sought on condit</w:t>
      </w:r>
      <w:r w:rsidR="004C5B17">
        <w:t>ion that no order as to costs was</w:t>
      </w:r>
      <w:r>
        <w:t xml:space="preserve"> made against them. </w:t>
      </w:r>
    </w:p>
    <w:p w14:paraId="075D3AF6" w14:textId="1BE84808" w:rsidR="005339A3" w:rsidRPr="00822DC3" w:rsidRDefault="005339A3" w:rsidP="005339A3">
      <w:pPr>
        <w:spacing w:line="360" w:lineRule="auto"/>
        <w:jc w:val="both"/>
        <w:rPr>
          <w:b/>
          <w:sz w:val="16"/>
          <w:szCs w:val="16"/>
        </w:rPr>
      </w:pPr>
    </w:p>
    <w:p w14:paraId="3C4AAAD8" w14:textId="3CE8AD58" w:rsidR="005339A3" w:rsidRPr="00B8384E" w:rsidRDefault="00C72890" w:rsidP="005339A3">
      <w:pPr>
        <w:spacing w:line="360" w:lineRule="auto"/>
        <w:jc w:val="both"/>
        <w:rPr>
          <w:b/>
          <w:iCs/>
        </w:rPr>
      </w:pPr>
      <w:r>
        <w:rPr>
          <w:b/>
          <w:iCs/>
        </w:rPr>
        <w:t xml:space="preserve">The case for </w:t>
      </w:r>
      <w:r w:rsidR="00102524">
        <w:rPr>
          <w:b/>
          <w:iCs/>
        </w:rPr>
        <w:t>sixth,</w:t>
      </w:r>
      <w:r w:rsidR="0059557B" w:rsidRPr="00B8384E">
        <w:rPr>
          <w:b/>
          <w:iCs/>
        </w:rPr>
        <w:t xml:space="preserve"> </w:t>
      </w:r>
      <w:r w:rsidR="00102524">
        <w:rPr>
          <w:b/>
          <w:iCs/>
        </w:rPr>
        <w:t>seventh</w:t>
      </w:r>
      <w:r w:rsidR="0059557B" w:rsidRPr="00B8384E">
        <w:rPr>
          <w:b/>
          <w:iCs/>
        </w:rPr>
        <w:t xml:space="preserve"> and </w:t>
      </w:r>
      <w:r w:rsidR="00102524">
        <w:rPr>
          <w:b/>
          <w:iCs/>
        </w:rPr>
        <w:t xml:space="preserve">eighth </w:t>
      </w:r>
      <w:r>
        <w:rPr>
          <w:b/>
          <w:iCs/>
        </w:rPr>
        <w:t>respondents</w:t>
      </w:r>
    </w:p>
    <w:p w14:paraId="1ED6F29C" w14:textId="31BDF0ED" w:rsidR="00B53561" w:rsidRDefault="0059557B" w:rsidP="005339A3">
      <w:pPr>
        <w:spacing w:line="360" w:lineRule="auto"/>
        <w:jc w:val="both"/>
      </w:pPr>
      <w:r>
        <w:tab/>
        <w:t xml:space="preserve">In essence, the </w:t>
      </w:r>
      <w:r w:rsidR="00102524">
        <w:t>sixth</w:t>
      </w:r>
      <w:r>
        <w:t xml:space="preserve"> to</w:t>
      </w:r>
      <w:r w:rsidR="00102524">
        <w:t xml:space="preserve"> eighth</w:t>
      </w:r>
      <w:r w:rsidR="00384533">
        <w:t xml:space="preserve"> respondents denied</w:t>
      </w:r>
      <w:r>
        <w:t xml:space="preserve"> that the writ of execution was satisfied. The</w:t>
      </w:r>
      <w:r w:rsidR="00384533">
        <w:t>y contended as I will now set out. O</w:t>
      </w:r>
      <w:r>
        <w:t xml:space="preserve">n 4 December 2018, the </w:t>
      </w:r>
      <w:r w:rsidR="00102524">
        <w:t>sixth</w:t>
      </w:r>
      <w:r>
        <w:t xml:space="preserve">, </w:t>
      </w:r>
      <w:r w:rsidR="00102524">
        <w:t>seventh</w:t>
      </w:r>
      <w:r>
        <w:t xml:space="preserve"> and</w:t>
      </w:r>
      <w:r w:rsidR="00102524">
        <w:t xml:space="preserve"> eighth</w:t>
      </w:r>
      <w:r>
        <w:t xml:space="preserve"> respondents on one hand</w:t>
      </w:r>
      <w:r w:rsidR="00822DC3">
        <w:t>,</w:t>
      </w:r>
      <w:r>
        <w:t xml:space="preserve"> and </w:t>
      </w:r>
      <w:r w:rsidR="001E62B3">
        <w:t xml:space="preserve">the </w:t>
      </w:r>
      <w:r w:rsidR="00102524">
        <w:t>first</w:t>
      </w:r>
      <w:r>
        <w:t xml:space="preserve">, </w:t>
      </w:r>
      <w:r w:rsidR="00102524">
        <w:t xml:space="preserve">third </w:t>
      </w:r>
      <w:r>
        <w:t xml:space="preserve">and </w:t>
      </w:r>
      <w:r w:rsidR="00102524">
        <w:t xml:space="preserve">fourth </w:t>
      </w:r>
      <w:r>
        <w:t>respondent</w:t>
      </w:r>
      <w:r w:rsidR="001E62B3">
        <w:t>s</w:t>
      </w:r>
      <w:r>
        <w:t xml:space="preserve"> on the other hand entered into a deed of settlement regarding the entitlement of either party to the sums of money that applicant was ordered to pay under HH 619/19. According to the respondents, in terms of the Deed of Settlement, the </w:t>
      </w:r>
      <w:r w:rsidR="00102524">
        <w:t>sixth</w:t>
      </w:r>
      <w:r>
        <w:t xml:space="preserve">, </w:t>
      </w:r>
      <w:r w:rsidR="00102524">
        <w:t>seventh</w:t>
      </w:r>
      <w:r>
        <w:t xml:space="preserve"> and </w:t>
      </w:r>
      <w:r w:rsidR="00102524">
        <w:t xml:space="preserve">eighth </w:t>
      </w:r>
      <w:r>
        <w:t xml:space="preserve">respondents became interested parties in the payment of the judgment debt as if </w:t>
      </w:r>
      <w:r w:rsidR="003E2C8E">
        <w:t xml:space="preserve">they were stated therein as </w:t>
      </w:r>
      <w:r>
        <w:t>judgment creditor</w:t>
      </w:r>
      <w:r w:rsidR="001E62B3">
        <w:t>s</w:t>
      </w:r>
      <w:r w:rsidR="008624B4">
        <w:t>. The r</w:t>
      </w:r>
      <w:r w:rsidR="004D3E6A">
        <w:t>espondents submit</w:t>
      </w:r>
      <w:r>
        <w:t xml:space="preserve"> tha</w:t>
      </w:r>
      <w:r w:rsidR="00BE4F11">
        <w:t>t applicant’s associate company (</w:t>
      </w:r>
      <w:r>
        <w:t>Marange Resources (Private) Limited</w:t>
      </w:r>
      <w:r w:rsidR="00BE4F11">
        <w:t>)</w:t>
      </w:r>
      <w:r>
        <w:t xml:space="preserve"> was notified of this Deed of </w:t>
      </w:r>
      <w:r w:rsidR="004D3E6A">
        <w:t>S</w:t>
      </w:r>
      <w:r>
        <w:t>ettleme</w:t>
      </w:r>
      <w:r w:rsidR="00665F32">
        <w:t xml:space="preserve">nt. On 25 February 2019, </w:t>
      </w:r>
      <w:r w:rsidR="003E6571" w:rsidRPr="00102524">
        <w:rPr>
          <w:i/>
        </w:rPr>
        <w:t xml:space="preserve">Mawadze &amp; </w:t>
      </w:r>
      <w:r w:rsidR="00624809" w:rsidRPr="00102524">
        <w:rPr>
          <w:i/>
        </w:rPr>
        <w:t>Mujaya</w:t>
      </w:r>
      <w:r w:rsidR="00624809">
        <w:t xml:space="preserve"> </w:t>
      </w:r>
      <w:r w:rsidR="003E6571">
        <w:t xml:space="preserve">(as representatives of the </w:t>
      </w:r>
      <w:r w:rsidR="00102524">
        <w:t>first</w:t>
      </w:r>
      <w:r w:rsidR="003E6571">
        <w:t xml:space="preserve">, </w:t>
      </w:r>
      <w:r w:rsidR="00102524">
        <w:t>third</w:t>
      </w:r>
      <w:r w:rsidR="003E6571">
        <w:t xml:space="preserve"> and </w:t>
      </w:r>
      <w:r w:rsidR="00102524">
        <w:t>fourth</w:t>
      </w:r>
      <w:r w:rsidR="003E6571">
        <w:t xml:space="preserve"> respondents) </w:t>
      </w:r>
      <w:r w:rsidR="00624809">
        <w:t>a</w:t>
      </w:r>
      <w:r w:rsidR="00665F32">
        <w:t>nd</w:t>
      </w:r>
      <w:r w:rsidR="003E6571">
        <w:t xml:space="preserve"> </w:t>
      </w:r>
      <w:r w:rsidR="003E6571" w:rsidRPr="00102524">
        <w:rPr>
          <w:i/>
        </w:rPr>
        <w:t>Thompson Stevenson &amp;</w:t>
      </w:r>
      <w:r w:rsidR="00624809" w:rsidRPr="00102524">
        <w:rPr>
          <w:i/>
        </w:rPr>
        <w:t xml:space="preserve"> Associates</w:t>
      </w:r>
      <w:r w:rsidR="003E6571">
        <w:t xml:space="preserve"> (</w:t>
      </w:r>
      <w:r w:rsidR="00624809">
        <w:t xml:space="preserve">as </w:t>
      </w:r>
      <w:r w:rsidR="003E6571">
        <w:t xml:space="preserve">lawyers for the </w:t>
      </w:r>
      <w:r w:rsidR="00102524">
        <w:t>sixth</w:t>
      </w:r>
      <w:r w:rsidR="00624809">
        <w:t xml:space="preserve">, </w:t>
      </w:r>
      <w:r w:rsidR="00102524">
        <w:t>seventh</w:t>
      </w:r>
      <w:r w:rsidR="00624809">
        <w:t xml:space="preserve"> and </w:t>
      </w:r>
      <w:r w:rsidR="00102524">
        <w:t>eighth</w:t>
      </w:r>
      <w:r w:rsidR="00624809">
        <w:t xml:space="preserve"> respondents</w:t>
      </w:r>
      <w:r w:rsidR="003E6571">
        <w:t>),</w:t>
      </w:r>
      <w:r w:rsidR="00624809">
        <w:t xml:space="preserve"> acting upon the Deed of settlement an</w:t>
      </w:r>
      <w:r w:rsidR="003E6571">
        <w:t>d n</w:t>
      </w:r>
      <w:r w:rsidR="00624809">
        <w:t>otices of attachment ca</w:t>
      </w:r>
      <w:r w:rsidR="003E6571">
        <w:t>used the removal of property of the a</w:t>
      </w:r>
      <w:r w:rsidR="00624809">
        <w:t>pplican</w:t>
      </w:r>
      <w:r w:rsidR="00325008">
        <w:t>t. In a bid to settle the debt</w:t>
      </w:r>
      <w:r w:rsidR="00624809">
        <w:t xml:space="preserve">, </w:t>
      </w:r>
      <w:r w:rsidR="00325008">
        <w:t xml:space="preserve">the </w:t>
      </w:r>
      <w:r w:rsidR="00624809">
        <w:t xml:space="preserve">applicant’s then CEO wrote a letter to the judgment debtors offering </w:t>
      </w:r>
      <w:r w:rsidR="00325008">
        <w:t xml:space="preserve">to settle the debt partly in cash, with the balance being paid through diamonds. This offer </w:t>
      </w:r>
      <w:r w:rsidR="00624809">
        <w:t>was accepted by both parties and the applicant became aware that the judgmen</w:t>
      </w:r>
      <w:r w:rsidR="00102524">
        <w:t>t debt was payable to both the first</w:t>
      </w:r>
      <w:r w:rsidR="00624809">
        <w:t xml:space="preserve">, </w:t>
      </w:r>
      <w:r w:rsidR="00102524">
        <w:t>third</w:t>
      </w:r>
      <w:r w:rsidR="00624809">
        <w:t xml:space="preserve"> and </w:t>
      </w:r>
      <w:r w:rsidR="00102524">
        <w:t xml:space="preserve">fourth </w:t>
      </w:r>
      <w:r w:rsidR="00B53561">
        <w:t>respondents on</w:t>
      </w:r>
      <w:r w:rsidR="00624809">
        <w:t xml:space="preserve"> one hand</w:t>
      </w:r>
      <w:r w:rsidR="00421FB1">
        <w:t>,</w:t>
      </w:r>
      <w:r w:rsidR="00624809">
        <w:t xml:space="preserve"> and </w:t>
      </w:r>
      <w:r w:rsidR="00102524">
        <w:t xml:space="preserve">sixth, seventh </w:t>
      </w:r>
      <w:r w:rsidR="00624809">
        <w:t xml:space="preserve">and </w:t>
      </w:r>
      <w:r w:rsidR="00102524">
        <w:t>eighth</w:t>
      </w:r>
      <w:r w:rsidR="00421FB1">
        <w:t xml:space="preserve"> respondents on the other.</w:t>
      </w:r>
      <w:r w:rsidR="00B53561">
        <w:t xml:space="preserve"> </w:t>
      </w:r>
      <w:r w:rsidR="002841DE">
        <w:t>As a result, t</w:t>
      </w:r>
      <w:r w:rsidR="00B53561">
        <w:t>he applicant undertook to pay through accoun</w:t>
      </w:r>
      <w:r w:rsidR="00665F32">
        <w:t xml:space="preserve">ts nominated by </w:t>
      </w:r>
      <w:r w:rsidR="002841DE" w:rsidRPr="00102524">
        <w:rPr>
          <w:i/>
        </w:rPr>
        <w:t>Mawadze &amp;</w:t>
      </w:r>
      <w:r w:rsidR="00B53561" w:rsidRPr="00102524">
        <w:rPr>
          <w:i/>
        </w:rPr>
        <w:t xml:space="preserve"> Mujaya</w:t>
      </w:r>
      <w:r w:rsidR="00B53561">
        <w:t xml:space="preserve"> and to another account </w:t>
      </w:r>
      <w:r w:rsidR="00665F32">
        <w:t xml:space="preserve">nominated by </w:t>
      </w:r>
      <w:r w:rsidR="002841DE" w:rsidRPr="00102524">
        <w:rPr>
          <w:i/>
        </w:rPr>
        <w:t>Thompson Stevenson &amp;</w:t>
      </w:r>
      <w:r w:rsidR="00B53561" w:rsidRPr="00102524">
        <w:rPr>
          <w:i/>
        </w:rPr>
        <w:t xml:space="preserve"> Associates</w:t>
      </w:r>
      <w:r w:rsidR="00B53561">
        <w:t xml:space="preserve">. </w:t>
      </w:r>
    </w:p>
    <w:p w14:paraId="26C5727D" w14:textId="6615468C" w:rsidR="00811BD9" w:rsidRDefault="00B53561" w:rsidP="00811BD9">
      <w:pPr>
        <w:spacing w:line="360" w:lineRule="auto"/>
        <w:jc w:val="both"/>
      </w:pPr>
      <w:r>
        <w:tab/>
        <w:t xml:space="preserve">The </w:t>
      </w:r>
      <w:r w:rsidR="00102524">
        <w:t>sixth</w:t>
      </w:r>
      <w:r>
        <w:t xml:space="preserve">, </w:t>
      </w:r>
      <w:r w:rsidR="00102524">
        <w:t xml:space="preserve">seventh </w:t>
      </w:r>
      <w:r>
        <w:t xml:space="preserve">and </w:t>
      </w:r>
      <w:r w:rsidR="00102524">
        <w:t>eighth</w:t>
      </w:r>
      <w:r w:rsidR="000F5DA8">
        <w:t xml:space="preserve"> respondents contend</w:t>
      </w:r>
      <w:r>
        <w:t xml:space="preserve"> that the applicant failed to settle the out</w:t>
      </w:r>
      <w:r w:rsidR="000F5DA8">
        <w:t>standing sums in cash or in terms of their undertaking</w:t>
      </w:r>
      <w:r w:rsidR="00E33C44">
        <w:t>. A</w:t>
      </w:r>
      <w:r>
        <w:t xml:space="preserve">rrangements were </w:t>
      </w:r>
      <w:r w:rsidR="00F3483E">
        <w:t xml:space="preserve">then </w:t>
      </w:r>
      <w:r>
        <w:t xml:space="preserve">made to allow a nominee of the judgment creditors to participate in a diamond auction that was held by the Minerals Marketing Corporation. </w:t>
      </w:r>
      <w:r w:rsidR="00F3483E">
        <w:t xml:space="preserve">The </w:t>
      </w:r>
      <w:r w:rsidR="00102524">
        <w:t>first</w:t>
      </w:r>
      <w:r w:rsidR="00343BE6">
        <w:t xml:space="preserve">, </w:t>
      </w:r>
      <w:r w:rsidR="00102524">
        <w:t>third</w:t>
      </w:r>
      <w:r w:rsidR="00343BE6">
        <w:t xml:space="preserve"> and </w:t>
      </w:r>
      <w:r w:rsidR="00102524">
        <w:t xml:space="preserve">fourth </w:t>
      </w:r>
      <w:r w:rsidR="00343BE6">
        <w:t xml:space="preserve">respondent and the </w:t>
      </w:r>
      <w:r w:rsidR="00102524">
        <w:t>sixth</w:t>
      </w:r>
      <w:r w:rsidR="00343BE6">
        <w:t xml:space="preserve">, </w:t>
      </w:r>
      <w:r w:rsidR="00102524">
        <w:t>seventh</w:t>
      </w:r>
      <w:r w:rsidR="00343BE6">
        <w:t xml:space="preserve"> and </w:t>
      </w:r>
      <w:r w:rsidR="00102524">
        <w:t>eighth</w:t>
      </w:r>
      <w:r w:rsidR="00865731">
        <w:t xml:space="preserve"> </w:t>
      </w:r>
      <w:r w:rsidR="00343BE6">
        <w:t>respondents join</w:t>
      </w:r>
      <w:r w:rsidR="00477971">
        <w:t xml:space="preserve">tly nominated a firm under the </w:t>
      </w:r>
      <w:r w:rsidR="00343BE6">
        <w:t>name Montu Diam FCZ to participate in the auction. The respondents allege that the outstanding sums would be settled by purchase of diamonds and the applicant would be fully responsible for all the costs of the conversion of diamonds to cash. This undertaking and liability are acknowledge</w:t>
      </w:r>
      <w:r w:rsidR="00477971">
        <w:t>d and confirmed by</w:t>
      </w:r>
      <w:r w:rsidR="008C621A">
        <w:t xml:space="preserve"> the</w:t>
      </w:r>
      <w:r w:rsidR="00477971">
        <w:t xml:space="preserve"> applicant. </w:t>
      </w:r>
      <w:r w:rsidR="00477971">
        <w:lastRenderedPageBreak/>
        <w:t xml:space="preserve">Between 18 and </w:t>
      </w:r>
      <w:r w:rsidR="008C621A">
        <w:t>28 March 2019, an arrangement was made</w:t>
      </w:r>
      <w:r w:rsidR="00343BE6">
        <w:t xml:space="preserve"> for the judgment creditors to view and purchase diamo</w:t>
      </w:r>
      <w:r w:rsidR="00811BD9">
        <w:t xml:space="preserve">nds of Boart quality. </w:t>
      </w:r>
      <w:r w:rsidR="00F868D4">
        <w:t>A package</w:t>
      </w:r>
      <w:r w:rsidR="00343BE6">
        <w:t xml:space="preserve"> of 407 815.30 carats was selected and it was agreed between the parties that the package was worth US$937, 97</w:t>
      </w:r>
      <w:r w:rsidR="00F868D4">
        <w:t xml:space="preserve">5.19. Also agreed was that the package would be </w:t>
      </w:r>
      <w:r w:rsidR="00434B46">
        <w:t xml:space="preserve">released to </w:t>
      </w:r>
      <w:r w:rsidR="00343BE6">
        <w:t xml:space="preserve">Montu Diam at </w:t>
      </w:r>
      <w:r w:rsidR="005F26D3">
        <w:t xml:space="preserve">the joint instruction of </w:t>
      </w:r>
      <w:r w:rsidR="00F868D4" w:rsidRPr="00F631B7">
        <w:rPr>
          <w:i/>
        </w:rPr>
        <w:t xml:space="preserve">Mawadze &amp; Mujaya and Thompson Stevenson &amp; </w:t>
      </w:r>
      <w:r w:rsidR="00343BE6" w:rsidRPr="00F631B7">
        <w:rPr>
          <w:i/>
        </w:rPr>
        <w:t>Associates</w:t>
      </w:r>
      <w:r w:rsidR="00343BE6">
        <w:t xml:space="preserve">. Subsequent to the sealing of the first package of 407 815.30 carats </w:t>
      </w:r>
      <w:r w:rsidR="00805596">
        <w:t xml:space="preserve">worth of diamonds, MMCZ facilitated the viewing of another package of 407 815.30 carats worth of diamonds whose value was not agreed. </w:t>
      </w:r>
    </w:p>
    <w:p w14:paraId="52CFEADE" w14:textId="77933997" w:rsidR="00982686" w:rsidRDefault="00805596" w:rsidP="00811BD9">
      <w:pPr>
        <w:spacing w:line="360" w:lineRule="auto"/>
        <w:ind w:firstLine="720"/>
        <w:jc w:val="both"/>
      </w:pPr>
      <w:r>
        <w:t>On 15 August 20219, the respondents’ legal practitioners wrote to the MMCZ</w:t>
      </w:r>
      <w:r w:rsidR="00AB4864">
        <w:t xml:space="preserve"> regarding the export of diamonds. N</w:t>
      </w:r>
      <w:r>
        <w:t>o communication was received from any</w:t>
      </w:r>
      <w:r w:rsidR="00AB4864">
        <w:t xml:space="preserve"> of the parties </w:t>
      </w:r>
      <w:r>
        <w:t xml:space="preserve">until a plea was filed in case number HC 4389/19 in which the applicant pleaded to have paid the sum of US$ 1 280 000 to the </w:t>
      </w:r>
      <w:r w:rsidR="00F631B7">
        <w:t>first</w:t>
      </w:r>
      <w:r>
        <w:t xml:space="preserve"> respondent. It is respondents’ case that the applicant never produced any proof that the said money was paid. It is on this basis that the respondents claim that the applicant has not paid what it owes to the </w:t>
      </w:r>
      <w:r w:rsidR="00F631B7">
        <w:t>sixth</w:t>
      </w:r>
      <w:r>
        <w:t xml:space="preserve">, </w:t>
      </w:r>
      <w:r w:rsidR="00F631B7">
        <w:t xml:space="preserve">seventh </w:t>
      </w:r>
      <w:r>
        <w:t xml:space="preserve">and </w:t>
      </w:r>
      <w:r w:rsidR="00F631B7">
        <w:t xml:space="preserve">eighth </w:t>
      </w:r>
      <w:r>
        <w:t xml:space="preserve">respondents in terms of the compromise agreement that it entered into and which it has acknowledged, and in terms of the deed of settlement between the parties, which was meant to facilitate the execution of the writ of execution issued in pursuant to HH 619/17. </w:t>
      </w:r>
      <w:r w:rsidR="00982686">
        <w:t xml:space="preserve">The respondents took note of the fact that the </w:t>
      </w:r>
      <w:r w:rsidR="00F631B7">
        <w:t>first, third</w:t>
      </w:r>
      <w:r w:rsidR="00982686">
        <w:t xml:space="preserve"> and </w:t>
      </w:r>
      <w:r w:rsidR="00F631B7">
        <w:t>fourth</w:t>
      </w:r>
      <w:r w:rsidR="00982686">
        <w:t xml:space="preserve"> respondents consented to the judgm</w:t>
      </w:r>
      <w:r w:rsidR="00445DF1">
        <w:t>ent demonstrating that they had</w:t>
      </w:r>
      <w:r w:rsidR="00B801A0">
        <w:t xml:space="preserve"> been paid the alleged sums. It was submitted that the respondents</w:t>
      </w:r>
      <w:r w:rsidR="00982686">
        <w:t xml:space="preserve"> kept </w:t>
      </w:r>
      <w:r w:rsidR="00B801A0">
        <w:t>the money they received, yet they knew that 50 percent of the</w:t>
      </w:r>
      <w:r w:rsidR="00982686">
        <w:t xml:space="preserve"> </w:t>
      </w:r>
      <w:r w:rsidR="00B801A0">
        <w:t>money should have been paid to</w:t>
      </w:r>
      <w:r w:rsidR="00982686">
        <w:t xml:space="preserve"> the </w:t>
      </w:r>
      <w:r w:rsidR="00F631B7">
        <w:t>sixth</w:t>
      </w:r>
      <w:r w:rsidR="00982686">
        <w:t xml:space="preserve">, </w:t>
      </w:r>
      <w:r w:rsidR="00F631B7">
        <w:t>seventh</w:t>
      </w:r>
      <w:r w:rsidR="00982686">
        <w:t xml:space="preserve"> and </w:t>
      </w:r>
      <w:r w:rsidR="00F631B7">
        <w:t>eighth</w:t>
      </w:r>
      <w:r w:rsidR="00982686">
        <w:t xml:space="preserve"> respondent. </w:t>
      </w:r>
    </w:p>
    <w:p w14:paraId="707A3461" w14:textId="1DEBD67A" w:rsidR="00982686" w:rsidRDefault="006B6242" w:rsidP="005339A3">
      <w:pPr>
        <w:spacing w:line="360" w:lineRule="auto"/>
        <w:jc w:val="both"/>
      </w:pPr>
      <w:r>
        <w:tab/>
        <w:t xml:space="preserve">Together with </w:t>
      </w:r>
      <w:r w:rsidR="00982686">
        <w:t>their opposing papers, the respondents filed a c</w:t>
      </w:r>
      <w:r w:rsidR="00C157C8">
        <w:t>ounter application against the a</w:t>
      </w:r>
      <w:r w:rsidR="00982686">
        <w:t xml:space="preserve">pplicant and </w:t>
      </w:r>
      <w:r w:rsidR="00445DF1">
        <w:t xml:space="preserve">the </w:t>
      </w:r>
      <w:r w:rsidR="00F631B7">
        <w:t>first</w:t>
      </w:r>
      <w:r w:rsidR="00982686">
        <w:t xml:space="preserve">, </w:t>
      </w:r>
      <w:r w:rsidR="00F631B7">
        <w:t>third</w:t>
      </w:r>
      <w:r w:rsidR="00982686">
        <w:t xml:space="preserve"> and </w:t>
      </w:r>
      <w:r w:rsidR="00F631B7">
        <w:t>fourth</w:t>
      </w:r>
      <w:r w:rsidR="00982686">
        <w:t xml:space="preserve"> and </w:t>
      </w:r>
      <w:r w:rsidR="00F631B7">
        <w:t xml:space="preserve">ninth </w:t>
      </w:r>
      <w:r>
        <w:t>respondents. Their contention was</w:t>
      </w:r>
      <w:r w:rsidR="00982686">
        <w:t xml:space="preserve"> that they signed a deed of settlement with the </w:t>
      </w:r>
      <w:r w:rsidR="00F631B7">
        <w:t>first</w:t>
      </w:r>
      <w:r w:rsidR="00982686">
        <w:t xml:space="preserve">, </w:t>
      </w:r>
      <w:r w:rsidR="00F631B7">
        <w:t>third</w:t>
      </w:r>
      <w:r w:rsidR="00982686">
        <w:t xml:space="preserve"> and </w:t>
      </w:r>
      <w:r w:rsidR="00F631B7">
        <w:t>fourth</w:t>
      </w:r>
      <w:r w:rsidR="00982686">
        <w:t xml:space="preserve"> respondents on 4 December</w:t>
      </w:r>
      <w:r w:rsidR="006D1302">
        <w:t xml:space="preserve"> 2018. It was submitted that the parties agreed to share equally</w:t>
      </w:r>
      <w:r w:rsidR="00500146">
        <w:t xml:space="preserve"> the proceeds of the </w:t>
      </w:r>
      <w:r w:rsidR="006D1302">
        <w:t xml:space="preserve">judgment debt under HC 3117/17. </w:t>
      </w:r>
      <w:r w:rsidR="00500146">
        <w:t xml:space="preserve">The respondents submit that the deed of settlement created </w:t>
      </w:r>
      <w:r w:rsidR="009A4F06">
        <w:t>two groups of creditors of the a</w:t>
      </w:r>
      <w:r w:rsidR="00500146">
        <w:t>pplica</w:t>
      </w:r>
      <w:r w:rsidR="009A4F06">
        <w:t>nt. In addition, t</w:t>
      </w:r>
      <w:r w:rsidR="00C11056">
        <w:t xml:space="preserve">he respondents aver that the applicant was </w:t>
      </w:r>
      <w:r w:rsidR="00500146">
        <w:t>informed</w:t>
      </w:r>
      <w:r w:rsidR="006911A4">
        <w:t xml:space="preserve"> of the rationale behind</w:t>
      </w:r>
      <w:r w:rsidR="00500146">
        <w:t xml:space="preserve"> the compromise. In the result, the respondents counter-claimed for damage</w:t>
      </w:r>
      <w:r w:rsidR="006911A4">
        <w:t xml:space="preserve">s suffered in the sum </w:t>
      </w:r>
      <w:r w:rsidR="00500146">
        <w:t>of US$ 790 000.00 calculated as follows:</w:t>
      </w:r>
    </w:p>
    <w:p w14:paraId="35D62367" w14:textId="77777777" w:rsidR="00F531AB" w:rsidRPr="00F531AB" w:rsidRDefault="00F531AB" w:rsidP="005339A3">
      <w:pPr>
        <w:spacing w:line="360" w:lineRule="auto"/>
        <w:jc w:val="both"/>
        <w:rPr>
          <w:sz w:val="18"/>
          <w:szCs w:val="18"/>
        </w:rPr>
      </w:pPr>
    </w:p>
    <w:p w14:paraId="0D1ED495" w14:textId="4B6AF976" w:rsidR="00500146" w:rsidRDefault="00500146" w:rsidP="00500146">
      <w:pPr>
        <w:pStyle w:val="ListParagraph"/>
        <w:numPr>
          <w:ilvl w:val="0"/>
          <w:numId w:val="35"/>
        </w:numPr>
        <w:spacing w:line="360" w:lineRule="auto"/>
        <w:jc w:val="both"/>
      </w:pPr>
      <w:r>
        <w:t>50% of the US$ 1 580.000; plus</w:t>
      </w:r>
    </w:p>
    <w:p w14:paraId="766CCCF9" w14:textId="52D60539" w:rsidR="00500146" w:rsidRDefault="00500146" w:rsidP="00500146">
      <w:pPr>
        <w:pStyle w:val="ListParagraph"/>
        <w:numPr>
          <w:ilvl w:val="0"/>
          <w:numId w:val="35"/>
        </w:numPr>
        <w:spacing w:line="360" w:lineRule="auto"/>
        <w:jc w:val="both"/>
      </w:pPr>
      <w:r>
        <w:t>Interest on the sum of US$ 790 000at 5% from 1 June 2019</w:t>
      </w:r>
      <w:r w:rsidR="00F531AB">
        <w:t xml:space="preserve"> to date of payment; and </w:t>
      </w:r>
    </w:p>
    <w:p w14:paraId="4011EE21" w14:textId="2DCB13D6" w:rsidR="00500146" w:rsidRDefault="00500146" w:rsidP="00500146">
      <w:pPr>
        <w:pStyle w:val="ListParagraph"/>
        <w:numPr>
          <w:ilvl w:val="0"/>
          <w:numId w:val="35"/>
        </w:numPr>
        <w:spacing w:line="360" w:lineRule="auto"/>
        <w:jc w:val="both"/>
      </w:pPr>
      <w:r>
        <w:lastRenderedPageBreak/>
        <w:t xml:space="preserve">Costs on a legal practitioner client scale. </w:t>
      </w:r>
    </w:p>
    <w:p w14:paraId="30AA9403" w14:textId="77777777" w:rsidR="00500146" w:rsidRPr="00794DEA" w:rsidRDefault="00500146" w:rsidP="00500146">
      <w:pPr>
        <w:spacing w:line="360" w:lineRule="auto"/>
        <w:jc w:val="both"/>
        <w:rPr>
          <w:sz w:val="18"/>
          <w:szCs w:val="18"/>
        </w:rPr>
      </w:pPr>
    </w:p>
    <w:p w14:paraId="507DA94A" w14:textId="5B7CD00D" w:rsidR="00CB7419" w:rsidRDefault="00BD7190" w:rsidP="00794DEA">
      <w:pPr>
        <w:spacing w:line="360" w:lineRule="auto"/>
        <w:ind w:firstLine="360"/>
        <w:jc w:val="both"/>
      </w:pPr>
      <w:r>
        <w:t xml:space="preserve">The applicant maintained its position that it paid the debt in full. Furthermore, the applicant argued that the judgment which formed the basis of the instant matter </w:t>
      </w:r>
      <w:r w:rsidR="005005A2">
        <w:t xml:space="preserve">(i.e., </w:t>
      </w:r>
      <w:r>
        <w:t>the principal debt</w:t>
      </w:r>
      <w:r w:rsidR="005005A2">
        <w:t>)</w:t>
      </w:r>
      <w:r>
        <w:t xml:space="preserve"> was to be paid </w:t>
      </w:r>
      <w:r w:rsidR="005005A2">
        <w:t xml:space="preserve">to </w:t>
      </w:r>
      <w:r>
        <w:t xml:space="preserve">the </w:t>
      </w:r>
      <w:r w:rsidR="00F631B7">
        <w:t>first</w:t>
      </w:r>
      <w:r>
        <w:t xml:space="preserve">, </w:t>
      </w:r>
      <w:r w:rsidR="00F631B7">
        <w:t>third</w:t>
      </w:r>
      <w:r>
        <w:t xml:space="preserve"> and </w:t>
      </w:r>
      <w:r w:rsidR="00F631B7">
        <w:t xml:space="preserve">fourth </w:t>
      </w:r>
      <w:r w:rsidR="005005A2">
        <w:t>respondents or any</w:t>
      </w:r>
      <w:r w:rsidR="000E12F0">
        <w:t xml:space="preserve"> of them. I</w:t>
      </w:r>
      <w:r>
        <w:t>n opposing the counter-application</w:t>
      </w:r>
      <w:r w:rsidR="000E12F0">
        <w:t>, the applicant</w:t>
      </w:r>
      <w:r w:rsidR="00C85DD9">
        <w:t xml:space="preserve"> denied the</w:t>
      </w:r>
      <w:r>
        <w:t xml:space="preserve"> tripartite compromise a</w:t>
      </w:r>
      <w:r w:rsidR="00C85DD9">
        <w:t xml:space="preserve">greement </w:t>
      </w:r>
      <w:r>
        <w:t xml:space="preserve">alleged by the </w:t>
      </w:r>
      <w:r w:rsidR="00F631B7">
        <w:t>sixth</w:t>
      </w:r>
      <w:r>
        <w:t xml:space="preserve">, </w:t>
      </w:r>
      <w:r w:rsidR="00F631B7">
        <w:t>seventh</w:t>
      </w:r>
      <w:r>
        <w:t xml:space="preserve"> and </w:t>
      </w:r>
      <w:r w:rsidR="00F631B7">
        <w:t>eighth</w:t>
      </w:r>
      <w:r>
        <w:t xml:space="preserve"> resp</w:t>
      </w:r>
      <w:r w:rsidR="00A64256">
        <w:t xml:space="preserve">ondent. It maintained </w:t>
      </w:r>
      <w:r>
        <w:t xml:space="preserve">that the documents referred to by the </w:t>
      </w:r>
      <w:r w:rsidR="00F631B7">
        <w:t>sixth</w:t>
      </w:r>
      <w:r>
        <w:t xml:space="preserve">, </w:t>
      </w:r>
      <w:r w:rsidR="00F631B7">
        <w:t>seventh</w:t>
      </w:r>
      <w:r>
        <w:t xml:space="preserve"> and </w:t>
      </w:r>
      <w:r w:rsidR="00F631B7">
        <w:t>eighth</w:t>
      </w:r>
      <w:r w:rsidR="00A64256">
        <w:t xml:space="preserve"> respondents do not </w:t>
      </w:r>
      <w:r>
        <w:t>give rise to a</w:t>
      </w:r>
      <w:r w:rsidR="00A64256">
        <w:t xml:space="preserve">n inference that parties subsequently </w:t>
      </w:r>
      <w:r>
        <w:t xml:space="preserve">decided to go against </w:t>
      </w:r>
      <w:r w:rsidR="00A64256">
        <w:t>the court order. F</w:t>
      </w:r>
      <w:r>
        <w:t>urther</w:t>
      </w:r>
      <w:r w:rsidR="00A64256">
        <w:t>, the applicant</w:t>
      </w:r>
      <w:r>
        <w:t xml:space="preserve"> noted that</w:t>
      </w:r>
      <w:r w:rsidR="00A64256">
        <w:t xml:space="preserve">, even assuming that a </w:t>
      </w:r>
      <w:r>
        <w:t>compr</w:t>
      </w:r>
      <w:r w:rsidR="00A64256">
        <w:t>omise agreement was reached</w:t>
      </w:r>
      <w:r w:rsidR="000A6962">
        <w:t xml:space="preserve">, the agreement </w:t>
      </w:r>
      <w:r>
        <w:t>was ill</w:t>
      </w:r>
      <w:r w:rsidR="000A6962">
        <w:t xml:space="preserve">egal since it went against </w:t>
      </w:r>
      <w:r>
        <w:t>the directions g</w:t>
      </w:r>
      <w:r w:rsidR="000A6962">
        <w:t>iven by the court on was to receive payment</w:t>
      </w:r>
      <w:r>
        <w:t xml:space="preserve">. </w:t>
      </w:r>
      <w:r w:rsidR="00CB7419">
        <w:t>On the question of the deed of settlement, the applicant sta</w:t>
      </w:r>
      <w:r w:rsidR="00FF618D">
        <w:t xml:space="preserve">tes that the deed </w:t>
      </w:r>
      <w:r w:rsidR="0007106A">
        <w:t xml:space="preserve">was between the respondents, </w:t>
      </w:r>
      <w:r w:rsidR="00CB7419">
        <w:t xml:space="preserve">and </w:t>
      </w:r>
      <w:r w:rsidR="0007106A">
        <w:t>the applicant was not a party to it.</w:t>
      </w:r>
    </w:p>
    <w:p w14:paraId="11DAB582" w14:textId="79DECC22" w:rsidR="00CB7419" w:rsidRDefault="00EB4D36" w:rsidP="00BD7190">
      <w:pPr>
        <w:spacing w:line="360" w:lineRule="auto"/>
        <w:ind w:firstLine="360"/>
        <w:jc w:val="both"/>
      </w:pPr>
      <w:r>
        <w:t xml:space="preserve">The </w:t>
      </w:r>
      <w:r w:rsidR="00F631B7">
        <w:t>first</w:t>
      </w:r>
      <w:r>
        <w:t xml:space="preserve">, </w:t>
      </w:r>
      <w:r w:rsidR="00F631B7">
        <w:t>third</w:t>
      </w:r>
      <w:r>
        <w:t xml:space="preserve">, and </w:t>
      </w:r>
      <w:r w:rsidR="00F631B7">
        <w:t>fourth</w:t>
      </w:r>
      <w:r w:rsidR="00455B10">
        <w:t xml:space="preserve"> respondent opposed</w:t>
      </w:r>
      <w:r>
        <w:t xml:space="preserve"> the counter-application on the basis that it is no</w:t>
      </w:r>
      <w:r w:rsidR="000D47B9">
        <w:t xml:space="preserve">t </w:t>
      </w:r>
      <w:r>
        <w:t xml:space="preserve">permissible in terms </w:t>
      </w:r>
      <w:r w:rsidR="00C3678E">
        <w:t>of the rules of this court for one</w:t>
      </w:r>
      <w:r>
        <w:t xml:space="preserve"> respondent t</w:t>
      </w:r>
      <w:r w:rsidR="00C3678E">
        <w:t>o counter-claim against another</w:t>
      </w:r>
      <w:r w:rsidR="00F94573">
        <w:t xml:space="preserve"> respondent. I</w:t>
      </w:r>
      <w:r>
        <w:t xml:space="preserve"> agree with the </w:t>
      </w:r>
      <w:r w:rsidR="00F631B7">
        <w:t>first</w:t>
      </w:r>
      <w:r>
        <w:t xml:space="preserve">, </w:t>
      </w:r>
      <w:r w:rsidR="00F631B7">
        <w:t>third</w:t>
      </w:r>
      <w:r>
        <w:t xml:space="preserve">, and </w:t>
      </w:r>
      <w:r w:rsidR="00F631B7">
        <w:t xml:space="preserve">fourth </w:t>
      </w:r>
      <w:r w:rsidR="003611B6">
        <w:t>respondents’</w:t>
      </w:r>
      <w:r w:rsidR="000D47B9">
        <w:t xml:space="preserve"> observations. </w:t>
      </w:r>
      <w:r>
        <w:t xml:space="preserve"> </w:t>
      </w:r>
      <w:r w:rsidR="00F94573">
        <w:t>Rule 229A of the</w:t>
      </w:r>
      <w:r w:rsidR="000D47B9">
        <w:t xml:space="preserve"> repealed High Court Rules, 1971 provided as follows:</w:t>
      </w:r>
    </w:p>
    <w:p w14:paraId="27B6751E" w14:textId="77777777" w:rsidR="00845018" w:rsidRPr="00845018" w:rsidRDefault="00845018" w:rsidP="00BD7190">
      <w:pPr>
        <w:spacing w:line="360" w:lineRule="auto"/>
        <w:ind w:firstLine="360"/>
        <w:jc w:val="both"/>
        <w:rPr>
          <w:sz w:val="12"/>
          <w:szCs w:val="12"/>
        </w:rPr>
      </w:pPr>
    </w:p>
    <w:p w14:paraId="3E672921" w14:textId="428B00F7" w:rsidR="000D47B9" w:rsidRPr="00845018" w:rsidRDefault="000D47B9" w:rsidP="00845018">
      <w:pPr>
        <w:ind w:left="720"/>
        <w:jc w:val="both"/>
        <w:rPr>
          <w:sz w:val="22"/>
          <w:szCs w:val="22"/>
        </w:rPr>
      </w:pPr>
      <w:r w:rsidRPr="00845018">
        <w:rPr>
          <w:sz w:val="22"/>
          <w:szCs w:val="22"/>
        </w:rPr>
        <w:t xml:space="preserve">“(1) Where a respondent files a notice of opposition and opposing affidavit, he may file, together with those documents, a counter-application against the applicant in the form, </w:t>
      </w:r>
      <w:r w:rsidRPr="00F94573">
        <w:rPr>
          <w:i/>
          <w:sz w:val="22"/>
          <w:szCs w:val="22"/>
        </w:rPr>
        <w:t>mutatis mutandis</w:t>
      </w:r>
      <w:r w:rsidRPr="00845018">
        <w:rPr>
          <w:sz w:val="22"/>
          <w:szCs w:val="22"/>
        </w:rPr>
        <w:t>, of a court application or a chamber application, whichever is appropriate.”</w:t>
      </w:r>
    </w:p>
    <w:p w14:paraId="47DAA3A8" w14:textId="77777777" w:rsidR="003611B6" w:rsidRDefault="003611B6" w:rsidP="003611B6">
      <w:pPr>
        <w:spacing w:line="360" w:lineRule="auto"/>
        <w:jc w:val="both"/>
      </w:pPr>
    </w:p>
    <w:p w14:paraId="679D2DFA" w14:textId="7FC96906" w:rsidR="00EB4D36" w:rsidRDefault="003611B6" w:rsidP="00845018">
      <w:pPr>
        <w:spacing w:line="360" w:lineRule="auto"/>
        <w:jc w:val="both"/>
      </w:pPr>
      <w:r>
        <w:tab/>
        <w:t xml:space="preserve">The above Rule is clear and unambiguous as it provides that a counter-claim lies against the applicant and not against a fellow respondent. It is settled law that an opposition to an application on motion is a shield of defence </w:t>
      </w:r>
      <w:r w:rsidR="00F94573">
        <w:t xml:space="preserve">and </w:t>
      </w:r>
      <w:r>
        <w:t xml:space="preserve">not a sword of attack against the applicant. See </w:t>
      </w:r>
      <w:r w:rsidR="00F94573">
        <w:t>(</w:t>
      </w:r>
      <w:r w:rsidRPr="003611B6">
        <w:rPr>
          <w:i/>
          <w:iCs/>
        </w:rPr>
        <w:t xml:space="preserve">Mwayera </w:t>
      </w:r>
      <w:r w:rsidRPr="00F631B7">
        <w:rPr>
          <w:iCs/>
        </w:rPr>
        <w:t>v</w:t>
      </w:r>
      <w:r w:rsidR="00F631B7">
        <w:rPr>
          <w:i/>
          <w:iCs/>
        </w:rPr>
        <w:t xml:space="preserve"> </w:t>
      </w:r>
      <w:r w:rsidRPr="003611B6">
        <w:rPr>
          <w:i/>
          <w:iCs/>
        </w:rPr>
        <w:t>Chivizhe and Ors</w:t>
      </w:r>
      <w:r>
        <w:t xml:space="preserve"> SC 16/16</w:t>
      </w:r>
      <w:r w:rsidR="00F94573">
        <w:t xml:space="preserve">). Putting this in context, if a respondent wishes to claim </w:t>
      </w:r>
      <w:r>
        <w:t>against the applicant</w:t>
      </w:r>
      <w:r w:rsidR="00F94573">
        <w:t>,</w:t>
      </w:r>
      <w:r>
        <w:t xml:space="preserve"> </w:t>
      </w:r>
      <w:r w:rsidR="00F94573">
        <w:t>he/she/it must file</w:t>
      </w:r>
      <w:r>
        <w:t xml:space="preserve"> a counter-application in ter</w:t>
      </w:r>
      <w:r w:rsidR="00F94573">
        <w:t>ms of the High Court Rules.</w:t>
      </w:r>
    </w:p>
    <w:p w14:paraId="41893910" w14:textId="56EB13E2" w:rsidR="004931AF" w:rsidRDefault="008F4A2B" w:rsidP="001C18FB">
      <w:pPr>
        <w:spacing w:line="360" w:lineRule="auto"/>
        <w:jc w:val="both"/>
      </w:pPr>
      <w:r>
        <w:tab/>
        <w:t>As this matter is factually convoluted</w:t>
      </w:r>
      <w:r w:rsidR="001C18FB">
        <w:t>, I directed the registrar of this court to issue a subpoena requiring the presence of Mr</w:t>
      </w:r>
      <w:r w:rsidR="00F631B7">
        <w:t xml:space="preserve"> </w:t>
      </w:r>
      <w:r w:rsidR="001C18FB">
        <w:t xml:space="preserve"> Obert David </w:t>
      </w:r>
      <w:r w:rsidR="001C18FB" w:rsidRPr="00F631B7">
        <w:rPr>
          <w:i/>
        </w:rPr>
        <w:t>Mawadze</w:t>
      </w:r>
      <w:r w:rsidR="001C18FB">
        <w:t xml:space="preserve"> </w:t>
      </w:r>
      <w:r w:rsidR="000B1963">
        <w:t>in terms of Rule 246 (1) (a</w:t>
      </w:r>
      <w:r w:rsidR="001276A7">
        <w:t>) of the old High Court Rules</w:t>
      </w:r>
      <w:r w:rsidR="000B1963">
        <w:t xml:space="preserve">. In </w:t>
      </w:r>
      <w:r w:rsidR="00383B58">
        <w:rPr>
          <w:i/>
          <w:iCs/>
        </w:rPr>
        <w:t xml:space="preserve">Balasore Alloys </w:t>
      </w:r>
      <w:r w:rsidR="00383B58" w:rsidRPr="00F631B7">
        <w:rPr>
          <w:iCs/>
        </w:rPr>
        <w:t>v</w:t>
      </w:r>
      <w:r w:rsidR="000B1963" w:rsidRPr="000B1963">
        <w:rPr>
          <w:i/>
          <w:iCs/>
        </w:rPr>
        <w:t xml:space="preserve"> Zimbabwe Alloys Ltd</w:t>
      </w:r>
      <w:r>
        <w:t xml:space="preserve"> HH 228-</w:t>
      </w:r>
      <w:r w:rsidR="000B1963">
        <w:t>18 this court held that:</w:t>
      </w:r>
    </w:p>
    <w:p w14:paraId="1CBDCF17" w14:textId="77777777" w:rsidR="008F4A2B" w:rsidRPr="008F4A2B" w:rsidRDefault="008F4A2B" w:rsidP="001C18FB">
      <w:pPr>
        <w:spacing w:line="360" w:lineRule="auto"/>
        <w:jc w:val="both"/>
        <w:rPr>
          <w:sz w:val="16"/>
          <w:szCs w:val="16"/>
        </w:rPr>
      </w:pPr>
    </w:p>
    <w:p w14:paraId="50A08C68" w14:textId="77777777" w:rsidR="008F4A2B" w:rsidRDefault="000B1963" w:rsidP="004931AF">
      <w:pPr>
        <w:ind w:left="720"/>
        <w:jc w:val="both"/>
        <w:rPr>
          <w:sz w:val="22"/>
          <w:szCs w:val="22"/>
        </w:rPr>
      </w:pPr>
      <w:r w:rsidRPr="004931AF">
        <w:rPr>
          <w:sz w:val="22"/>
          <w:szCs w:val="22"/>
        </w:rPr>
        <w:t xml:space="preserve">“In </w:t>
      </w:r>
      <w:r w:rsidRPr="008F4A2B">
        <w:rPr>
          <w:i/>
          <w:sz w:val="22"/>
          <w:szCs w:val="22"/>
        </w:rPr>
        <w:t>stricto sensu</w:t>
      </w:r>
      <w:r w:rsidRPr="004931AF">
        <w:rPr>
          <w:sz w:val="22"/>
          <w:szCs w:val="22"/>
        </w:rPr>
        <w:t>, it is in the discretion of the Judge to require parties, and deponents to affidavits or any person who may assist in resolving an ap</w:t>
      </w:r>
      <w:r w:rsidR="008F4A2B">
        <w:rPr>
          <w:sz w:val="22"/>
          <w:szCs w:val="22"/>
        </w:rPr>
        <w:t>plication to appear before the j</w:t>
      </w:r>
      <w:r w:rsidRPr="004931AF">
        <w:rPr>
          <w:sz w:val="22"/>
          <w:szCs w:val="22"/>
        </w:rPr>
        <w:t xml:space="preserve">udge to provide further information as the Judge may require.” </w:t>
      </w:r>
    </w:p>
    <w:p w14:paraId="64D1B9FF" w14:textId="77777777" w:rsidR="008F4A2B" w:rsidRDefault="008F4A2B" w:rsidP="004F1C0C">
      <w:pPr>
        <w:spacing w:after="120"/>
        <w:ind w:left="720"/>
        <w:jc w:val="both"/>
        <w:rPr>
          <w:sz w:val="22"/>
          <w:szCs w:val="22"/>
        </w:rPr>
      </w:pPr>
    </w:p>
    <w:p w14:paraId="6C532863" w14:textId="73F52B54" w:rsidR="000B1963" w:rsidRPr="008F4A2B" w:rsidRDefault="000B1963" w:rsidP="004931AF">
      <w:pPr>
        <w:ind w:left="720"/>
        <w:jc w:val="both"/>
      </w:pPr>
      <w:r w:rsidRPr="008F4A2B">
        <w:lastRenderedPageBreak/>
        <w:t xml:space="preserve">See also </w:t>
      </w:r>
      <w:r w:rsidRPr="008F4A2B">
        <w:rPr>
          <w:i/>
          <w:iCs/>
        </w:rPr>
        <w:t>Lake Harvest Aquaculture (Pvt) Ltd</w:t>
      </w:r>
      <w:r w:rsidRPr="00865731">
        <w:rPr>
          <w:iCs/>
        </w:rPr>
        <w:t xml:space="preserve"> v</w:t>
      </w:r>
      <w:r w:rsidRPr="008F4A2B">
        <w:rPr>
          <w:i/>
          <w:iCs/>
        </w:rPr>
        <w:t xml:space="preserve"> Revesai </w:t>
      </w:r>
      <w:r w:rsidR="008F4A2B">
        <w:t>HH 242-</w:t>
      </w:r>
      <w:r w:rsidRPr="008F4A2B">
        <w:t>17.</w:t>
      </w:r>
    </w:p>
    <w:p w14:paraId="38CC09A2" w14:textId="77777777" w:rsidR="000B1963" w:rsidRDefault="000B1963" w:rsidP="000B1963">
      <w:pPr>
        <w:spacing w:line="360" w:lineRule="auto"/>
        <w:jc w:val="both"/>
      </w:pPr>
    </w:p>
    <w:p w14:paraId="691D095A" w14:textId="08FA0E53" w:rsidR="00AF6E18" w:rsidRDefault="000B1963" w:rsidP="000B1963">
      <w:pPr>
        <w:spacing w:line="360" w:lineRule="auto"/>
        <w:jc w:val="both"/>
      </w:pPr>
      <w:r>
        <w:tab/>
        <w:t>Consequent to the di</w:t>
      </w:r>
      <w:r w:rsidR="00EB055D">
        <w:t>rections I made, Mr</w:t>
      </w:r>
      <w:r>
        <w:t xml:space="preserve"> </w:t>
      </w:r>
      <w:r w:rsidRPr="00F631B7">
        <w:rPr>
          <w:i/>
        </w:rPr>
        <w:t>Mawadze</w:t>
      </w:r>
      <w:r>
        <w:t xml:space="preserve"> appeared before </w:t>
      </w:r>
      <w:r w:rsidR="00CE2258">
        <w:t>me. In his oral statement in court</w:t>
      </w:r>
      <w:r>
        <w:t xml:space="preserve">, he maintained the </w:t>
      </w:r>
      <w:r w:rsidR="00F631B7">
        <w:t>first</w:t>
      </w:r>
      <w:r>
        <w:t xml:space="preserve">, </w:t>
      </w:r>
      <w:r w:rsidR="00F631B7">
        <w:t>third</w:t>
      </w:r>
      <w:r>
        <w:t xml:space="preserve">, and </w:t>
      </w:r>
      <w:r w:rsidR="00F631B7">
        <w:t>fourth</w:t>
      </w:r>
      <w:r w:rsidR="00CE2258">
        <w:t xml:space="preserve"> respondents’ position. In fact, h</w:t>
      </w:r>
      <w:r>
        <w:t xml:space="preserve">e confirmed that the </w:t>
      </w:r>
      <w:r w:rsidR="00F631B7">
        <w:t>first</w:t>
      </w:r>
      <w:r>
        <w:t xml:space="preserve">, </w:t>
      </w:r>
      <w:r w:rsidR="00F631B7">
        <w:t>third</w:t>
      </w:r>
      <w:r>
        <w:t xml:space="preserve">, and </w:t>
      </w:r>
      <w:r w:rsidR="00F631B7">
        <w:t xml:space="preserve">fourth </w:t>
      </w:r>
      <w:r>
        <w:t>respondent were paid their part of the money and have no quar</w:t>
      </w:r>
      <w:r w:rsidR="002D5CCB">
        <w:t xml:space="preserve">rels with the applicant. Besides, Mr </w:t>
      </w:r>
      <w:r w:rsidR="002D5CCB" w:rsidRPr="00F631B7">
        <w:rPr>
          <w:i/>
        </w:rPr>
        <w:t>Mawadze</w:t>
      </w:r>
      <w:r>
        <w:t xml:space="preserve"> stated that </w:t>
      </w:r>
      <w:r w:rsidR="00AF6E18">
        <w:t>the</w:t>
      </w:r>
      <w:r w:rsidR="00F631B7">
        <w:t xml:space="preserve"> first</w:t>
      </w:r>
      <w:r w:rsidR="00AF6E18">
        <w:t xml:space="preserve">, </w:t>
      </w:r>
      <w:r w:rsidR="00F631B7">
        <w:t>third</w:t>
      </w:r>
      <w:r w:rsidR="00AF6E18">
        <w:t xml:space="preserve"> and </w:t>
      </w:r>
      <w:r w:rsidR="00F631B7">
        <w:t>fourth</w:t>
      </w:r>
      <w:r w:rsidR="00AF6E18">
        <w:t xml:space="preserve"> respondents were the only legit</w:t>
      </w:r>
      <w:r w:rsidR="002D5CCB">
        <w:t>imate</w:t>
      </w:r>
      <w:r w:rsidR="00AF6E18">
        <w:t xml:space="preserve"> judgment creditors in terms of the judgment of this court in HC 3117/17. </w:t>
      </w:r>
    </w:p>
    <w:p w14:paraId="4242F2DD" w14:textId="76DA1B38" w:rsidR="001D084E" w:rsidRDefault="001D084E" w:rsidP="000B1963">
      <w:pPr>
        <w:spacing w:line="360" w:lineRule="auto"/>
        <w:jc w:val="both"/>
      </w:pPr>
    </w:p>
    <w:p w14:paraId="3CEB8A05" w14:textId="346B617D" w:rsidR="001D084E" w:rsidRPr="001D084E" w:rsidRDefault="001D084E" w:rsidP="000B1963">
      <w:pPr>
        <w:spacing w:line="360" w:lineRule="auto"/>
        <w:jc w:val="both"/>
        <w:rPr>
          <w:b/>
        </w:rPr>
      </w:pPr>
      <w:r w:rsidRPr="001D084E">
        <w:rPr>
          <w:b/>
        </w:rPr>
        <w:t>Analysis of the case</w:t>
      </w:r>
    </w:p>
    <w:p w14:paraId="66468BBA" w14:textId="2D84985D" w:rsidR="004931AF" w:rsidRDefault="00E81875" w:rsidP="000B1963">
      <w:pPr>
        <w:spacing w:line="360" w:lineRule="auto"/>
        <w:jc w:val="both"/>
      </w:pPr>
      <w:r>
        <w:tab/>
        <w:t>As I see it, t</w:t>
      </w:r>
      <w:r w:rsidR="00463E81">
        <w:t>he only issue for determination in this application is whether in the circumstances, the applicant settled the judg</w:t>
      </w:r>
      <w:r w:rsidR="007E0521">
        <w:t>ment debt obtained against it,</w:t>
      </w:r>
      <w:r w:rsidR="00463E81">
        <w:t xml:space="preserve"> which </w:t>
      </w:r>
      <w:r w:rsidR="007E0521">
        <w:t>ordered the applicant</w:t>
      </w:r>
      <w:r w:rsidR="00865731">
        <w:t xml:space="preserve"> to pay the sum of US$1 226 000</w:t>
      </w:r>
      <w:r w:rsidR="00463E81">
        <w:t xml:space="preserve">. In </w:t>
      </w:r>
      <w:r w:rsidR="004B4203">
        <w:t>order to resolve this question,</w:t>
      </w:r>
      <w:r w:rsidR="00463E81">
        <w:t xml:space="preserve"> the following corollary issues arise:</w:t>
      </w:r>
    </w:p>
    <w:p w14:paraId="71CED3D8" w14:textId="77777777" w:rsidR="004931AF" w:rsidRPr="00D2190C" w:rsidRDefault="004931AF" w:rsidP="000B1963">
      <w:pPr>
        <w:spacing w:line="360" w:lineRule="auto"/>
        <w:jc w:val="both"/>
        <w:rPr>
          <w:sz w:val="10"/>
          <w:szCs w:val="10"/>
        </w:rPr>
      </w:pPr>
    </w:p>
    <w:p w14:paraId="6A0B0518" w14:textId="5C15F0A2" w:rsidR="00463E81" w:rsidRDefault="00463E81" w:rsidP="00463E81">
      <w:pPr>
        <w:pStyle w:val="ListParagraph"/>
        <w:numPr>
          <w:ilvl w:val="0"/>
          <w:numId w:val="37"/>
        </w:numPr>
        <w:spacing w:line="360" w:lineRule="auto"/>
        <w:jc w:val="both"/>
      </w:pPr>
      <w:r>
        <w:t xml:space="preserve">Whether the </w:t>
      </w:r>
      <w:r w:rsidR="00F631B7">
        <w:t>sixth</w:t>
      </w:r>
      <w:r>
        <w:t xml:space="preserve">, </w:t>
      </w:r>
      <w:r w:rsidR="00F631B7">
        <w:t>seventh</w:t>
      </w:r>
      <w:r>
        <w:t xml:space="preserve">, and </w:t>
      </w:r>
      <w:r w:rsidR="00F631B7">
        <w:t>eighth</w:t>
      </w:r>
      <w:r>
        <w:t xml:space="preserve"> respondents were judgment creditors.</w:t>
      </w:r>
    </w:p>
    <w:p w14:paraId="1727BED0" w14:textId="18191478" w:rsidR="00463E81" w:rsidRDefault="00463E81" w:rsidP="00463E81">
      <w:pPr>
        <w:pStyle w:val="ListParagraph"/>
        <w:numPr>
          <w:ilvl w:val="0"/>
          <w:numId w:val="37"/>
        </w:numPr>
        <w:spacing w:line="360" w:lineRule="auto"/>
        <w:jc w:val="both"/>
      </w:pPr>
      <w:r>
        <w:t>Whether there was a compromise agreement entered into by the parties.</w:t>
      </w:r>
    </w:p>
    <w:p w14:paraId="6224A2DC" w14:textId="7B9C24FB" w:rsidR="00463E81" w:rsidRDefault="00463E81" w:rsidP="00463E81">
      <w:pPr>
        <w:pStyle w:val="ListParagraph"/>
        <w:numPr>
          <w:ilvl w:val="0"/>
          <w:numId w:val="37"/>
        </w:numPr>
        <w:spacing w:line="360" w:lineRule="auto"/>
        <w:jc w:val="both"/>
      </w:pPr>
      <w:r>
        <w:t>Whether the applicant by its own actions</w:t>
      </w:r>
      <w:r w:rsidR="00406B2D">
        <w:t>,</w:t>
      </w:r>
      <w:r>
        <w:t xml:space="preserve"> express and implied</w:t>
      </w:r>
      <w:r w:rsidR="00406B2D">
        <w:t>,</w:t>
      </w:r>
      <w:r>
        <w:t xml:space="preserve"> admitted that the </w:t>
      </w:r>
      <w:r w:rsidR="00F631B7">
        <w:t>sixth</w:t>
      </w:r>
      <w:r>
        <w:t xml:space="preserve">, </w:t>
      </w:r>
      <w:r w:rsidR="00F631B7">
        <w:t>seventh</w:t>
      </w:r>
      <w:r>
        <w:t xml:space="preserve">, and </w:t>
      </w:r>
      <w:r w:rsidR="00F631B7">
        <w:t>eighth</w:t>
      </w:r>
      <w:r>
        <w:t xml:space="preserve"> respondents were joint creditors.</w:t>
      </w:r>
    </w:p>
    <w:p w14:paraId="37419D1F" w14:textId="14676D58" w:rsidR="00A41224" w:rsidRDefault="00406B2D" w:rsidP="00463E81">
      <w:pPr>
        <w:pStyle w:val="ListParagraph"/>
        <w:numPr>
          <w:ilvl w:val="0"/>
          <w:numId w:val="37"/>
        </w:numPr>
        <w:spacing w:line="360" w:lineRule="auto"/>
        <w:jc w:val="both"/>
      </w:pPr>
      <w:r>
        <w:t xml:space="preserve">If it did, </w:t>
      </w:r>
      <w:r w:rsidR="00463E81">
        <w:t xml:space="preserve">whether the applicant should be estopped from claiming that </w:t>
      </w:r>
      <w:r>
        <w:t xml:space="preserve">the </w:t>
      </w:r>
      <w:r w:rsidR="00A41224">
        <w:t xml:space="preserve">payment made to the </w:t>
      </w:r>
      <w:r w:rsidR="00F631B7">
        <w:t>first</w:t>
      </w:r>
      <w:r w:rsidR="00A41224">
        <w:t xml:space="preserve">, </w:t>
      </w:r>
      <w:r w:rsidR="00F631B7">
        <w:t>third</w:t>
      </w:r>
      <w:r w:rsidR="00A41224">
        <w:t xml:space="preserve">, and </w:t>
      </w:r>
      <w:r w:rsidR="00F631B7">
        <w:t>fourth</w:t>
      </w:r>
      <w:r w:rsidR="00A41224">
        <w:t xml:space="preserve"> respondent extinguished the judgment debt. </w:t>
      </w:r>
    </w:p>
    <w:p w14:paraId="6694E03E" w14:textId="77777777" w:rsidR="00A41224" w:rsidRPr="00506702" w:rsidRDefault="00A41224" w:rsidP="00A41224">
      <w:pPr>
        <w:spacing w:line="360" w:lineRule="auto"/>
        <w:jc w:val="both"/>
        <w:rPr>
          <w:sz w:val="14"/>
          <w:szCs w:val="14"/>
        </w:rPr>
      </w:pPr>
    </w:p>
    <w:p w14:paraId="14D15E16" w14:textId="5DC770FF" w:rsidR="00A41224" w:rsidRDefault="00260646" w:rsidP="00260646">
      <w:pPr>
        <w:spacing w:line="360" w:lineRule="auto"/>
        <w:jc w:val="both"/>
      </w:pPr>
      <w:r>
        <w:t xml:space="preserve">Let me begin by examining the concept of a compromise. Prof </w:t>
      </w:r>
      <w:r w:rsidR="00A41224">
        <w:t>R</w:t>
      </w:r>
      <w:r>
        <w:t xml:space="preserve"> </w:t>
      </w:r>
      <w:r w:rsidR="00A41224">
        <w:t>H Christi</w:t>
      </w:r>
      <w:r>
        <w:t>e in his book,</w:t>
      </w:r>
      <w:r w:rsidR="0077747A">
        <w:t xml:space="preserve"> </w:t>
      </w:r>
      <w:r w:rsidR="0077747A" w:rsidRPr="0059631A">
        <w:rPr>
          <w:i/>
          <w:iCs/>
        </w:rPr>
        <w:t>Business Law in Zimbabwe</w:t>
      </w:r>
      <w:r w:rsidR="0077747A">
        <w:t xml:space="preserve"> at p. 108 </w:t>
      </w:r>
      <w:r w:rsidR="004B1CE6">
        <w:t>defines a compromise in these terms</w:t>
      </w:r>
      <w:r w:rsidR="0077747A">
        <w:t>:</w:t>
      </w:r>
    </w:p>
    <w:p w14:paraId="02CE0C66" w14:textId="77777777" w:rsidR="004931AF" w:rsidRPr="004C1270" w:rsidRDefault="004931AF" w:rsidP="0059631A">
      <w:pPr>
        <w:spacing w:line="360" w:lineRule="auto"/>
        <w:ind w:firstLine="720"/>
        <w:jc w:val="both"/>
        <w:rPr>
          <w:sz w:val="12"/>
          <w:szCs w:val="12"/>
        </w:rPr>
      </w:pPr>
    </w:p>
    <w:p w14:paraId="50EECB6D" w14:textId="24B24BF2" w:rsidR="0077747A" w:rsidRPr="004931AF" w:rsidRDefault="0077747A" w:rsidP="004931AF">
      <w:pPr>
        <w:ind w:left="720"/>
        <w:jc w:val="both"/>
        <w:rPr>
          <w:sz w:val="22"/>
          <w:szCs w:val="22"/>
        </w:rPr>
      </w:pPr>
      <w:r w:rsidRPr="004931AF">
        <w:rPr>
          <w:sz w:val="22"/>
          <w:szCs w:val="22"/>
        </w:rPr>
        <w:t>“Compromise is the settlement by agreement of disputed obligations and is a form of novation, replacing the disputed obligations by the obligations created by the agreement of compromise.”</w:t>
      </w:r>
    </w:p>
    <w:p w14:paraId="176FA804" w14:textId="77777777" w:rsidR="004757C7" w:rsidRPr="003332CA" w:rsidRDefault="004757C7" w:rsidP="004757C7">
      <w:pPr>
        <w:spacing w:line="360" w:lineRule="auto"/>
        <w:jc w:val="both"/>
        <w:rPr>
          <w:sz w:val="18"/>
          <w:szCs w:val="18"/>
        </w:rPr>
      </w:pPr>
    </w:p>
    <w:p w14:paraId="06644521" w14:textId="01EA304D" w:rsidR="00122C9B" w:rsidRDefault="004757C7" w:rsidP="004757C7">
      <w:pPr>
        <w:spacing w:line="360" w:lineRule="auto"/>
        <w:jc w:val="both"/>
      </w:pPr>
      <w:r>
        <w:t xml:space="preserve">In </w:t>
      </w:r>
      <w:r w:rsidR="00B32459">
        <w:t xml:space="preserve">this context, it is worth noting that in </w:t>
      </w:r>
      <w:r w:rsidR="004B1CE6">
        <w:rPr>
          <w:i/>
          <w:iCs/>
        </w:rPr>
        <w:t xml:space="preserve">Taruva </w:t>
      </w:r>
      <w:r w:rsidR="004B1CE6" w:rsidRPr="00F631B7">
        <w:rPr>
          <w:iCs/>
        </w:rPr>
        <w:t>v</w:t>
      </w:r>
      <w:r w:rsidR="00122C9B" w:rsidRPr="0059631A">
        <w:rPr>
          <w:i/>
          <w:iCs/>
        </w:rPr>
        <w:t xml:space="preserve"> Deve</w:t>
      </w:r>
      <w:r w:rsidR="00B32459">
        <w:rPr>
          <w:i/>
          <w:iCs/>
        </w:rPr>
        <w:t>n Engineering (Pvt) Ltd and O</w:t>
      </w:r>
      <w:r w:rsidR="00122C9B" w:rsidRPr="0059631A">
        <w:rPr>
          <w:i/>
          <w:iCs/>
        </w:rPr>
        <w:t>rs</w:t>
      </w:r>
      <w:r w:rsidR="00B32459">
        <w:t xml:space="preserve"> HH 08-</w:t>
      </w:r>
      <w:r w:rsidR="00122C9B">
        <w:t>09</w:t>
      </w:r>
      <w:r w:rsidR="005C2BC4">
        <w:t xml:space="preserve"> </w:t>
      </w:r>
      <w:r w:rsidR="005C2BC4" w:rsidRPr="00F631B7">
        <w:rPr>
          <w:smallCaps/>
        </w:rPr>
        <w:t>M</w:t>
      </w:r>
      <w:r w:rsidR="00F631B7" w:rsidRPr="00F631B7">
        <w:rPr>
          <w:smallCaps/>
        </w:rPr>
        <w:t>akarau</w:t>
      </w:r>
      <w:r w:rsidR="00B32459">
        <w:t xml:space="preserve"> JP (as she then was) explained what a compromise means as follows:</w:t>
      </w:r>
    </w:p>
    <w:p w14:paraId="39E3711A" w14:textId="77777777" w:rsidR="004931AF" w:rsidRPr="00A15C58" w:rsidRDefault="004931AF" w:rsidP="004757C7">
      <w:pPr>
        <w:spacing w:line="360" w:lineRule="auto"/>
        <w:jc w:val="both"/>
        <w:rPr>
          <w:sz w:val="16"/>
          <w:szCs w:val="16"/>
          <w:vertAlign w:val="subscript"/>
        </w:rPr>
      </w:pPr>
    </w:p>
    <w:p w14:paraId="2D3DA77F" w14:textId="104BB0F9" w:rsidR="00F866D5" w:rsidRDefault="00122C9B" w:rsidP="00476903">
      <w:pPr>
        <w:ind w:left="720"/>
        <w:contextualSpacing/>
        <w:jc w:val="both"/>
        <w:rPr>
          <w:sz w:val="22"/>
          <w:szCs w:val="22"/>
        </w:rPr>
      </w:pPr>
      <w:r w:rsidRPr="004931AF">
        <w:rPr>
          <w:sz w:val="22"/>
          <w:szCs w:val="22"/>
        </w:rPr>
        <w:t>“Our law of contract has for long recognized that a new agreement that settles a dispute</w:t>
      </w:r>
      <w:r w:rsidR="00FB6D61" w:rsidRPr="004931AF">
        <w:rPr>
          <w:sz w:val="22"/>
          <w:szCs w:val="22"/>
        </w:rPr>
        <w:t xml:space="preserve"> operated as </w:t>
      </w:r>
      <w:r w:rsidR="00FB6D61" w:rsidRPr="007C4D47">
        <w:rPr>
          <w:i/>
          <w:sz w:val="22"/>
          <w:szCs w:val="22"/>
        </w:rPr>
        <w:t>res judicata</w:t>
      </w:r>
      <w:r w:rsidR="00FB6D61" w:rsidRPr="004931AF">
        <w:rPr>
          <w:sz w:val="22"/>
          <w:szCs w:val="22"/>
        </w:rPr>
        <w:t xml:space="preserve"> in respect of the old agreement and in itself becomes a valid and binding contract between the parties. Not only can the original cause </w:t>
      </w:r>
      <w:r w:rsidR="00F631B7">
        <w:rPr>
          <w:sz w:val="22"/>
          <w:szCs w:val="22"/>
        </w:rPr>
        <w:t>o</w:t>
      </w:r>
      <w:r w:rsidR="00FB6D61" w:rsidRPr="004931AF">
        <w:rPr>
          <w:sz w:val="22"/>
          <w:szCs w:val="22"/>
        </w:rPr>
        <w:t xml:space="preserve">f action no longer be relied upon, but a defendant is not entitled to go behind a compromise and raise defences to the original cause of </w:t>
      </w:r>
      <w:r w:rsidR="00FB6D61" w:rsidRPr="004931AF">
        <w:rPr>
          <w:sz w:val="22"/>
          <w:szCs w:val="22"/>
        </w:rPr>
        <w:lastRenderedPageBreak/>
        <w:t xml:space="preserve">action when sued for a compromise. </w:t>
      </w:r>
      <w:r w:rsidR="00132E6E" w:rsidRPr="004931AF">
        <w:rPr>
          <w:sz w:val="22"/>
          <w:szCs w:val="22"/>
        </w:rPr>
        <w:t xml:space="preserve">(See </w:t>
      </w:r>
      <w:r w:rsidR="005E7F90">
        <w:rPr>
          <w:i/>
          <w:sz w:val="22"/>
          <w:szCs w:val="22"/>
        </w:rPr>
        <w:t xml:space="preserve">Road Accident Fund </w:t>
      </w:r>
      <w:r w:rsidR="005E7F90" w:rsidRPr="00F631B7">
        <w:rPr>
          <w:sz w:val="22"/>
          <w:szCs w:val="22"/>
        </w:rPr>
        <w:t>v</w:t>
      </w:r>
      <w:r w:rsidR="00132E6E" w:rsidRPr="005E7F90">
        <w:rPr>
          <w:i/>
          <w:sz w:val="22"/>
          <w:szCs w:val="22"/>
        </w:rPr>
        <w:t xml:space="preserve"> Ngulube</w:t>
      </w:r>
      <w:r w:rsidR="00132E6E" w:rsidRPr="004931AF">
        <w:rPr>
          <w:sz w:val="22"/>
          <w:szCs w:val="22"/>
        </w:rPr>
        <w:t xml:space="preserve"> 2008 (1) SA 432 (SCA), </w:t>
      </w:r>
      <w:r w:rsidR="005E7F90">
        <w:rPr>
          <w:i/>
          <w:sz w:val="22"/>
          <w:szCs w:val="22"/>
        </w:rPr>
        <w:t xml:space="preserve">Lieberman </w:t>
      </w:r>
      <w:r w:rsidR="005E7F90" w:rsidRPr="00F631B7">
        <w:rPr>
          <w:sz w:val="22"/>
          <w:szCs w:val="22"/>
        </w:rPr>
        <w:t>v</w:t>
      </w:r>
      <w:r w:rsidR="00132E6E" w:rsidRPr="00F631B7">
        <w:rPr>
          <w:sz w:val="22"/>
          <w:szCs w:val="22"/>
        </w:rPr>
        <w:t xml:space="preserve"> </w:t>
      </w:r>
      <w:r w:rsidR="00132E6E" w:rsidRPr="005E7F90">
        <w:rPr>
          <w:i/>
          <w:sz w:val="22"/>
          <w:szCs w:val="22"/>
        </w:rPr>
        <w:t>Santam Ltd</w:t>
      </w:r>
      <w:r w:rsidR="00132E6E" w:rsidRPr="004931AF">
        <w:rPr>
          <w:sz w:val="22"/>
          <w:szCs w:val="22"/>
        </w:rPr>
        <w:t xml:space="preserve"> 2000 (4) SA 32</w:t>
      </w:r>
      <w:r w:rsidR="00451B3E">
        <w:rPr>
          <w:sz w:val="22"/>
          <w:szCs w:val="22"/>
        </w:rPr>
        <w:t xml:space="preserve">1 (SCA) para 11-12, </w:t>
      </w:r>
      <w:r w:rsidR="00451B3E" w:rsidRPr="00F67490">
        <w:rPr>
          <w:i/>
          <w:sz w:val="22"/>
          <w:szCs w:val="22"/>
        </w:rPr>
        <w:t xml:space="preserve">Hamilton </w:t>
      </w:r>
      <w:r w:rsidR="00451B3E" w:rsidRPr="00F631B7">
        <w:rPr>
          <w:sz w:val="22"/>
          <w:szCs w:val="22"/>
        </w:rPr>
        <w:t>v</w:t>
      </w:r>
      <w:r w:rsidR="00132E6E" w:rsidRPr="00F67490">
        <w:rPr>
          <w:i/>
          <w:sz w:val="22"/>
          <w:szCs w:val="22"/>
        </w:rPr>
        <w:t xml:space="preserve"> Van Zyl</w:t>
      </w:r>
      <w:r w:rsidR="00132E6E" w:rsidRPr="004931AF">
        <w:rPr>
          <w:sz w:val="22"/>
          <w:szCs w:val="22"/>
        </w:rPr>
        <w:t xml:space="preserve"> 1983 (4) SA 379 (E) and </w:t>
      </w:r>
      <w:r w:rsidR="007C4D47">
        <w:rPr>
          <w:i/>
          <w:sz w:val="22"/>
          <w:szCs w:val="22"/>
        </w:rPr>
        <w:t>Majora</w:t>
      </w:r>
      <w:r w:rsidR="007C4D47" w:rsidRPr="00F631B7">
        <w:rPr>
          <w:sz w:val="22"/>
          <w:szCs w:val="22"/>
        </w:rPr>
        <w:t xml:space="preserve"> v</w:t>
      </w:r>
      <w:r w:rsidR="00132E6E" w:rsidRPr="007C4D47">
        <w:rPr>
          <w:i/>
          <w:sz w:val="22"/>
          <w:szCs w:val="22"/>
        </w:rPr>
        <w:t xml:space="preserve"> Kuwirirana Bus Service (Pvt) Ltd</w:t>
      </w:r>
      <w:r w:rsidR="00132E6E" w:rsidRPr="004931AF">
        <w:rPr>
          <w:sz w:val="22"/>
          <w:szCs w:val="22"/>
        </w:rPr>
        <w:t xml:space="preserve"> 1990 (1) ZLR 87 (SC).</w:t>
      </w:r>
      <w:r w:rsidR="00476903">
        <w:rPr>
          <w:sz w:val="22"/>
          <w:szCs w:val="22"/>
        </w:rPr>
        <w:t xml:space="preserve"> </w:t>
      </w:r>
      <w:r w:rsidR="00132E6E" w:rsidRPr="004931AF">
        <w:rPr>
          <w:sz w:val="22"/>
          <w:szCs w:val="22"/>
        </w:rPr>
        <w:t xml:space="preserve">This in our law </w:t>
      </w:r>
      <w:r w:rsidR="00476903">
        <w:rPr>
          <w:sz w:val="22"/>
          <w:szCs w:val="22"/>
        </w:rPr>
        <w:t>is referred to as a compromise.</w:t>
      </w:r>
      <w:r w:rsidR="00897FAA">
        <w:rPr>
          <w:sz w:val="22"/>
          <w:szCs w:val="22"/>
        </w:rPr>
        <w:t xml:space="preserve"> </w:t>
      </w:r>
      <w:r w:rsidR="00132E6E" w:rsidRPr="004931AF">
        <w:rPr>
          <w:sz w:val="22"/>
          <w:szCs w:val="22"/>
        </w:rPr>
        <w:t xml:space="preserve">The courts in South Africa have been moved on to hold that a </w:t>
      </w:r>
      <w:r w:rsidR="003941B7">
        <w:rPr>
          <w:sz w:val="22"/>
          <w:szCs w:val="22"/>
        </w:rPr>
        <w:t xml:space="preserve">compromise need not necessarily, </w:t>
      </w:r>
      <w:r w:rsidR="00132E6E" w:rsidRPr="004931AF">
        <w:rPr>
          <w:sz w:val="22"/>
          <w:szCs w:val="22"/>
        </w:rPr>
        <w:t>however</w:t>
      </w:r>
      <w:r w:rsidR="003941B7">
        <w:rPr>
          <w:sz w:val="22"/>
          <w:szCs w:val="22"/>
        </w:rPr>
        <w:t>,</w:t>
      </w:r>
      <w:r w:rsidR="00132E6E" w:rsidRPr="004931AF">
        <w:rPr>
          <w:sz w:val="22"/>
          <w:szCs w:val="22"/>
        </w:rPr>
        <w:t xml:space="preserve"> follo</w:t>
      </w:r>
      <w:r w:rsidR="00380EC0">
        <w:rPr>
          <w:sz w:val="22"/>
          <w:szCs w:val="22"/>
        </w:rPr>
        <w:t xml:space="preserve">w a disputed contractual claim. </w:t>
      </w:r>
      <w:r w:rsidR="00132E6E" w:rsidRPr="004931AF">
        <w:rPr>
          <w:sz w:val="22"/>
          <w:szCs w:val="22"/>
        </w:rPr>
        <w:t xml:space="preserve">Any kind of doubtful right can be the subject of a compromise. A compromise may even be entered into to avoid a spurious claim. In establishing whether a claim has been compromised one is concerned simply with the principles of offer and acceptance. See </w:t>
      </w:r>
      <w:r w:rsidR="00132E6E" w:rsidRPr="00F67490">
        <w:rPr>
          <w:i/>
          <w:sz w:val="22"/>
          <w:szCs w:val="22"/>
        </w:rPr>
        <w:t>E Bob A Lul Manufactu</w:t>
      </w:r>
      <w:r w:rsidR="00F67490" w:rsidRPr="00F67490">
        <w:rPr>
          <w:i/>
          <w:sz w:val="22"/>
          <w:szCs w:val="22"/>
        </w:rPr>
        <w:t>ring and Printing CC v</w:t>
      </w:r>
      <w:r w:rsidR="00132E6E" w:rsidRPr="00F67490">
        <w:rPr>
          <w:i/>
          <w:sz w:val="22"/>
          <w:szCs w:val="22"/>
        </w:rPr>
        <w:t xml:space="preserve"> Kingtex Marketing (Pvt) Ltd </w:t>
      </w:r>
      <w:r w:rsidR="00132E6E" w:rsidRPr="004931AF">
        <w:rPr>
          <w:sz w:val="22"/>
          <w:szCs w:val="22"/>
        </w:rPr>
        <w:t xml:space="preserve">2008 (20 SA 327) (SCA)”. </w:t>
      </w:r>
    </w:p>
    <w:p w14:paraId="09D5A149" w14:textId="77777777" w:rsidR="00F866D5" w:rsidRDefault="00F866D5" w:rsidP="004931AF">
      <w:pPr>
        <w:ind w:left="720"/>
        <w:contextualSpacing/>
        <w:jc w:val="both"/>
        <w:rPr>
          <w:sz w:val="22"/>
          <w:szCs w:val="22"/>
        </w:rPr>
      </w:pPr>
    </w:p>
    <w:p w14:paraId="6D9D23C9" w14:textId="546DF893" w:rsidR="00132E6E" w:rsidRDefault="00122C9B" w:rsidP="00D3660A">
      <w:pPr>
        <w:ind w:left="720"/>
        <w:contextualSpacing/>
        <w:jc w:val="both"/>
      </w:pPr>
      <w:r w:rsidRPr="00F866D5">
        <w:t xml:space="preserve">See also </w:t>
      </w:r>
      <w:r w:rsidR="00A15C58">
        <w:rPr>
          <w:i/>
          <w:iCs/>
        </w:rPr>
        <w:t>Georgias and Ano</w:t>
      </w:r>
      <w:r w:rsidR="00A41980">
        <w:rPr>
          <w:i/>
          <w:iCs/>
        </w:rPr>
        <w:t xml:space="preserve">r </w:t>
      </w:r>
      <w:r w:rsidR="00A41980" w:rsidRPr="005775E8">
        <w:rPr>
          <w:iCs/>
        </w:rPr>
        <w:t>v</w:t>
      </w:r>
      <w:r w:rsidR="004757C7" w:rsidRPr="00F866D5">
        <w:rPr>
          <w:i/>
          <w:iCs/>
        </w:rPr>
        <w:t xml:space="preserve"> Standard Chartered Bank</w:t>
      </w:r>
      <w:r w:rsidR="007D3ED2">
        <w:t xml:space="preserve"> SC 183-</w:t>
      </w:r>
      <w:r w:rsidR="004757C7" w:rsidRPr="00F866D5">
        <w:t>98</w:t>
      </w:r>
      <w:r w:rsidR="00132E6E" w:rsidRPr="00F866D5">
        <w:t xml:space="preserve">. </w:t>
      </w:r>
    </w:p>
    <w:p w14:paraId="479550CF" w14:textId="7607BE1E" w:rsidR="00D85D55" w:rsidRDefault="00C5688A" w:rsidP="004757C7">
      <w:pPr>
        <w:spacing w:line="360" w:lineRule="auto"/>
        <w:jc w:val="both"/>
      </w:pPr>
      <w:r>
        <w:t xml:space="preserve">Similarly, </w:t>
      </w:r>
      <w:r w:rsidR="00D85D55">
        <w:t xml:space="preserve">in </w:t>
      </w:r>
      <w:r w:rsidR="00D85D55" w:rsidRPr="00122C9B">
        <w:rPr>
          <w:i/>
          <w:iCs/>
        </w:rPr>
        <w:t xml:space="preserve">Golden Beams Development (Pvt) Ltd </w:t>
      </w:r>
      <w:r w:rsidR="00132E6E" w:rsidRPr="005775E8">
        <w:rPr>
          <w:iCs/>
        </w:rPr>
        <w:t>v</w:t>
      </w:r>
      <w:r w:rsidR="00132E6E" w:rsidRPr="00122C9B">
        <w:rPr>
          <w:i/>
          <w:iCs/>
        </w:rPr>
        <w:t xml:space="preserve"> Mabhena</w:t>
      </w:r>
      <w:r>
        <w:t xml:space="preserve"> HH 296-</w:t>
      </w:r>
      <w:r w:rsidR="00D85D55">
        <w:t>21</w:t>
      </w:r>
      <w:r w:rsidR="00C566D0">
        <w:t>,</w:t>
      </w:r>
      <w:r w:rsidR="00D85D55">
        <w:t xml:space="preserve"> </w:t>
      </w:r>
      <w:r w:rsidR="008B306F">
        <w:t>DUBE J appositely stated</w:t>
      </w:r>
      <w:r w:rsidR="00D85D55">
        <w:t>:</w:t>
      </w:r>
    </w:p>
    <w:p w14:paraId="1D656DE2" w14:textId="77777777" w:rsidR="00C5688A" w:rsidRPr="008B306F" w:rsidRDefault="00C5688A" w:rsidP="004757C7">
      <w:pPr>
        <w:spacing w:line="360" w:lineRule="auto"/>
        <w:jc w:val="both"/>
        <w:rPr>
          <w:sz w:val="8"/>
          <w:szCs w:val="8"/>
        </w:rPr>
      </w:pPr>
    </w:p>
    <w:p w14:paraId="6B211F0A" w14:textId="70B0C348" w:rsidR="00122C9B" w:rsidRPr="00600519" w:rsidRDefault="00D85D55" w:rsidP="00600519">
      <w:pPr>
        <w:ind w:left="720"/>
        <w:contextualSpacing/>
        <w:jc w:val="both"/>
        <w:rPr>
          <w:sz w:val="22"/>
          <w:szCs w:val="22"/>
        </w:rPr>
      </w:pPr>
      <w:r w:rsidRPr="00600519">
        <w:rPr>
          <w:sz w:val="22"/>
          <w:szCs w:val="22"/>
        </w:rPr>
        <w:t xml:space="preserve">“A compromise enables the parties to settle the dispute outside court. The compromise agreement has the effect of creating new rights and obligations between the parties separate from the original cause of action. It extinguishes the original cause of action which becomes </w:t>
      </w:r>
      <w:r w:rsidRPr="0066039A">
        <w:rPr>
          <w:i/>
          <w:sz w:val="22"/>
          <w:szCs w:val="22"/>
        </w:rPr>
        <w:t xml:space="preserve">res judicata </w:t>
      </w:r>
      <w:r w:rsidRPr="00600519">
        <w:rPr>
          <w:sz w:val="22"/>
          <w:szCs w:val="22"/>
        </w:rPr>
        <w:t>thereby creating new obligations. Once a compromise agreement has been entered into, the defendant has no entitlement to raise defen</w:t>
      </w:r>
      <w:r w:rsidR="00122C9B" w:rsidRPr="00600519">
        <w:rPr>
          <w:sz w:val="22"/>
          <w:szCs w:val="22"/>
        </w:rPr>
        <w:t>ces to the original cause of action.”</w:t>
      </w:r>
    </w:p>
    <w:p w14:paraId="71C8E02F" w14:textId="77777777" w:rsidR="00122C9B" w:rsidRDefault="00122C9B" w:rsidP="004757C7">
      <w:pPr>
        <w:spacing w:line="360" w:lineRule="auto"/>
        <w:jc w:val="both"/>
      </w:pPr>
    </w:p>
    <w:p w14:paraId="5567B1EA" w14:textId="36D5A36C" w:rsidR="00DB703A" w:rsidRDefault="00122C9B" w:rsidP="004757C7">
      <w:pPr>
        <w:spacing w:line="360" w:lineRule="auto"/>
        <w:jc w:val="both"/>
      </w:pPr>
      <w:r>
        <w:t xml:space="preserve">A common thread from the above case authorities is that a compromise is an agreement by the parties to abandon their previous rights and obligations. </w:t>
      </w:r>
      <w:r w:rsidR="00881E3B">
        <w:t xml:space="preserve">Thus, following a </w:t>
      </w:r>
      <w:r>
        <w:t xml:space="preserve">compromise </w:t>
      </w:r>
      <w:r w:rsidR="00881E3B">
        <w:t>the parties</w:t>
      </w:r>
      <w:r w:rsidR="0072628F">
        <w:t>’</w:t>
      </w:r>
      <w:r w:rsidR="00881E3B">
        <w:t xml:space="preserve"> contractual relationship is governed by the terms set out in the compromise.</w:t>
      </w:r>
      <w:r>
        <w:t xml:space="preserve"> Any previous cause of action is extinguished except where the parties expressly agree that it is not. </w:t>
      </w:r>
      <w:r w:rsidR="004C0B09">
        <w:t xml:space="preserve">Let me relate the law to the law to the facts. </w:t>
      </w:r>
      <w:r w:rsidR="0096429E">
        <w:t>It can be recalled that, a</w:t>
      </w:r>
      <w:r w:rsidR="00DB703A">
        <w:t xml:space="preserve">fter the </w:t>
      </w:r>
      <w:r w:rsidR="005775E8">
        <w:t>sixth</w:t>
      </w:r>
      <w:r w:rsidR="00DB703A">
        <w:t xml:space="preserve">, </w:t>
      </w:r>
      <w:r w:rsidR="005775E8">
        <w:t>seventh</w:t>
      </w:r>
      <w:r w:rsidR="00DB703A">
        <w:t xml:space="preserve"> and </w:t>
      </w:r>
      <w:r w:rsidR="005775E8">
        <w:t xml:space="preserve">eighth </w:t>
      </w:r>
      <w:r w:rsidR="0072628F">
        <w:t>respondents appeal under SC 163-18 was struck off the roll,</w:t>
      </w:r>
      <w:r w:rsidR="00DB703A">
        <w:t xml:space="preserve"> the </w:t>
      </w:r>
      <w:r w:rsidR="005775E8">
        <w:t>sixth</w:t>
      </w:r>
      <w:r w:rsidR="00DB703A">
        <w:t xml:space="preserve">, </w:t>
      </w:r>
      <w:r w:rsidR="005775E8">
        <w:t>seventh</w:t>
      </w:r>
      <w:r w:rsidR="00DB703A">
        <w:t xml:space="preserve">, and </w:t>
      </w:r>
      <w:r w:rsidR="005775E8">
        <w:t>eighth</w:t>
      </w:r>
      <w:r w:rsidR="00DB703A">
        <w:t xml:space="preserve"> respondents on one hand</w:t>
      </w:r>
      <w:r w:rsidR="0072628F">
        <w:t>,</w:t>
      </w:r>
      <w:r w:rsidR="00DB703A">
        <w:t xml:space="preserve"> and </w:t>
      </w:r>
      <w:r w:rsidR="0072628F">
        <w:t xml:space="preserve">the </w:t>
      </w:r>
      <w:r w:rsidR="005775E8">
        <w:t>first</w:t>
      </w:r>
      <w:r w:rsidR="00DB703A">
        <w:t xml:space="preserve">, </w:t>
      </w:r>
      <w:r w:rsidR="005775E8">
        <w:t>third</w:t>
      </w:r>
      <w:r w:rsidR="00DB703A">
        <w:t xml:space="preserve"> and </w:t>
      </w:r>
      <w:r w:rsidR="005775E8">
        <w:t xml:space="preserve">fourth </w:t>
      </w:r>
      <w:r w:rsidR="00DB703A">
        <w:t>respondents entered into a deed of settlement. The material terms of the compromise were that</w:t>
      </w:r>
      <w:r w:rsidR="005775E8">
        <w:t xml:space="preserve"> the sum US$ 478 600</w:t>
      </w:r>
      <w:r w:rsidR="002E03B8">
        <w:t xml:space="preserve"> and any interest thereon was to be deposited into </w:t>
      </w:r>
      <w:r w:rsidR="005775E8">
        <w:t>eighth</w:t>
      </w:r>
      <w:r w:rsidR="002E03B8">
        <w:t xml:space="preserve"> respondent’s account; the sum US$ 134 000</w:t>
      </w:r>
      <w:r w:rsidR="005775E8">
        <w:t xml:space="preserve"> </w:t>
      </w:r>
      <w:r w:rsidR="002E03B8">
        <w:t xml:space="preserve">and any interest thereon shall be paid to Cobmaster Investments (Pty) </w:t>
      </w:r>
      <w:r w:rsidR="00E42357">
        <w:t>Ltd and</w:t>
      </w:r>
      <w:r w:rsidR="002E03B8">
        <w:t xml:space="preserve"> the sum of US$ 613 000</w:t>
      </w:r>
      <w:r w:rsidR="005775E8">
        <w:t xml:space="preserve"> </w:t>
      </w:r>
      <w:r w:rsidR="002E03B8">
        <w:t xml:space="preserve">and any interest payable thereon shall be deposited in PTY Holding GYH Ltd’s account. It was further agreed that should the applicant offer to compromise with the parties, the parties undertook to jointly consider the offer before acceptance. </w:t>
      </w:r>
      <w:r w:rsidR="00E42357">
        <w:t xml:space="preserve">It is important to note that the compromise in this case was between the </w:t>
      </w:r>
      <w:r w:rsidR="005775E8">
        <w:t>first</w:t>
      </w:r>
      <w:r w:rsidR="00E42357">
        <w:t xml:space="preserve">, </w:t>
      </w:r>
      <w:r w:rsidR="005775E8">
        <w:t>third</w:t>
      </w:r>
      <w:r w:rsidR="00E42357">
        <w:t xml:space="preserve">, and </w:t>
      </w:r>
      <w:r w:rsidR="005775E8">
        <w:t xml:space="preserve">fourth </w:t>
      </w:r>
      <w:r w:rsidR="00E42357">
        <w:t xml:space="preserve">respondents on one hand and the </w:t>
      </w:r>
      <w:r w:rsidR="005775E8">
        <w:t>sixth</w:t>
      </w:r>
      <w:r w:rsidR="00E42357">
        <w:t xml:space="preserve">, </w:t>
      </w:r>
      <w:r w:rsidR="005775E8">
        <w:t>seventh</w:t>
      </w:r>
      <w:r w:rsidR="00E42357">
        <w:t xml:space="preserve">, and </w:t>
      </w:r>
      <w:r w:rsidR="005775E8">
        <w:t xml:space="preserve">eighth </w:t>
      </w:r>
      <w:r w:rsidR="00E42357">
        <w:t xml:space="preserve">respondents on the other. On 11 December 2018, the </w:t>
      </w:r>
      <w:r w:rsidR="005775E8">
        <w:t>sixth</w:t>
      </w:r>
      <w:r w:rsidR="00E42357">
        <w:t xml:space="preserve">, </w:t>
      </w:r>
      <w:r w:rsidR="005775E8">
        <w:t>seventh</w:t>
      </w:r>
      <w:r w:rsidR="00E42357">
        <w:t xml:space="preserve"> and </w:t>
      </w:r>
      <w:r w:rsidR="005775E8">
        <w:t>eighth</w:t>
      </w:r>
      <w:r w:rsidR="00E42357">
        <w:t xml:space="preserve"> legal practitioners wrote t</w:t>
      </w:r>
      <w:r w:rsidR="00373CBE">
        <w:t>o their then legal practitioners.</w:t>
      </w:r>
      <w:r w:rsidR="00E42357">
        <w:t xml:space="preserve"> The relevant part of the letter reads:</w:t>
      </w:r>
    </w:p>
    <w:p w14:paraId="4BA31328" w14:textId="77777777" w:rsidR="0076670E" w:rsidRPr="00A52BC1" w:rsidRDefault="0076670E" w:rsidP="0076670E">
      <w:pPr>
        <w:spacing w:line="360" w:lineRule="auto"/>
        <w:jc w:val="both"/>
        <w:rPr>
          <w:sz w:val="14"/>
          <w:szCs w:val="14"/>
        </w:rPr>
      </w:pPr>
    </w:p>
    <w:p w14:paraId="3BA0FE78" w14:textId="4388F4B1" w:rsidR="00E42357" w:rsidRPr="002D6942" w:rsidRDefault="00E42357" w:rsidP="002D6942">
      <w:pPr>
        <w:ind w:left="720"/>
        <w:jc w:val="both"/>
        <w:rPr>
          <w:sz w:val="22"/>
          <w:szCs w:val="22"/>
        </w:rPr>
      </w:pPr>
      <w:r w:rsidRPr="002D6942">
        <w:rPr>
          <w:sz w:val="22"/>
          <w:szCs w:val="22"/>
        </w:rPr>
        <w:lastRenderedPageBreak/>
        <w:t>“2. We have been instructed to inform you that</w:t>
      </w:r>
      <w:r w:rsidR="00ED10EA">
        <w:rPr>
          <w:sz w:val="22"/>
          <w:szCs w:val="22"/>
        </w:rPr>
        <w:t>,</w:t>
      </w:r>
      <w:r w:rsidRPr="002D6942">
        <w:rPr>
          <w:sz w:val="22"/>
          <w:szCs w:val="22"/>
        </w:rPr>
        <w:t xml:space="preserve"> whereas our clients have been at loggerheads with Messrs </w:t>
      </w:r>
      <w:r w:rsidRPr="005775E8">
        <w:rPr>
          <w:i/>
          <w:sz w:val="22"/>
          <w:szCs w:val="22"/>
        </w:rPr>
        <w:t>Fadi Ali Khatoun</w:t>
      </w:r>
      <w:r w:rsidRPr="002D6942">
        <w:rPr>
          <w:sz w:val="22"/>
          <w:szCs w:val="22"/>
        </w:rPr>
        <w:t>, Minexus Minerals (Pvt) Ltd and Edgetop Mining (Pvt) Ltd, the parties have eventually agreed to settle the dispute between themselves an</w:t>
      </w:r>
      <w:r w:rsidR="00ED10EA">
        <w:rPr>
          <w:sz w:val="22"/>
          <w:szCs w:val="22"/>
        </w:rPr>
        <w:t>d</w:t>
      </w:r>
      <w:r w:rsidRPr="002D6942">
        <w:rPr>
          <w:sz w:val="22"/>
          <w:szCs w:val="22"/>
        </w:rPr>
        <w:t xml:space="preserve"> to share the funds held by yourselves. To this extent, we refer you to the deed of settlement attached hereto</w:t>
      </w:r>
      <w:r w:rsidR="0076670E" w:rsidRPr="002D6942">
        <w:rPr>
          <w:sz w:val="22"/>
          <w:szCs w:val="22"/>
        </w:rPr>
        <w:t>.”</w:t>
      </w:r>
    </w:p>
    <w:p w14:paraId="0AE010AF" w14:textId="77777777" w:rsidR="0059631A" w:rsidRPr="00B663A0" w:rsidRDefault="0059631A" w:rsidP="00E42357">
      <w:pPr>
        <w:spacing w:line="360" w:lineRule="auto"/>
        <w:ind w:left="720"/>
        <w:jc w:val="both"/>
        <w:rPr>
          <w:sz w:val="18"/>
          <w:szCs w:val="18"/>
        </w:rPr>
      </w:pPr>
    </w:p>
    <w:p w14:paraId="5C3B988E" w14:textId="5179E9EA" w:rsidR="00CF40DF" w:rsidRDefault="00E42357" w:rsidP="00E42357">
      <w:pPr>
        <w:spacing w:line="360" w:lineRule="auto"/>
        <w:ind w:firstLine="720"/>
        <w:jc w:val="both"/>
      </w:pPr>
      <w:r>
        <w:t>Various correspondences were exchanged between the parties</w:t>
      </w:r>
      <w:r w:rsidR="00373CBE">
        <w:t>. However, of importance is a letter</w:t>
      </w:r>
      <w:r w:rsidR="000F1D21">
        <w:t xml:space="preserve"> dated 25 April 2019 by the applicant </w:t>
      </w:r>
      <w:r>
        <w:t xml:space="preserve">to the </w:t>
      </w:r>
      <w:r w:rsidR="005775E8">
        <w:t>sixth</w:t>
      </w:r>
      <w:r>
        <w:t xml:space="preserve">, </w:t>
      </w:r>
      <w:r w:rsidR="005775E8">
        <w:t>seventh</w:t>
      </w:r>
      <w:r w:rsidR="00CF40DF">
        <w:t xml:space="preserve">, and </w:t>
      </w:r>
      <w:r w:rsidR="005775E8">
        <w:t>eighth</w:t>
      </w:r>
      <w:r w:rsidR="00CF40DF">
        <w:t xml:space="preserve"> respondents</w:t>
      </w:r>
      <w:r w:rsidR="00373CBE">
        <w:t>,</w:t>
      </w:r>
      <w:r w:rsidR="00CF40DF">
        <w:t xml:space="preserve"> which reads:</w:t>
      </w:r>
    </w:p>
    <w:p w14:paraId="7A9DC149" w14:textId="77777777" w:rsidR="000F1D21" w:rsidRPr="000F1D21" w:rsidRDefault="000F1D21" w:rsidP="00E42357">
      <w:pPr>
        <w:spacing w:line="360" w:lineRule="auto"/>
        <w:ind w:firstLine="720"/>
        <w:jc w:val="both"/>
        <w:rPr>
          <w:sz w:val="12"/>
          <w:szCs w:val="12"/>
        </w:rPr>
      </w:pPr>
    </w:p>
    <w:p w14:paraId="2A7642B9" w14:textId="4F2C123A" w:rsidR="00CF40DF" w:rsidRPr="005775E8" w:rsidRDefault="00CF40DF" w:rsidP="00373CBE">
      <w:pPr>
        <w:ind w:left="720"/>
        <w:jc w:val="both"/>
        <w:rPr>
          <w:sz w:val="22"/>
          <w:szCs w:val="22"/>
        </w:rPr>
      </w:pPr>
      <w:r w:rsidRPr="005775E8">
        <w:rPr>
          <w:sz w:val="22"/>
          <w:szCs w:val="22"/>
        </w:rPr>
        <w:t xml:space="preserve">“We apologize for the delays in implementing the settlement agreed between the parties on this matter, and humbly request your further indulgences to 26 April 2019 mid-day to enable MMCZ to obtain the principals’ approvals for a private viewing by your clients’ representative.” </w:t>
      </w:r>
    </w:p>
    <w:p w14:paraId="5951EDCA" w14:textId="77777777" w:rsidR="00CF40DF" w:rsidRDefault="00CF40DF" w:rsidP="00CF40DF">
      <w:pPr>
        <w:spacing w:line="360" w:lineRule="auto"/>
        <w:jc w:val="both"/>
      </w:pPr>
    </w:p>
    <w:p w14:paraId="54600971" w14:textId="0D03E4DE" w:rsidR="00CF40DF" w:rsidRDefault="0080319C" w:rsidP="00212F90">
      <w:pPr>
        <w:spacing w:line="360" w:lineRule="auto"/>
        <w:ind w:firstLine="720"/>
        <w:jc w:val="both"/>
      </w:pPr>
      <w:r>
        <w:t xml:space="preserve">Besides, </w:t>
      </w:r>
      <w:r w:rsidR="00CF40DF">
        <w:t>an email dated 22 Januar</w:t>
      </w:r>
      <w:r>
        <w:t>y 2020 sent by the late</w:t>
      </w:r>
      <w:r w:rsidR="00CF40DF">
        <w:t xml:space="preserve"> Mr. Tongai Muzenda</w:t>
      </w:r>
      <w:r>
        <w:t>,</w:t>
      </w:r>
      <w:r w:rsidR="00CF40DF">
        <w:t xml:space="preserve"> an </w:t>
      </w:r>
      <w:r>
        <w:t>official of the applicant to Mr</w:t>
      </w:r>
      <w:r w:rsidR="00CF40DF">
        <w:t xml:space="preserve"> Julius Chikomwe</w:t>
      </w:r>
      <w:r>
        <w:t>,</w:t>
      </w:r>
      <w:r w:rsidR="00CF40DF">
        <w:t xml:space="preserve"> a legal practitioner representing the </w:t>
      </w:r>
      <w:r w:rsidR="005775E8">
        <w:t>sixth</w:t>
      </w:r>
      <w:r w:rsidR="00CF40DF">
        <w:t xml:space="preserve">, </w:t>
      </w:r>
      <w:r w:rsidR="005775E8">
        <w:t>seventh</w:t>
      </w:r>
      <w:r w:rsidR="00CF40DF">
        <w:t xml:space="preserve">, and </w:t>
      </w:r>
      <w:r w:rsidR="005775E8">
        <w:t>eighth</w:t>
      </w:r>
      <w:r>
        <w:t xml:space="preserve"> </w:t>
      </w:r>
      <w:r w:rsidR="00865731">
        <w:t>respondent’s</w:t>
      </w:r>
      <w:r w:rsidR="00212F90">
        <w:t xml:space="preserve"> reads:</w:t>
      </w:r>
    </w:p>
    <w:p w14:paraId="46DC0E2D" w14:textId="77777777" w:rsidR="00B11E90" w:rsidRPr="00B11E90" w:rsidRDefault="00B11E90" w:rsidP="00B11E90">
      <w:pPr>
        <w:ind w:firstLine="720"/>
        <w:jc w:val="both"/>
        <w:rPr>
          <w:sz w:val="22"/>
          <w:szCs w:val="22"/>
        </w:rPr>
      </w:pPr>
    </w:p>
    <w:p w14:paraId="7151A43F" w14:textId="53578C9A" w:rsidR="00212F90" w:rsidRPr="00B11E90" w:rsidRDefault="00212F90" w:rsidP="00B11E90">
      <w:pPr>
        <w:ind w:left="720"/>
        <w:jc w:val="both"/>
        <w:rPr>
          <w:sz w:val="22"/>
          <w:szCs w:val="22"/>
        </w:rPr>
      </w:pPr>
      <w:r w:rsidRPr="00B11E90">
        <w:rPr>
          <w:sz w:val="22"/>
          <w:szCs w:val="22"/>
        </w:rPr>
        <w:t>“Reference our conversation a few minutes ago.</w:t>
      </w:r>
    </w:p>
    <w:p w14:paraId="3B2024F5" w14:textId="4C0D48D7" w:rsidR="00212F90" w:rsidRPr="00B11E90" w:rsidRDefault="00212F90" w:rsidP="00B11E90">
      <w:pPr>
        <w:ind w:left="720"/>
        <w:jc w:val="both"/>
        <w:rPr>
          <w:sz w:val="22"/>
          <w:szCs w:val="22"/>
        </w:rPr>
      </w:pPr>
      <w:r w:rsidRPr="00B11E90">
        <w:rPr>
          <w:sz w:val="22"/>
          <w:szCs w:val="22"/>
        </w:rPr>
        <w:t>May I request for an extension to end of day today to give me time to discuss with my principals …I am having final meetings here in Bulawayo to map the way forward. I hope a green light will be given.</w:t>
      </w:r>
    </w:p>
    <w:p w14:paraId="663BDB23" w14:textId="373CAD66" w:rsidR="00212F90" w:rsidRPr="00B11E90" w:rsidRDefault="00212F90" w:rsidP="00B11E90">
      <w:pPr>
        <w:ind w:left="720"/>
        <w:jc w:val="both"/>
        <w:rPr>
          <w:sz w:val="22"/>
          <w:szCs w:val="22"/>
        </w:rPr>
      </w:pPr>
      <w:r w:rsidRPr="00B11E90">
        <w:rPr>
          <w:sz w:val="22"/>
          <w:szCs w:val="22"/>
        </w:rPr>
        <w:t>Kind Regards</w:t>
      </w:r>
    </w:p>
    <w:p w14:paraId="5F51AC0B" w14:textId="616B9D01" w:rsidR="00212F90" w:rsidRPr="00B11E90" w:rsidRDefault="00212F90" w:rsidP="00B11E90">
      <w:pPr>
        <w:ind w:left="720"/>
        <w:jc w:val="both"/>
        <w:rPr>
          <w:sz w:val="22"/>
          <w:szCs w:val="22"/>
        </w:rPr>
      </w:pPr>
      <w:r w:rsidRPr="00B11E90">
        <w:rPr>
          <w:sz w:val="22"/>
          <w:szCs w:val="22"/>
        </w:rPr>
        <w:t>Tongai Muzenda”</w:t>
      </w:r>
    </w:p>
    <w:p w14:paraId="51F4FBE6" w14:textId="77777777" w:rsidR="00212F90" w:rsidRDefault="00212F90" w:rsidP="00212F90">
      <w:pPr>
        <w:spacing w:line="360" w:lineRule="auto"/>
        <w:ind w:left="720"/>
        <w:jc w:val="both"/>
      </w:pPr>
    </w:p>
    <w:p w14:paraId="2B8AFE52" w14:textId="769BC5C7" w:rsidR="00C23F21" w:rsidRDefault="00212F90" w:rsidP="00C23F21">
      <w:pPr>
        <w:spacing w:line="360" w:lineRule="auto"/>
        <w:ind w:firstLine="720"/>
        <w:jc w:val="both"/>
      </w:pPr>
      <w:r>
        <w:t>It would seem from the above extracts that the applicant had incurred some form of obligation to act in terms of the deed of sett</w:t>
      </w:r>
      <w:r w:rsidR="00646822">
        <w:t xml:space="preserve">lement. However, on close analysis the applicant </w:t>
      </w:r>
      <w:r>
        <w:t>was not legally obligated to do so. I say so because, as correctly pointed out by the applicant in its opposing papers</w:t>
      </w:r>
      <w:r w:rsidR="004D4B42">
        <w:t>, it was not</w:t>
      </w:r>
      <w:r w:rsidR="00597501">
        <w:t xml:space="preserve"> a party to the deed of settlement. </w:t>
      </w:r>
      <w:r w:rsidR="004D4B42">
        <w:t>It remained clear</w:t>
      </w:r>
      <w:r w:rsidR="00734BFC">
        <w:t xml:space="preserve"> from the deed of settlement that</w:t>
      </w:r>
      <w:r w:rsidR="004D4B42">
        <w:t xml:space="preserve"> no obl</w:t>
      </w:r>
      <w:r w:rsidR="00734BFC">
        <w:t xml:space="preserve">igations accrued to anyone except </w:t>
      </w:r>
      <w:r w:rsidR="004D4B42">
        <w:t>in terms of the deed</w:t>
      </w:r>
      <w:r w:rsidR="00734BFC">
        <w:t xml:space="preserve"> of settlement. I have seen A</w:t>
      </w:r>
      <w:r w:rsidR="004D4B42">
        <w:t>nnexure</w:t>
      </w:r>
      <w:r w:rsidR="00734BFC">
        <w:t xml:space="preserve">s D1 to D6 and E, which are </w:t>
      </w:r>
      <w:r w:rsidR="004D4B42">
        <w:t>evidence</w:t>
      </w:r>
      <w:r w:rsidR="00734BFC">
        <w:t xml:space="preserve"> of</w:t>
      </w:r>
      <w:r w:rsidR="004D4B42">
        <w:t xml:space="preserve"> payments made to the </w:t>
      </w:r>
      <w:r w:rsidR="005775E8">
        <w:t>first</w:t>
      </w:r>
      <w:r w:rsidR="004D4B42">
        <w:t>,</w:t>
      </w:r>
      <w:r w:rsidR="005775E8">
        <w:t xml:space="preserve"> third</w:t>
      </w:r>
      <w:r w:rsidR="004D4B42">
        <w:t xml:space="preserve">, and </w:t>
      </w:r>
      <w:r w:rsidR="005775E8">
        <w:t xml:space="preserve">fourth </w:t>
      </w:r>
      <w:r w:rsidR="004D4B42">
        <w:t>respondents by the applicant representing full payment of</w:t>
      </w:r>
      <w:r w:rsidR="00A477B0">
        <w:t xml:space="preserve"> the judgment debt. There is</w:t>
      </w:r>
      <w:r w:rsidR="004D4B42">
        <w:t xml:space="preserve"> no doubt that full payment was made to the </w:t>
      </w:r>
      <w:r w:rsidR="005775E8">
        <w:t>first</w:t>
      </w:r>
      <w:r w:rsidR="004D4B42">
        <w:t xml:space="preserve">, </w:t>
      </w:r>
      <w:r w:rsidR="005775E8">
        <w:t>third</w:t>
      </w:r>
      <w:r w:rsidR="004D4B42">
        <w:t xml:space="preserve">, and </w:t>
      </w:r>
      <w:r w:rsidR="005775E8">
        <w:t>fourth</w:t>
      </w:r>
      <w:r w:rsidR="004D4B42">
        <w:t xml:space="preserve"> respondents albeit not in terms of the deed of settlement entered into by the </w:t>
      </w:r>
      <w:r w:rsidR="005775E8">
        <w:t>first</w:t>
      </w:r>
      <w:r w:rsidR="004D4B42">
        <w:t xml:space="preserve">, </w:t>
      </w:r>
      <w:r w:rsidR="005775E8">
        <w:t>third</w:t>
      </w:r>
      <w:r w:rsidR="004D4B42">
        <w:t xml:space="preserve">, and </w:t>
      </w:r>
      <w:r w:rsidR="005775E8">
        <w:t>fourth</w:t>
      </w:r>
      <w:r w:rsidR="004D4B42">
        <w:t xml:space="preserve"> respondents and </w:t>
      </w:r>
      <w:r w:rsidR="005775E8">
        <w:t>sixth</w:t>
      </w:r>
      <w:r w:rsidR="004D4B42">
        <w:t xml:space="preserve">, </w:t>
      </w:r>
      <w:r w:rsidR="005775E8">
        <w:t>seventh</w:t>
      </w:r>
      <w:r w:rsidR="004D4B42">
        <w:t xml:space="preserve">, and </w:t>
      </w:r>
      <w:r w:rsidR="005775E8">
        <w:t>eighth</w:t>
      </w:r>
      <w:r w:rsidR="004D4B42">
        <w:t xml:space="preserve"> respondents. </w:t>
      </w:r>
      <w:r w:rsidR="00AA0506">
        <w:t>In my view, t</w:t>
      </w:r>
      <w:r w:rsidR="004D4B42">
        <w:t xml:space="preserve">he </w:t>
      </w:r>
      <w:r w:rsidR="005775E8">
        <w:t>sixth</w:t>
      </w:r>
      <w:r w:rsidR="004D4B42">
        <w:t xml:space="preserve">, </w:t>
      </w:r>
      <w:r w:rsidR="005775E8">
        <w:t>seventh</w:t>
      </w:r>
      <w:r w:rsidR="004D4B42">
        <w:t>, and</w:t>
      </w:r>
      <w:r w:rsidR="005775E8">
        <w:t xml:space="preserve"> eighth</w:t>
      </w:r>
      <w:r w:rsidR="00AA0506">
        <w:t xml:space="preserve"> appear to be right when they</w:t>
      </w:r>
      <w:r w:rsidR="004D4B42">
        <w:t xml:space="preserve"> say that some of the applicant’s officials took advantage of the circumstances</w:t>
      </w:r>
      <w:r w:rsidR="00AA0506">
        <w:t>,</w:t>
      </w:r>
      <w:r w:rsidR="004D4B42">
        <w:t xml:space="preserve"> and for unknown </w:t>
      </w:r>
      <w:r w:rsidR="004D4B42">
        <w:lastRenderedPageBreak/>
        <w:t xml:space="preserve">reasons circumvented </w:t>
      </w:r>
      <w:r w:rsidR="005775E8">
        <w:t>sixth</w:t>
      </w:r>
      <w:r w:rsidR="00B02AF5">
        <w:t xml:space="preserve">, </w:t>
      </w:r>
      <w:r w:rsidR="005775E8">
        <w:t>seventh</w:t>
      </w:r>
      <w:r w:rsidR="00B02AF5">
        <w:t xml:space="preserve">, and </w:t>
      </w:r>
      <w:r w:rsidR="005775E8">
        <w:t>eighth</w:t>
      </w:r>
      <w:r w:rsidR="00B02AF5">
        <w:t xml:space="preserve"> respondents claim with their f</w:t>
      </w:r>
      <w:r w:rsidR="00C23F21">
        <w:t xml:space="preserve">ull knowledge and acquiescence. </w:t>
      </w:r>
    </w:p>
    <w:p w14:paraId="689F0AC3" w14:textId="4D6542CF" w:rsidR="00826F04" w:rsidRDefault="00B02AF5" w:rsidP="00C23F21">
      <w:pPr>
        <w:spacing w:line="360" w:lineRule="auto"/>
        <w:ind w:firstLine="720"/>
        <w:jc w:val="both"/>
      </w:pPr>
      <w:r>
        <w:t>The papers filed before m</w:t>
      </w:r>
      <w:r w:rsidR="00CC2236">
        <w:t>e clearly show</w:t>
      </w:r>
      <w:r>
        <w:t xml:space="preserve"> that the </w:t>
      </w:r>
      <w:r w:rsidR="005775E8">
        <w:t>first</w:t>
      </w:r>
      <w:r>
        <w:t xml:space="preserve">, </w:t>
      </w:r>
      <w:r w:rsidR="005775E8">
        <w:t>third</w:t>
      </w:r>
      <w:r>
        <w:t xml:space="preserve">, and </w:t>
      </w:r>
      <w:r w:rsidR="005775E8">
        <w:t>fourth</w:t>
      </w:r>
      <w:r>
        <w:t xml:space="preserve"> respondents received the total amount due in terms of the judgment debt but did not pay wha</w:t>
      </w:r>
      <w:r w:rsidR="00C23F21">
        <w:t xml:space="preserve">t was agreed to be paid to the </w:t>
      </w:r>
      <w:r w:rsidR="005775E8">
        <w:t>sixth</w:t>
      </w:r>
      <w:r>
        <w:t xml:space="preserve">, </w:t>
      </w:r>
      <w:r w:rsidR="005775E8">
        <w:t>seventh</w:t>
      </w:r>
      <w:r>
        <w:t xml:space="preserve">, and </w:t>
      </w:r>
      <w:r w:rsidR="005775E8">
        <w:t>eighth</w:t>
      </w:r>
      <w:r w:rsidR="00C23F21">
        <w:t xml:space="preserve"> respondents</w:t>
      </w:r>
      <w:r>
        <w:t xml:space="preserve">. </w:t>
      </w:r>
      <w:r w:rsidR="009B2451">
        <w:t xml:space="preserve">It is settled law that an application for </w:t>
      </w:r>
      <w:r w:rsidR="00826F04">
        <w:t xml:space="preserve">a declaratory </w:t>
      </w:r>
      <w:r w:rsidR="009B2451">
        <w:t xml:space="preserve">is </w:t>
      </w:r>
      <w:r w:rsidR="00826F04">
        <w:t>made in terms of s 14 of the High Court Act [</w:t>
      </w:r>
      <w:r w:rsidR="00826F04" w:rsidRPr="009B2451">
        <w:rPr>
          <w:i/>
          <w:iCs/>
        </w:rPr>
        <w:t>Chapter 7:06</w:t>
      </w:r>
      <w:r w:rsidR="00826F04">
        <w:t>] which provides that:</w:t>
      </w:r>
    </w:p>
    <w:p w14:paraId="1465AB30" w14:textId="77777777" w:rsidR="008C5C73" w:rsidRPr="008C5C73" w:rsidRDefault="008C5C73" w:rsidP="008C5C73">
      <w:pPr>
        <w:spacing w:line="360" w:lineRule="auto"/>
        <w:ind w:firstLine="720"/>
        <w:jc w:val="both"/>
        <w:rPr>
          <w:sz w:val="18"/>
          <w:szCs w:val="18"/>
        </w:rPr>
      </w:pPr>
    </w:p>
    <w:p w14:paraId="549B52DE" w14:textId="4F0890D4" w:rsidR="00826F04" w:rsidRPr="008C5C73" w:rsidRDefault="00826F04" w:rsidP="008C5C73">
      <w:pPr>
        <w:ind w:left="720"/>
        <w:jc w:val="both"/>
        <w:rPr>
          <w:sz w:val="22"/>
          <w:szCs w:val="22"/>
        </w:rPr>
      </w:pPr>
      <w:r w:rsidRPr="008C5C73">
        <w:rPr>
          <w:sz w:val="22"/>
          <w:szCs w:val="22"/>
        </w:rPr>
        <w:t xml:space="preserve">“The High Court may in its discretion, at the instance of any interested person, inquire </w:t>
      </w:r>
      <w:r w:rsidR="009B2451" w:rsidRPr="008C5C73">
        <w:rPr>
          <w:sz w:val="22"/>
          <w:szCs w:val="22"/>
        </w:rPr>
        <w:t>into and determine any existing, future or contingent right or obligation, notwithstanding that such person cannot claim any relief consequential upon such determination.”</w:t>
      </w:r>
    </w:p>
    <w:p w14:paraId="296766DA" w14:textId="77777777" w:rsidR="009B2451" w:rsidRDefault="009B2451" w:rsidP="009B2451">
      <w:pPr>
        <w:spacing w:line="360" w:lineRule="auto"/>
        <w:ind w:left="720"/>
        <w:jc w:val="both"/>
      </w:pPr>
    </w:p>
    <w:p w14:paraId="29B3CCEA" w14:textId="7685F2B2" w:rsidR="009B2451" w:rsidRDefault="009B2451" w:rsidP="005775E8">
      <w:pPr>
        <w:spacing w:line="360" w:lineRule="auto"/>
        <w:ind w:firstLine="720"/>
        <w:jc w:val="both"/>
      </w:pPr>
      <w:r>
        <w:t xml:space="preserve">The requirements of such </w:t>
      </w:r>
      <w:r w:rsidR="00C91583">
        <w:t xml:space="preserve">a </w:t>
      </w:r>
      <w:r>
        <w:t>decla</w:t>
      </w:r>
      <w:r w:rsidR="008C5C73">
        <w:t>ratory order are settled in this jurisdiction, and in</w:t>
      </w:r>
      <w:r>
        <w:t xml:space="preserve"> </w:t>
      </w:r>
      <w:r w:rsidRPr="009B2451">
        <w:rPr>
          <w:i/>
          <w:iCs/>
        </w:rPr>
        <w:t xml:space="preserve">Johnsen </w:t>
      </w:r>
      <w:r w:rsidRPr="005775E8">
        <w:rPr>
          <w:iCs/>
        </w:rPr>
        <w:t>v</w:t>
      </w:r>
      <w:r w:rsidR="005775E8">
        <w:rPr>
          <w:iCs/>
        </w:rPr>
        <w:t xml:space="preserve"> </w:t>
      </w:r>
      <w:r w:rsidRPr="009B2451">
        <w:rPr>
          <w:i/>
          <w:iCs/>
        </w:rPr>
        <w:t>Agricultural Finance Corporation</w:t>
      </w:r>
      <w:r>
        <w:t xml:space="preserve"> 1995 (1) ZLR 65 restating the position as follows:</w:t>
      </w:r>
    </w:p>
    <w:p w14:paraId="3649C2DE" w14:textId="77777777" w:rsidR="008C5C73" w:rsidRPr="008C5C73" w:rsidRDefault="008C5C73" w:rsidP="008C5C73">
      <w:pPr>
        <w:spacing w:line="360" w:lineRule="auto"/>
        <w:jc w:val="both"/>
        <w:rPr>
          <w:sz w:val="10"/>
          <w:szCs w:val="10"/>
        </w:rPr>
      </w:pPr>
    </w:p>
    <w:p w14:paraId="1B13316E" w14:textId="3CDE1579" w:rsidR="009B2451" w:rsidRPr="008C5C73" w:rsidRDefault="009B2451" w:rsidP="008C5C73">
      <w:pPr>
        <w:ind w:left="720"/>
        <w:jc w:val="both"/>
        <w:rPr>
          <w:sz w:val="22"/>
          <w:szCs w:val="22"/>
        </w:rPr>
      </w:pPr>
      <w:r w:rsidRPr="008C5C73">
        <w:rPr>
          <w:sz w:val="22"/>
          <w:szCs w:val="22"/>
        </w:rPr>
        <w:t xml:space="preserve">“The condition precedent to the grant of a declaratory order under </w:t>
      </w:r>
      <w:r w:rsidR="005775E8" w:rsidRPr="008C5C73">
        <w:rPr>
          <w:sz w:val="22"/>
          <w:szCs w:val="22"/>
        </w:rPr>
        <w:t>s</w:t>
      </w:r>
      <w:r w:rsidR="005775E8">
        <w:rPr>
          <w:sz w:val="22"/>
          <w:szCs w:val="22"/>
        </w:rPr>
        <w:t xml:space="preserve"> </w:t>
      </w:r>
      <w:r w:rsidR="005775E8" w:rsidRPr="008C5C73">
        <w:rPr>
          <w:sz w:val="22"/>
          <w:szCs w:val="22"/>
        </w:rPr>
        <w:t>14</w:t>
      </w:r>
      <w:r w:rsidRPr="008C5C73">
        <w:rPr>
          <w:sz w:val="22"/>
          <w:szCs w:val="22"/>
        </w:rPr>
        <w:t xml:space="preserve"> of the High Court Act of Zimbabwe,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is not a pre-requisite to the exercise of jurisdiction. See </w:t>
      </w:r>
      <w:r w:rsidRPr="006E31F3">
        <w:rPr>
          <w:i/>
          <w:sz w:val="22"/>
          <w:szCs w:val="22"/>
        </w:rPr>
        <w:t>Ex P Chief Immigration Officer</w:t>
      </w:r>
      <w:r w:rsidRPr="008C5C73">
        <w:rPr>
          <w:sz w:val="22"/>
          <w:szCs w:val="22"/>
        </w:rPr>
        <w:t xml:space="preserve"> 1993 (1) ZLR 122 (S) at 129 F-G; 1994 (1) SA 370 (25) at 376G-H; </w:t>
      </w:r>
      <w:r w:rsidRPr="006E31F3">
        <w:rPr>
          <w:i/>
          <w:sz w:val="22"/>
          <w:szCs w:val="22"/>
        </w:rPr>
        <w:t xml:space="preserve">Munn Publishing (Pvt) Ltd </w:t>
      </w:r>
      <w:r w:rsidR="005775E8">
        <w:rPr>
          <w:sz w:val="22"/>
          <w:szCs w:val="22"/>
        </w:rPr>
        <w:t>v</w:t>
      </w:r>
      <w:r w:rsidRPr="006E31F3">
        <w:rPr>
          <w:i/>
          <w:sz w:val="22"/>
          <w:szCs w:val="22"/>
        </w:rPr>
        <w:t xml:space="preserve"> ZBC</w:t>
      </w:r>
      <w:r w:rsidRPr="008C5C73">
        <w:rPr>
          <w:sz w:val="22"/>
          <w:szCs w:val="22"/>
        </w:rPr>
        <w:t xml:space="preserve"> 1994 (1) ZLR 337 (S) and the cases cited…”.</w:t>
      </w:r>
    </w:p>
    <w:p w14:paraId="5503CDA8" w14:textId="77777777" w:rsidR="009B2451" w:rsidRDefault="009B2451" w:rsidP="009B2451">
      <w:pPr>
        <w:spacing w:line="360" w:lineRule="auto"/>
        <w:jc w:val="both"/>
      </w:pPr>
    </w:p>
    <w:p w14:paraId="4E382B8C" w14:textId="7FD815E4" w:rsidR="009E510E" w:rsidRDefault="006E31F3" w:rsidP="005775E8">
      <w:pPr>
        <w:spacing w:line="360" w:lineRule="auto"/>
        <w:ind w:firstLine="720"/>
        <w:jc w:val="both"/>
      </w:pPr>
      <w:r>
        <w:t xml:space="preserve">In </w:t>
      </w:r>
      <w:r w:rsidRPr="006E31F3">
        <w:rPr>
          <w:i/>
        </w:rPr>
        <w:t>casu</w:t>
      </w:r>
      <w:r>
        <w:t>, it seems to me</w:t>
      </w:r>
      <w:r w:rsidR="009B2451">
        <w:t xml:space="preserve"> that the applicant is an interested party and has a direct and substantial interest in the subject matter of the suit</w:t>
      </w:r>
      <w:r>
        <w:t xml:space="preserve">, namely, </w:t>
      </w:r>
      <w:r w:rsidR="009B2451">
        <w:t xml:space="preserve">whether the judgment debt was paid in full. </w:t>
      </w:r>
      <w:r w:rsidR="00D819C8">
        <w:t xml:space="preserve">The applicant, in my view, </w:t>
      </w:r>
      <w:r w:rsidR="00DE59AC">
        <w:t>satisfies the first rung of the test for a declaratory order. The existing rights and obligations of the parties are as already described in the preceding p</w:t>
      </w:r>
      <w:r w:rsidR="00D819C8">
        <w:t>arag</w:t>
      </w:r>
      <w:r w:rsidR="0032417C">
        <w:t xml:space="preserve">raphs. The applicant demonstrated that it paid the judgment debt in full to the </w:t>
      </w:r>
      <w:r w:rsidR="005775E8">
        <w:t>first</w:t>
      </w:r>
      <w:r w:rsidR="0032417C">
        <w:t xml:space="preserve">, </w:t>
      </w:r>
      <w:r w:rsidR="005775E8">
        <w:t>third</w:t>
      </w:r>
      <w:r w:rsidR="0032417C">
        <w:t xml:space="preserve">, and </w:t>
      </w:r>
      <w:r w:rsidR="005775E8">
        <w:t xml:space="preserve">fourth </w:t>
      </w:r>
      <w:r w:rsidR="0032417C">
        <w:t xml:space="preserve">respondents in term of the judgment under HH 619/17. </w:t>
      </w:r>
      <w:r w:rsidR="001A254A">
        <w:t>T</w:t>
      </w:r>
      <w:r w:rsidR="006930CA">
        <w:t>he</w:t>
      </w:r>
      <w:r w:rsidR="007020CF">
        <w:t xml:space="preserve"> view I take is that </w:t>
      </w:r>
      <w:r w:rsidR="006930CA">
        <w:t>t</w:t>
      </w:r>
      <w:r w:rsidR="001A254A">
        <w:t xml:space="preserve">he failure by the </w:t>
      </w:r>
      <w:r w:rsidR="005775E8">
        <w:t>first</w:t>
      </w:r>
      <w:r w:rsidR="001A254A">
        <w:t xml:space="preserve">, </w:t>
      </w:r>
      <w:r w:rsidR="005775E8">
        <w:t>third</w:t>
      </w:r>
      <w:r w:rsidR="001A254A">
        <w:t xml:space="preserve">, and </w:t>
      </w:r>
      <w:r w:rsidR="005775E8">
        <w:t xml:space="preserve">fourth </w:t>
      </w:r>
      <w:r w:rsidR="001A254A">
        <w:t xml:space="preserve">respondents to pay the </w:t>
      </w:r>
      <w:r w:rsidR="005775E8">
        <w:t>sixth</w:t>
      </w:r>
      <w:r w:rsidR="001A254A">
        <w:t xml:space="preserve">, </w:t>
      </w:r>
      <w:r w:rsidR="005775E8">
        <w:t>seventh</w:t>
      </w:r>
      <w:r w:rsidR="001A254A">
        <w:t xml:space="preserve">, and </w:t>
      </w:r>
      <w:r w:rsidR="005775E8">
        <w:t>eighth</w:t>
      </w:r>
      <w:r w:rsidR="001A254A">
        <w:t xml:space="preserve"> responden</w:t>
      </w:r>
      <w:r w:rsidR="006930CA">
        <w:t>ts what was due to them</w:t>
      </w:r>
      <w:r w:rsidR="001A254A">
        <w:t xml:space="preserve"> is not applicant’s fault</w:t>
      </w:r>
      <w:r w:rsidR="00D25BB3">
        <w:t>.</w:t>
      </w:r>
      <w:r w:rsidR="007020CF">
        <w:t xml:space="preserve"> T</w:t>
      </w:r>
      <w:r w:rsidR="001A254A">
        <w:t xml:space="preserve">he applicant </w:t>
      </w:r>
      <w:r w:rsidR="007020CF">
        <w:t xml:space="preserve">therefore </w:t>
      </w:r>
      <w:r w:rsidR="001A254A">
        <w:t xml:space="preserve">discharged its obligations in terms of the judgment under HH 619/17 in HC 3117/17. </w:t>
      </w:r>
      <w:r w:rsidR="00D25BB3">
        <w:t xml:space="preserve"> There is no reason, in my view, why a counter claim was filed against a declarater, more so, in circumstances where payment had been made to a person other than the applicant. </w:t>
      </w:r>
      <w:r w:rsidR="00C53AA0">
        <w:t xml:space="preserve">For this reason, I find no merit in the counter application and I am disposed to dismiss it. </w:t>
      </w:r>
      <w:r w:rsidR="00C2638C">
        <w:t>I</w:t>
      </w:r>
      <w:r w:rsidR="00572C1D">
        <w:t xml:space="preserve">n the exercise of my discretion, I am </w:t>
      </w:r>
      <w:r w:rsidR="00C53AA0">
        <w:t>satisfied that the app</w:t>
      </w:r>
      <w:r w:rsidR="00C2638C">
        <w:t>licant has established</w:t>
      </w:r>
      <w:r w:rsidR="00C53AA0">
        <w:t xml:space="preserve"> a </w:t>
      </w:r>
      <w:r w:rsidR="00C53AA0">
        <w:lastRenderedPageBreak/>
        <w:t>case for</w:t>
      </w:r>
      <w:r w:rsidR="00C2638C">
        <w:t xml:space="preserve"> the</w:t>
      </w:r>
      <w:r w:rsidR="00C53AA0">
        <w:t xml:space="preserve"> </w:t>
      </w:r>
      <w:r w:rsidR="00572C1D">
        <w:t xml:space="preserve">grant </w:t>
      </w:r>
      <w:r w:rsidR="00C53AA0">
        <w:t>of a declarater, and dismissal of the counter claim</w:t>
      </w:r>
      <w:r w:rsidR="001A254A">
        <w:t xml:space="preserve">. </w:t>
      </w:r>
      <w:r w:rsidR="009E510E">
        <w:t>The issue of costs is always at the discretion</w:t>
      </w:r>
      <w:r w:rsidR="009F5935">
        <w:t xml:space="preserve"> of the court a</w:t>
      </w:r>
      <w:r w:rsidR="00422911">
        <w:t>nd</w:t>
      </w:r>
      <w:r w:rsidR="009F5935">
        <w:t xml:space="preserve"> usually</w:t>
      </w:r>
      <w:r w:rsidR="001C75A7">
        <w:t xml:space="preserve">. </w:t>
      </w:r>
      <w:r w:rsidR="00422911">
        <w:t xml:space="preserve"> However, from the opposition </w:t>
      </w:r>
      <w:r w:rsidR="009E510E">
        <w:t xml:space="preserve">by the </w:t>
      </w:r>
      <w:r w:rsidR="005775E8">
        <w:t>sixth</w:t>
      </w:r>
      <w:r w:rsidR="009E510E">
        <w:t xml:space="preserve">, </w:t>
      </w:r>
      <w:r w:rsidR="005775E8">
        <w:t>seventh</w:t>
      </w:r>
      <w:r w:rsidR="009E510E">
        <w:t xml:space="preserve">, and </w:t>
      </w:r>
      <w:r w:rsidR="005775E8">
        <w:t xml:space="preserve">eighth </w:t>
      </w:r>
      <w:r w:rsidR="009E510E">
        <w:t>respondent</w:t>
      </w:r>
      <w:r w:rsidR="00422911">
        <w:t>, it is apparent</w:t>
      </w:r>
      <w:r w:rsidR="002E5914">
        <w:t xml:space="preserve"> that it an official of the applicant </w:t>
      </w:r>
      <w:r w:rsidR="009E510E">
        <w:t xml:space="preserve">and the </w:t>
      </w:r>
      <w:r w:rsidR="005775E8">
        <w:t>first</w:t>
      </w:r>
      <w:r w:rsidR="009E510E">
        <w:t xml:space="preserve">, </w:t>
      </w:r>
      <w:r w:rsidR="005775E8">
        <w:t>third</w:t>
      </w:r>
      <w:r w:rsidR="009E510E">
        <w:t xml:space="preserve">, and </w:t>
      </w:r>
      <w:r w:rsidR="005775E8">
        <w:t xml:space="preserve">fourth </w:t>
      </w:r>
      <w:r w:rsidR="009E510E">
        <w:t>respon</w:t>
      </w:r>
      <w:r w:rsidR="00422911">
        <w:t>dents</w:t>
      </w:r>
      <w:r w:rsidR="002E5914">
        <w:t>, for an unknown reason, did not pay the</w:t>
      </w:r>
      <w:r w:rsidR="005775E8">
        <w:t xml:space="preserve"> sixth</w:t>
      </w:r>
      <w:r w:rsidR="002E5914">
        <w:t xml:space="preserve">, </w:t>
      </w:r>
      <w:r w:rsidR="005775E8">
        <w:t>seventh</w:t>
      </w:r>
      <w:r w:rsidR="002E5914">
        <w:t xml:space="preserve"> and </w:t>
      </w:r>
      <w:r w:rsidR="005775E8">
        <w:t>eighth</w:t>
      </w:r>
      <w:r w:rsidR="002E5914">
        <w:t xml:space="preserve"> respondents as set out in the deed of transfer. In the circumstances, while the applicant has been successful, I will not</w:t>
      </w:r>
      <w:r w:rsidR="00644E0B">
        <w:t xml:space="preserve"> order costs </w:t>
      </w:r>
      <w:r w:rsidR="009E510E">
        <w:t xml:space="preserve">against the </w:t>
      </w:r>
      <w:r w:rsidR="005775E8">
        <w:t>sixth</w:t>
      </w:r>
      <w:r w:rsidR="009E510E">
        <w:t xml:space="preserve">, </w:t>
      </w:r>
      <w:r w:rsidR="005775E8">
        <w:t>seventh</w:t>
      </w:r>
      <w:r w:rsidR="009E510E">
        <w:t xml:space="preserve">, and </w:t>
      </w:r>
      <w:r w:rsidR="005775E8">
        <w:t>eighth</w:t>
      </w:r>
      <w:r w:rsidR="009E510E">
        <w:t xml:space="preserve"> respondents.</w:t>
      </w:r>
    </w:p>
    <w:p w14:paraId="7A2BB77F" w14:textId="77777777" w:rsidR="00E84BBD" w:rsidRPr="00E84BBD" w:rsidRDefault="00E84BBD" w:rsidP="009B2451">
      <w:pPr>
        <w:spacing w:line="360" w:lineRule="auto"/>
        <w:jc w:val="both"/>
        <w:rPr>
          <w:sz w:val="16"/>
          <w:szCs w:val="16"/>
        </w:rPr>
      </w:pPr>
    </w:p>
    <w:p w14:paraId="410CF5A2" w14:textId="519271FC" w:rsidR="009E510E" w:rsidRPr="00E84BBD" w:rsidRDefault="00E84BBD" w:rsidP="009B2451">
      <w:pPr>
        <w:spacing w:line="360" w:lineRule="auto"/>
        <w:jc w:val="both"/>
        <w:rPr>
          <w:b/>
        </w:rPr>
      </w:pPr>
      <w:r w:rsidRPr="00E84BBD">
        <w:rPr>
          <w:b/>
        </w:rPr>
        <w:t>Disposition</w:t>
      </w:r>
    </w:p>
    <w:p w14:paraId="68352332" w14:textId="559878F7" w:rsidR="009E510E" w:rsidRDefault="00C2638C" w:rsidP="009B2451">
      <w:pPr>
        <w:spacing w:line="360" w:lineRule="auto"/>
        <w:jc w:val="both"/>
      </w:pPr>
      <w:r>
        <w:tab/>
        <w:t>Accordingly, I grant the following order:</w:t>
      </w:r>
    </w:p>
    <w:p w14:paraId="55657A37" w14:textId="77777777" w:rsidR="00F84821" w:rsidRPr="00F84821" w:rsidRDefault="00F84821" w:rsidP="009B2451">
      <w:pPr>
        <w:spacing w:line="360" w:lineRule="auto"/>
        <w:jc w:val="both"/>
        <w:rPr>
          <w:sz w:val="12"/>
          <w:szCs w:val="12"/>
        </w:rPr>
      </w:pPr>
    </w:p>
    <w:p w14:paraId="49166B8B" w14:textId="4F5FD08C" w:rsidR="00F77E7D" w:rsidRDefault="00F77E7D" w:rsidP="00F77E7D">
      <w:pPr>
        <w:pStyle w:val="ListParagraph"/>
        <w:numPr>
          <w:ilvl w:val="0"/>
          <w:numId w:val="40"/>
        </w:numPr>
        <w:spacing w:line="360" w:lineRule="auto"/>
        <w:jc w:val="both"/>
      </w:pPr>
      <w:r>
        <w:t>The applicant’s goods attached in execution of a writ dated 4 October 2017 under HC 3117/17 be and are removed from execution.</w:t>
      </w:r>
    </w:p>
    <w:p w14:paraId="29D07496" w14:textId="3167D221" w:rsidR="00644E0B" w:rsidRDefault="00644E0B" w:rsidP="00F77E7D">
      <w:pPr>
        <w:pStyle w:val="ListParagraph"/>
        <w:numPr>
          <w:ilvl w:val="0"/>
          <w:numId w:val="40"/>
        </w:numPr>
        <w:spacing w:line="360" w:lineRule="auto"/>
        <w:jc w:val="both"/>
      </w:pPr>
      <w:r>
        <w:t xml:space="preserve">The counter application by the </w:t>
      </w:r>
      <w:r w:rsidR="00865731">
        <w:t>sixth</w:t>
      </w:r>
      <w:r>
        <w:t xml:space="preserve">, </w:t>
      </w:r>
      <w:r w:rsidR="00865731">
        <w:t>seventh</w:t>
      </w:r>
      <w:r>
        <w:t xml:space="preserve"> and </w:t>
      </w:r>
      <w:r w:rsidR="00865731">
        <w:t>eighth</w:t>
      </w:r>
      <w:r>
        <w:t xml:space="preserve"> respondents be and is hereby dismissed.</w:t>
      </w:r>
    </w:p>
    <w:p w14:paraId="400EAC6A" w14:textId="735A416C" w:rsidR="00644E0B" w:rsidRDefault="00644E0B" w:rsidP="00F77E7D">
      <w:pPr>
        <w:pStyle w:val="ListParagraph"/>
        <w:numPr>
          <w:ilvl w:val="0"/>
          <w:numId w:val="40"/>
        </w:numPr>
        <w:spacing w:line="360" w:lineRule="auto"/>
        <w:jc w:val="both"/>
      </w:pPr>
      <w:r>
        <w:t>Each party shall bear its own costs.</w:t>
      </w:r>
    </w:p>
    <w:p w14:paraId="688CC40B" w14:textId="34FD9A40" w:rsidR="004B74AD" w:rsidRDefault="004B74AD" w:rsidP="006018B8">
      <w:pPr>
        <w:jc w:val="both"/>
      </w:pPr>
    </w:p>
    <w:p w14:paraId="39D7EFD8" w14:textId="77777777" w:rsidR="00865731" w:rsidRDefault="00865731" w:rsidP="006018B8">
      <w:pPr>
        <w:jc w:val="both"/>
        <w:rPr>
          <w:i/>
        </w:rPr>
      </w:pPr>
    </w:p>
    <w:p w14:paraId="2C190EAE" w14:textId="77777777" w:rsidR="00865731" w:rsidRDefault="00865731" w:rsidP="006018B8">
      <w:pPr>
        <w:jc w:val="both"/>
        <w:rPr>
          <w:i/>
        </w:rPr>
      </w:pPr>
    </w:p>
    <w:p w14:paraId="5855018D" w14:textId="77777777" w:rsidR="00865731" w:rsidRDefault="00865731" w:rsidP="006018B8">
      <w:pPr>
        <w:jc w:val="both"/>
        <w:rPr>
          <w:i/>
        </w:rPr>
      </w:pPr>
    </w:p>
    <w:p w14:paraId="50295DFB" w14:textId="77777777" w:rsidR="00865731" w:rsidRDefault="00865731" w:rsidP="006018B8">
      <w:pPr>
        <w:jc w:val="both"/>
        <w:rPr>
          <w:i/>
        </w:rPr>
      </w:pPr>
    </w:p>
    <w:p w14:paraId="5E074544" w14:textId="77777777" w:rsidR="00865731" w:rsidRDefault="00865731" w:rsidP="006018B8">
      <w:pPr>
        <w:jc w:val="both"/>
        <w:rPr>
          <w:i/>
        </w:rPr>
      </w:pPr>
    </w:p>
    <w:p w14:paraId="57F92ECC" w14:textId="77777777" w:rsidR="00865731" w:rsidRDefault="00865731" w:rsidP="006018B8">
      <w:pPr>
        <w:jc w:val="both"/>
        <w:rPr>
          <w:i/>
        </w:rPr>
      </w:pPr>
    </w:p>
    <w:p w14:paraId="0D8533EF" w14:textId="77777777" w:rsidR="00865731" w:rsidRDefault="00865731" w:rsidP="006018B8">
      <w:pPr>
        <w:jc w:val="both"/>
        <w:rPr>
          <w:i/>
        </w:rPr>
      </w:pPr>
    </w:p>
    <w:p w14:paraId="4A2619E9" w14:textId="77777777" w:rsidR="00865731" w:rsidRDefault="00865731" w:rsidP="006018B8">
      <w:pPr>
        <w:jc w:val="both"/>
        <w:rPr>
          <w:i/>
        </w:rPr>
      </w:pPr>
    </w:p>
    <w:p w14:paraId="32BCE16D" w14:textId="77777777" w:rsidR="00865731" w:rsidRDefault="00865731" w:rsidP="006018B8">
      <w:pPr>
        <w:jc w:val="both"/>
        <w:rPr>
          <w:i/>
        </w:rPr>
      </w:pPr>
    </w:p>
    <w:p w14:paraId="1320EE03" w14:textId="77777777" w:rsidR="00865731" w:rsidRDefault="00865731" w:rsidP="006018B8">
      <w:pPr>
        <w:jc w:val="both"/>
        <w:rPr>
          <w:i/>
        </w:rPr>
      </w:pPr>
    </w:p>
    <w:p w14:paraId="00136BB6" w14:textId="029E937F" w:rsidR="004B74AD" w:rsidRDefault="004B74AD" w:rsidP="006018B8">
      <w:pPr>
        <w:jc w:val="both"/>
      </w:pPr>
      <w:r w:rsidRPr="006018B8">
        <w:rPr>
          <w:i/>
        </w:rPr>
        <w:t>Caleb Mucheche Law Chambers</w:t>
      </w:r>
      <w:r>
        <w:t>, the applicant’s legal practitioners</w:t>
      </w:r>
    </w:p>
    <w:p w14:paraId="188D2F21" w14:textId="332E2A3B" w:rsidR="004B74AD" w:rsidRDefault="004B74AD" w:rsidP="006018B8">
      <w:pPr>
        <w:jc w:val="both"/>
      </w:pPr>
      <w:r w:rsidRPr="006018B8">
        <w:rPr>
          <w:i/>
        </w:rPr>
        <w:t>Rubaya &amp; Chatambudza</w:t>
      </w:r>
      <w:r>
        <w:t xml:space="preserve">, </w:t>
      </w:r>
      <w:r w:rsidR="00865731">
        <w:t>first</w:t>
      </w:r>
      <w:r>
        <w:t xml:space="preserve">, </w:t>
      </w:r>
      <w:r w:rsidR="00865731">
        <w:t>third</w:t>
      </w:r>
      <w:r>
        <w:t xml:space="preserve"> and </w:t>
      </w:r>
      <w:r w:rsidR="00865731">
        <w:t>fourth</w:t>
      </w:r>
      <w:r>
        <w:t xml:space="preserve"> respondents’ legal practitioners</w:t>
      </w:r>
    </w:p>
    <w:p w14:paraId="062854F3" w14:textId="24645B62" w:rsidR="004B74AD" w:rsidRDefault="004B74AD" w:rsidP="006018B8">
      <w:pPr>
        <w:jc w:val="both"/>
      </w:pPr>
      <w:r w:rsidRPr="006018B8">
        <w:rPr>
          <w:i/>
        </w:rPr>
        <w:t>Thompson Stevenson &amp; Associates</w:t>
      </w:r>
      <w:r>
        <w:t xml:space="preserve">, </w:t>
      </w:r>
      <w:r w:rsidR="00865731">
        <w:t>sixth</w:t>
      </w:r>
      <w:r>
        <w:t xml:space="preserve">, </w:t>
      </w:r>
      <w:r w:rsidR="00865731">
        <w:t>seventh</w:t>
      </w:r>
      <w:r>
        <w:t xml:space="preserve"> and </w:t>
      </w:r>
      <w:r w:rsidR="00865731">
        <w:t>eighth</w:t>
      </w:r>
      <w:r>
        <w:t xml:space="preserve"> respondents’ legal practitioners</w:t>
      </w:r>
    </w:p>
    <w:p w14:paraId="5F29B9F3" w14:textId="77777777" w:rsidR="00CF40DF" w:rsidRDefault="00CF40DF" w:rsidP="00CF40DF">
      <w:pPr>
        <w:spacing w:line="360" w:lineRule="auto"/>
        <w:jc w:val="both"/>
      </w:pPr>
    </w:p>
    <w:p w14:paraId="53184A8E" w14:textId="77777777" w:rsidR="00DD7922" w:rsidRPr="007C7786" w:rsidRDefault="00DD7922" w:rsidP="00405423">
      <w:pPr>
        <w:jc w:val="both"/>
      </w:pPr>
    </w:p>
    <w:sectPr w:rsidR="00DD7922" w:rsidRPr="007C7786" w:rsidSect="00500A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856C" w14:textId="77777777" w:rsidR="00614329" w:rsidRDefault="00614329" w:rsidP="005A4D7A">
      <w:r>
        <w:separator/>
      </w:r>
    </w:p>
  </w:endnote>
  <w:endnote w:type="continuationSeparator" w:id="0">
    <w:p w14:paraId="08B4CB82" w14:textId="77777777" w:rsidR="00614329" w:rsidRDefault="00614329"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00E85" w14:textId="77777777" w:rsidR="00614329" w:rsidRDefault="00614329" w:rsidP="005A4D7A">
      <w:r>
        <w:separator/>
      </w:r>
    </w:p>
  </w:footnote>
  <w:footnote w:type="continuationSeparator" w:id="0">
    <w:p w14:paraId="0DA79444" w14:textId="77777777" w:rsidR="00614329" w:rsidRDefault="00614329"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119740"/>
      <w:docPartObj>
        <w:docPartGallery w:val="Page Numbers (Top of Page)"/>
        <w:docPartUnique/>
      </w:docPartObj>
    </w:sdtPr>
    <w:sdtEndPr>
      <w:rPr>
        <w:noProof/>
      </w:rPr>
    </w:sdtEndPr>
    <w:sdtContent>
      <w:p w14:paraId="1E8D2558" w14:textId="3BA44551" w:rsidR="00CF2F67" w:rsidRDefault="00331CE5">
        <w:pPr>
          <w:pStyle w:val="Header"/>
          <w:jc w:val="right"/>
          <w:rPr>
            <w:noProof/>
          </w:rPr>
        </w:pPr>
        <w:r>
          <w:fldChar w:fldCharType="begin"/>
        </w:r>
        <w:r>
          <w:instrText xml:space="preserve"> PAGE   \* MERGEFORMAT </w:instrText>
        </w:r>
        <w:r>
          <w:fldChar w:fldCharType="separate"/>
        </w:r>
        <w:r w:rsidR="008E69B4">
          <w:rPr>
            <w:noProof/>
          </w:rPr>
          <w:t>1</w:t>
        </w:r>
        <w:r>
          <w:rPr>
            <w:noProof/>
          </w:rPr>
          <w:fldChar w:fldCharType="end"/>
        </w:r>
      </w:p>
      <w:p w14:paraId="2A3F0A04" w14:textId="3ADC9773" w:rsidR="00CF2F67" w:rsidRDefault="00CF2F67">
        <w:pPr>
          <w:pStyle w:val="Header"/>
          <w:jc w:val="right"/>
          <w:rPr>
            <w:noProof/>
          </w:rPr>
        </w:pPr>
        <w:r>
          <w:rPr>
            <w:noProof/>
          </w:rPr>
          <w:t>HH</w:t>
        </w:r>
        <w:r w:rsidR="003E6EA3">
          <w:rPr>
            <w:noProof/>
          </w:rPr>
          <w:t xml:space="preserve"> 550-23</w:t>
        </w:r>
      </w:p>
      <w:p w14:paraId="3496CC54" w14:textId="5B1446E3" w:rsidR="00331CE5" w:rsidRDefault="00CF2F67">
        <w:pPr>
          <w:pStyle w:val="Header"/>
          <w:jc w:val="right"/>
        </w:pPr>
        <w:r>
          <w:rPr>
            <w:noProof/>
          </w:rPr>
          <w:t>HC</w:t>
        </w:r>
        <w:r w:rsidR="003E6EA3">
          <w:rPr>
            <w:noProof/>
          </w:rPr>
          <w:t xml:space="preserve"> </w:t>
        </w:r>
        <w:r>
          <w:rPr>
            <w:noProof/>
          </w:rPr>
          <w:t>404/20</w:t>
        </w:r>
      </w:p>
    </w:sdtContent>
  </w:sdt>
  <w:p w14:paraId="684712C1" w14:textId="77777777" w:rsidR="001F34A3" w:rsidRDefault="001F34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0C49DE"/>
    <w:multiLevelType w:val="hybridMultilevel"/>
    <w:tmpl w:val="49047264"/>
    <w:lvl w:ilvl="0" w:tplc="6E6211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32837"/>
    <w:multiLevelType w:val="hybridMultilevel"/>
    <w:tmpl w:val="E946B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A1B721D"/>
    <w:multiLevelType w:val="hybridMultilevel"/>
    <w:tmpl w:val="FE0CA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C31DB"/>
    <w:multiLevelType w:val="hybridMultilevel"/>
    <w:tmpl w:val="4206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B280812"/>
    <w:multiLevelType w:val="hybridMultilevel"/>
    <w:tmpl w:val="061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2AF477C"/>
    <w:multiLevelType w:val="hybridMultilevel"/>
    <w:tmpl w:val="93188D92"/>
    <w:lvl w:ilvl="0" w:tplc="9340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7C575EB"/>
    <w:multiLevelType w:val="hybridMultilevel"/>
    <w:tmpl w:val="1690D5BE"/>
    <w:lvl w:ilvl="0" w:tplc="209A3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41CBB"/>
    <w:multiLevelType w:val="hybridMultilevel"/>
    <w:tmpl w:val="DFC630E2"/>
    <w:lvl w:ilvl="0" w:tplc="076E7F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A3B3572"/>
    <w:multiLevelType w:val="hybridMultilevel"/>
    <w:tmpl w:val="7DFE0716"/>
    <w:lvl w:ilvl="0" w:tplc="9C9A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71F7B"/>
    <w:multiLevelType w:val="hybridMultilevel"/>
    <w:tmpl w:val="655880F8"/>
    <w:lvl w:ilvl="0" w:tplc="61B4B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9017C6"/>
    <w:multiLevelType w:val="hybridMultilevel"/>
    <w:tmpl w:val="090EB506"/>
    <w:lvl w:ilvl="0" w:tplc="EDFA1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A66F38"/>
    <w:multiLevelType w:val="hybridMultilevel"/>
    <w:tmpl w:val="F942E326"/>
    <w:lvl w:ilvl="0" w:tplc="A4DC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51C14"/>
    <w:multiLevelType w:val="hybridMultilevel"/>
    <w:tmpl w:val="CA20EC7C"/>
    <w:lvl w:ilvl="0" w:tplc="540CA5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2"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29608C"/>
    <w:multiLevelType w:val="hybridMultilevel"/>
    <w:tmpl w:val="E586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5" w15:restartNumberingAfterBreak="0">
    <w:nsid w:val="53BF1A67"/>
    <w:multiLevelType w:val="hybridMultilevel"/>
    <w:tmpl w:val="7326EB42"/>
    <w:lvl w:ilvl="0" w:tplc="3B302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63F6467"/>
    <w:multiLevelType w:val="hybridMultilevel"/>
    <w:tmpl w:val="7F426AEA"/>
    <w:lvl w:ilvl="0" w:tplc="4A54D1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BAC2FFA"/>
    <w:multiLevelType w:val="hybridMultilevel"/>
    <w:tmpl w:val="0A4C82C6"/>
    <w:lvl w:ilvl="0" w:tplc="2B8E5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224"/>
    <w:multiLevelType w:val="hybridMultilevel"/>
    <w:tmpl w:val="E7BE2998"/>
    <w:lvl w:ilvl="0" w:tplc="C0864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2FB7A68"/>
    <w:multiLevelType w:val="hybridMultilevel"/>
    <w:tmpl w:val="BDF6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754BE"/>
    <w:multiLevelType w:val="hybridMultilevel"/>
    <w:tmpl w:val="9C5876A0"/>
    <w:lvl w:ilvl="0" w:tplc="AA04D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C94474"/>
    <w:multiLevelType w:val="hybridMultilevel"/>
    <w:tmpl w:val="232A74FA"/>
    <w:lvl w:ilvl="0" w:tplc="1EC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A5D0EC3"/>
    <w:multiLevelType w:val="hybridMultilevel"/>
    <w:tmpl w:val="0A7A51CA"/>
    <w:lvl w:ilvl="0" w:tplc="D834C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99033B"/>
    <w:multiLevelType w:val="hybridMultilevel"/>
    <w:tmpl w:val="A2844696"/>
    <w:lvl w:ilvl="0" w:tplc="2F122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C7317"/>
    <w:multiLevelType w:val="hybridMultilevel"/>
    <w:tmpl w:val="28F82F02"/>
    <w:lvl w:ilvl="0" w:tplc="C9F676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22"/>
  </w:num>
  <w:num w:numId="3">
    <w:abstractNumId w:val="39"/>
  </w:num>
  <w:num w:numId="4">
    <w:abstractNumId w:val="24"/>
  </w:num>
  <w:num w:numId="5">
    <w:abstractNumId w:val="13"/>
  </w:num>
  <w:num w:numId="6">
    <w:abstractNumId w:val="21"/>
  </w:num>
  <w:num w:numId="7">
    <w:abstractNumId w:val="20"/>
  </w:num>
  <w:num w:numId="8">
    <w:abstractNumId w:val="14"/>
  </w:num>
  <w:num w:numId="9">
    <w:abstractNumId w:val="0"/>
  </w:num>
  <w:num w:numId="10">
    <w:abstractNumId w:val="8"/>
  </w:num>
  <w:num w:numId="11">
    <w:abstractNumId w:val="26"/>
  </w:num>
  <w:num w:numId="12">
    <w:abstractNumId w:val="6"/>
  </w:num>
  <w:num w:numId="13">
    <w:abstractNumId w:val="35"/>
  </w:num>
  <w:num w:numId="14">
    <w:abstractNumId w:val="10"/>
  </w:num>
  <w:num w:numId="15">
    <w:abstractNumId w:val="28"/>
  </w:num>
  <w:num w:numId="16">
    <w:abstractNumId w:val="31"/>
  </w:num>
  <w:num w:numId="17">
    <w:abstractNumId w:val="3"/>
  </w:num>
  <w:num w:numId="18">
    <w:abstractNumId w:val="32"/>
  </w:num>
  <w:num w:numId="19">
    <w:abstractNumId w:val="7"/>
  </w:num>
  <w:num w:numId="20">
    <w:abstractNumId w:val="34"/>
  </w:num>
  <w:num w:numId="21">
    <w:abstractNumId w:val="4"/>
  </w:num>
  <w:num w:numId="22">
    <w:abstractNumId w:val="33"/>
  </w:num>
  <w:num w:numId="23">
    <w:abstractNumId w:val="17"/>
  </w:num>
  <w:num w:numId="24">
    <w:abstractNumId w:val="11"/>
  </w:num>
  <w:num w:numId="25">
    <w:abstractNumId w:val="36"/>
  </w:num>
  <w:num w:numId="26">
    <w:abstractNumId w:val="5"/>
  </w:num>
  <w:num w:numId="27">
    <w:abstractNumId w:val="15"/>
  </w:num>
  <w:num w:numId="28">
    <w:abstractNumId w:val="9"/>
  </w:num>
  <w:num w:numId="29">
    <w:abstractNumId w:val="23"/>
  </w:num>
  <w:num w:numId="30">
    <w:abstractNumId w:val="38"/>
  </w:num>
  <w:num w:numId="31">
    <w:abstractNumId w:val="18"/>
  </w:num>
  <w:num w:numId="32">
    <w:abstractNumId w:val="30"/>
  </w:num>
  <w:num w:numId="33">
    <w:abstractNumId w:val="19"/>
  </w:num>
  <w:num w:numId="34">
    <w:abstractNumId w:val="37"/>
  </w:num>
  <w:num w:numId="35">
    <w:abstractNumId w:val="27"/>
  </w:num>
  <w:num w:numId="36">
    <w:abstractNumId w:val="16"/>
  </w:num>
  <w:num w:numId="37">
    <w:abstractNumId w:val="25"/>
  </w:num>
  <w:num w:numId="38">
    <w:abstractNumId w:val="29"/>
  </w:num>
  <w:num w:numId="39">
    <w:abstractNumId w:val="1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xMbEwtbA0MjEzNzRV0lEKTi0uzszPAykwrgUAq7ZWpSwAAAA="/>
  </w:docVars>
  <w:rsids>
    <w:rsidRoot w:val="005A4D7A"/>
    <w:rsid w:val="0000065C"/>
    <w:rsid w:val="0000187D"/>
    <w:rsid w:val="00003953"/>
    <w:rsid w:val="00014283"/>
    <w:rsid w:val="00015011"/>
    <w:rsid w:val="00016103"/>
    <w:rsid w:val="00016290"/>
    <w:rsid w:val="000178BC"/>
    <w:rsid w:val="00020014"/>
    <w:rsid w:val="0002003E"/>
    <w:rsid w:val="00024984"/>
    <w:rsid w:val="0002538E"/>
    <w:rsid w:val="00033874"/>
    <w:rsid w:val="00036F12"/>
    <w:rsid w:val="0003708D"/>
    <w:rsid w:val="00040C2D"/>
    <w:rsid w:val="000437A6"/>
    <w:rsid w:val="00047457"/>
    <w:rsid w:val="00051896"/>
    <w:rsid w:val="00051BCE"/>
    <w:rsid w:val="00056938"/>
    <w:rsid w:val="000571B7"/>
    <w:rsid w:val="00060409"/>
    <w:rsid w:val="000611E9"/>
    <w:rsid w:val="000619E3"/>
    <w:rsid w:val="0006233A"/>
    <w:rsid w:val="000642DE"/>
    <w:rsid w:val="00066EA2"/>
    <w:rsid w:val="000672F9"/>
    <w:rsid w:val="00067E90"/>
    <w:rsid w:val="0007106A"/>
    <w:rsid w:val="00074684"/>
    <w:rsid w:val="0007745C"/>
    <w:rsid w:val="00080A17"/>
    <w:rsid w:val="00080CB4"/>
    <w:rsid w:val="00081C16"/>
    <w:rsid w:val="00084AA9"/>
    <w:rsid w:val="00086001"/>
    <w:rsid w:val="000865EA"/>
    <w:rsid w:val="00090A23"/>
    <w:rsid w:val="00092CAF"/>
    <w:rsid w:val="000952B7"/>
    <w:rsid w:val="000962C6"/>
    <w:rsid w:val="000965BC"/>
    <w:rsid w:val="0009791D"/>
    <w:rsid w:val="000A59D6"/>
    <w:rsid w:val="000A5B71"/>
    <w:rsid w:val="000A6962"/>
    <w:rsid w:val="000A6E82"/>
    <w:rsid w:val="000A7668"/>
    <w:rsid w:val="000B1963"/>
    <w:rsid w:val="000B1DFA"/>
    <w:rsid w:val="000B67D7"/>
    <w:rsid w:val="000B7869"/>
    <w:rsid w:val="000C2DF8"/>
    <w:rsid w:val="000D04FF"/>
    <w:rsid w:val="000D059C"/>
    <w:rsid w:val="000D0B80"/>
    <w:rsid w:val="000D0D48"/>
    <w:rsid w:val="000D47B9"/>
    <w:rsid w:val="000D534A"/>
    <w:rsid w:val="000D58E2"/>
    <w:rsid w:val="000D71D6"/>
    <w:rsid w:val="000E04DE"/>
    <w:rsid w:val="000E0734"/>
    <w:rsid w:val="000E12F0"/>
    <w:rsid w:val="000E158A"/>
    <w:rsid w:val="000E18E1"/>
    <w:rsid w:val="000E203B"/>
    <w:rsid w:val="000E2799"/>
    <w:rsid w:val="000E4218"/>
    <w:rsid w:val="000F17BB"/>
    <w:rsid w:val="000F1D04"/>
    <w:rsid w:val="000F1D21"/>
    <w:rsid w:val="000F26B8"/>
    <w:rsid w:val="000F2A05"/>
    <w:rsid w:val="000F3663"/>
    <w:rsid w:val="000F4196"/>
    <w:rsid w:val="000F5D3E"/>
    <w:rsid w:val="000F5DA8"/>
    <w:rsid w:val="000F5F75"/>
    <w:rsid w:val="00102516"/>
    <w:rsid w:val="00102524"/>
    <w:rsid w:val="0010433B"/>
    <w:rsid w:val="00104513"/>
    <w:rsid w:val="00111097"/>
    <w:rsid w:val="001136B2"/>
    <w:rsid w:val="00116A7B"/>
    <w:rsid w:val="001204CB"/>
    <w:rsid w:val="00122C9B"/>
    <w:rsid w:val="00122F4E"/>
    <w:rsid w:val="001230D1"/>
    <w:rsid w:val="00123848"/>
    <w:rsid w:val="00123FC4"/>
    <w:rsid w:val="001243E4"/>
    <w:rsid w:val="001276A7"/>
    <w:rsid w:val="00132E6E"/>
    <w:rsid w:val="00134BA3"/>
    <w:rsid w:val="00136D44"/>
    <w:rsid w:val="00141FC5"/>
    <w:rsid w:val="00146041"/>
    <w:rsid w:val="00150C62"/>
    <w:rsid w:val="00151BAF"/>
    <w:rsid w:val="001528F8"/>
    <w:rsid w:val="001532D5"/>
    <w:rsid w:val="00153963"/>
    <w:rsid w:val="00154429"/>
    <w:rsid w:val="001550E0"/>
    <w:rsid w:val="00155A31"/>
    <w:rsid w:val="00160404"/>
    <w:rsid w:val="00162A0F"/>
    <w:rsid w:val="0016302F"/>
    <w:rsid w:val="0016794A"/>
    <w:rsid w:val="00171E1D"/>
    <w:rsid w:val="001739C2"/>
    <w:rsid w:val="001875BD"/>
    <w:rsid w:val="00193712"/>
    <w:rsid w:val="00196891"/>
    <w:rsid w:val="00197BA6"/>
    <w:rsid w:val="001A0769"/>
    <w:rsid w:val="001A0DED"/>
    <w:rsid w:val="001A254A"/>
    <w:rsid w:val="001A36C2"/>
    <w:rsid w:val="001A4C1C"/>
    <w:rsid w:val="001B1927"/>
    <w:rsid w:val="001B19B6"/>
    <w:rsid w:val="001B1F06"/>
    <w:rsid w:val="001B2D5F"/>
    <w:rsid w:val="001C18FB"/>
    <w:rsid w:val="001C1FD5"/>
    <w:rsid w:val="001C2442"/>
    <w:rsid w:val="001C5CAC"/>
    <w:rsid w:val="001C75A7"/>
    <w:rsid w:val="001D0246"/>
    <w:rsid w:val="001D084E"/>
    <w:rsid w:val="001D2D9F"/>
    <w:rsid w:val="001D681C"/>
    <w:rsid w:val="001D69CA"/>
    <w:rsid w:val="001E2CB7"/>
    <w:rsid w:val="001E3A2E"/>
    <w:rsid w:val="001E3F92"/>
    <w:rsid w:val="001E4D55"/>
    <w:rsid w:val="001E62B3"/>
    <w:rsid w:val="001E67D3"/>
    <w:rsid w:val="001F09AE"/>
    <w:rsid w:val="001F26A1"/>
    <w:rsid w:val="001F34A3"/>
    <w:rsid w:val="001F66F3"/>
    <w:rsid w:val="001F7113"/>
    <w:rsid w:val="00210AA3"/>
    <w:rsid w:val="00211C08"/>
    <w:rsid w:val="00212F90"/>
    <w:rsid w:val="0021311B"/>
    <w:rsid w:val="002135CB"/>
    <w:rsid w:val="00214036"/>
    <w:rsid w:val="00216164"/>
    <w:rsid w:val="0021673D"/>
    <w:rsid w:val="00220E57"/>
    <w:rsid w:val="002210EC"/>
    <w:rsid w:val="00222C3C"/>
    <w:rsid w:val="0022768B"/>
    <w:rsid w:val="002320CE"/>
    <w:rsid w:val="002327DD"/>
    <w:rsid w:val="00232A80"/>
    <w:rsid w:val="00233AEE"/>
    <w:rsid w:val="00240C5D"/>
    <w:rsid w:val="00241B7C"/>
    <w:rsid w:val="0024550C"/>
    <w:rsid w:val="00245C7E"/>
    <w:rsid w:val="002506EF"/>
    <w:rsid w:val="00254367"/>
    <w:rsid w:val="00256EB3"/>
    <w:rsid w:val="00260491"/>
    <w:rsid w:val="00260646"/>
    <w:rsid w:val="002610EF"/>
    <w:rsid w:val="0026143F"/>
    <w:rsid w:val="00261F3E"/>
    <w:rsid w:val="00264E2F"/>
    <w:rsid w:val="00272EAD"/>
    <w:rsid w:val="00277893"/>
    <w:rsid w:val="002841DE"/>
    <w:rsid w:val="0028493F"/>
    <w:rsid w:val="002850F5"/>
    <w:rsid w:val="00285E64"/>
    <w:rsid w:val="002862F4"/>
    <w:rsid w:val="002912A6"/>
    <w:rsid w:val="002918E2"/>
    <w:rsid w:val="00293088"/>
    <w:rsid w:val="00293B8C"/>
    <w:rsid w:val="002955E3"/>
    <w:rsid w:val="002A0A83"/>
    <w:rsid w:val="002A3CB3"/>
    <w:rsid w:val="002A6F91"/>
    <w:rsid w:val="002B2F51"/>
    <w:rsid w:val="002B46D5"/>
    <w:rsid w:val="002B4D4B"/>
    <w:rsid w:val="002C4CAE"/>
    <w:rsid w:val="002D1758"/>
    <w:rsid w:val="002D2D9C"/>
    <w:rsid w:val="002D34A3"/>
    <w:rsid w:val="002D5CCB"/>
    <w:rsid w:val="002D6942"/>
    <w:rsid w:val="002E03B8"/>
    <w:rsid w:val="002E2667"/>
    <w:rsid w:val="002E5914"/>
    <w:rsid w:val="002E6FBD"/>
    <w:rsid w:val="002F05E9"/>
    <w:rsid w:val="002F183A"/>
    <w:rsid w:val="002F286B"/>
    <w:rsid w:val="002F60DF"/>
    <w:rsid w:val="0030244B"/>
    <w:rsid w:val="00302E9F"/>
    <w:rsid w:val="00306E52"/>
    <w:rsid w:val="0031037A"/>
    <w:rsid w:val="00310778"/>
    <w:rsid w:val="0031216D"/>
    <w:rsid w:val="003126EF"/>
    <w:rsid w:val="003128D2"/>
    <w:rsid w:val="00312EB5"/>
    <w:rsid w:val="00314DF7"/>
    <w:rsid w:val="00316234"/>
    <w:rsid w:val="0032417C"/>
    <w:rsid w:val="00325008"/>
    <w:rsid w:val="003269B4"/>
    <w:rsid w:val="0032732D"/>
    <w:rsid w:val="0033158A"/>
    <w:rsid w:val="00331CE5"/>
    <w:rsid w:val="00332E9C"/>
    <w:rsid w:val="003332CA"/>
    <w:rsid w:val="00337377"/>
    <w:rsid w:val="00337DAA"/>
    <w:rsid w:val="003414FF"/>
    <w:rsid w:val="00343BE6"/>
    <w:rsid w:val="00345AEE"/>
    <w:rsid w:val="003463B3"/>
    <w:rsid w:val="0034645B"/>
    <w:rsid w:val="003504E8"/>
    <w:rsid w:val="00350971"/>
    <w:rsid w:val="00350B7A"/>
    <w:rsid w:val="00350E8E"/>
    <w:rsid w:val="00352192"/>
    <w:rsid w:val="0035450A"/>
    <w:rsid w:val="00355D5A"/>
    <w:rsid w:val="00356BD2"/>
    <w:rsid w:val="003611B6"/>
    <w:rsid w:val="003612A4"/>
    <w:rsid w:val="00363C81"/>
    <w:rsid w:val="003648FB"/>
    <w:rsid w:val="003676D6"/>
    <w:rsid w:val="003713EA"/>
    <w:rsid w:val="0037364A"/>
    <w:rsid w:val="00373CBE"/>
    <w:rsid w:val="00375350"/>
    <w:rsid w:val="00376C8F"/>
    <w:rsid w:val="00380EC0"/>
    <w:rsid w:val="00383B58"/>
    <w:rsid w:val="00384533"/>
    <w:rsid w:val="00384ACD"/>
    <w:rsid w:val="003919A9"/>
    <w:rsid w:val="00391D01"/>
    <w:rsid w:val="00392198"/>
    <w:rsid w:val="00393314"/>
    <w:rsid w:val="003937C0"/>
    <w:rsid w:val="003941B7"/>
    <w:rsid w:val="0039522E"/>
    <w:rsid w:val="0039564B"/>
    <w:rsid w:val="00395ACD"/>
    <w:rsid w:val="00397C25"/>
    <w:rsid w:val="003A0463"/>
    <w:rsid w:val="003A20F2"/>
    <w:rsid w:val="003A6699"/>
    <w:rsid w:val="003A67B7"/>
    <w:rsid w:val="003A7DFB"/>
    <w:rsid w:val="003B04C6"/>
    <w:rsid w:val="003B089D"/>
    <w:rsid w:val="003B46C1"/>
    <w:rsid w:val="003B5F17"/>
    <w:rsid w:val="003B7670"/>
    <w:rsid w:val="003C00A5"/>
    <w:rsid w:val="003D16C4"/>
    <w:rsid w:val="003D2D31"/>
    <w:rsid w:val="003D3A9D"/>
    <w:rsid w:val="003E1C79"/>
    <w:rsid w:val="003E2799"/>
    <w:rsid w:val="003E2A69"/>
    <w:rsid w:val="003E2C8E"/>
    <w:rsid w:val="003E3469"/>
    <w:rsid w:val="003E3FBE"/>
    <w:rsid w:val="003E6571"/>
    <w:rsid w:val="003E6EA3"/>
    <w:rsid w:val="003F16BA"/>
    <w:rsid w:val="003F1C94"/>
    <w:rsid w:val="003F1C99"/>
    <w:rsid w:val="003F2E9C"/>
    <w:rsid w:val="003F46E1"/>
    <w:rsid w:val="003F6A14"/>
    <w:rsid w:val="003F7E0D"/>
    <w:rsid w:val="004006A1"/>
    <w:rsid w:val="00400F8F"/>
    <w:rsid w:val="00401C12"/>
    <w:rsid w:val="00401EFC"/>
    <w:rsid w:val="00402F8F"/>
    <w:rsid w:val="00405423"/>
    <w:rsid w:val="00406705"/>
    <w:rsid w:val="00406B2D"/>
    <w:rsid w:val="0041120D"/>
    <w:rsid w:val="00411EA8"/>
    <w:rsid w:val="0041384D"/>
    <w:rsid w:val="0041406F"/>
    <w:rsid w:val="004169FF"/>
    <w:rsid w:val="00421987"/>
    <w:rsid w:val="00421FB1"/>
    <w:rsid w:val="00422911"/>
    <w:rsid w:val="004233D1"/>
    <w:rsid w:val="00426038"/>
    <w:rsid w:val="00427E63"/>
    <w:rsid w:val="00430154"/>
    <w:rsid w:val="00434024"/>
    <w:rsid w:val="004348C6"/>
    <w:rsid w:val="00434B46"/>
    <w:rsid w:val="004354B9"/>
    <w:rsid w:val="00436BCA"/>
    <w:rsid w:val="00437249"/>
    <w:rsid w:val="00440149"/>
    <w:rsid w:val="00440FE6"/>
    <w:rsid w:val="0044147E"/>
    <w:rsid w:val="00442BE2"/>
    <w:rsid w:val="00445DF1"/>
    <w:rsid w:val="00446C70"/>
    <w:rsid w:val="00447503"/>
    <w:rsid w:val="0045012B"/>
    <w:rsid w:val="00451B3E"/>
    <w:rsid w:val="0045356E"/>
    <w:rsid w:val="00454257"/>
    <w:rsid w:val="00455B10"/>
    <w:rsid w:val="00461487"/>
    <w:rsid w:val="0046215A"/>
    <w:rsid w:val="004633DB"/>
    <w:rsid w:val="00463E81"/>
    <w:rsid w:val="004655E0"/>
    <w:rsid w:val="0047026A"/>
    <w:rsid w:val="00472847"/>
    <w:rsid w:val="004757C7"/>
    <w:rsid w:val="00476903"/>
    <w:rsid w:val="00477971"/>
    <w:rsid w:val="00480ADB"/>
    <w:rsid w:val="0048216B"/>
    <w:rsid w:val="00483E55"/>
    <w:rsid w:val="00486278"/>
    <w:rsid w:val="004906BC"/>
    <w:rsid w:val="004931AF"/>
    <w:rsid w:val="0049394A"/>
    <w:rsid w:val="00494246"/>
    <w:rsid w:val="00495A9B"/>
    <w:rsid w:val="0049730D"/>
    <w:rsid w:val="004A3FB2"/>
    <w:rsid w:val="004A61A8"/>
    <w:rsid w:val="004B01BD"/>
    <w:rsid w:val="004B10DD"/>
    <w:rsid w:val="004B158B"/>
    <w:rsid w:val="004B1CE6"/>
    <w:rsid w:val="004B317E"/>
    <w:rsid w:val="004B4203"/>
    <w:rsid w:val="004B56B5"/>
    <w:rsid w:val="004B6342"/>
    <w:rsid w:val="004B682A"/>
    <w:rsid w:val="004B6F2C"/>
    <w:rsid w:val="004B73BD"/>
    <w:rsid w:val="004B74AD"/>
    <w:rsid w:val="004C01D6"/>
    <w:rsid w:val="004C0B09"/>
    <w:rsid w:val="004C1270"/>
    <w:rsid w:val="004C5B17"/>
    <w:rsid w:val="004C6E2F"/>
    <w:rsid w:val="004D0E53"/>
    <w:rsid w:val="004D1790"/>
    <w:rsid w:val="004D20EB"/>
    <w:rsid w:val="004D3C5A"/>
    <w:rsid w:val="004D3E6A"/>
    <w:rsid w:val="004D4B42"/>
    <w:rsid w:val="004D529D"/>
    <w:rsid w:val="004E0E6F"/>
    <w:rsid w:val="004E1ABB"/>
    <w:rsid w:val="004E1CA6"/>
    <w:rsid w:val="004E2DB6"/>
    <w:rsid w:val="004E6230"/>
    <w:rsid w:val="004F10AC"/>
    <w:rsid w:val="004F1C0C"/>
    <w:rsid w:val="004F3423"/>
    <w:rsid w:val="00500146"/>
    <w:rsid w:val="005005A2"/>
    <w:rsid w:val="0050074A"/>
    <w:rsid w:val="00500A5F"/>
    <w:rsid w:val="00503F0D"/>
    <w:rsid w:val="00504867"/>
    <w:rsid w:val="00506702"/>
    <w:rsid w:val="00510068"/>
    <w:rsid w:val="005179AE"/>
    <w:rsid w:val="00517EBD"/>
    <w:rsid w:val="00522AE8"/>
    <w:rsid w:val="005235E2"/>
    <w:rsid w:val="005246A8"/>
    <w:rsid w:val="00530CAF"/>
    <w:rsid w:val="005339A3"/>
    <w:rsid w:val="00536442"/>
    <w:rsid w:val="00536DD0"/>
    <w:rsid w:val="00541304"/>
    <w:rsid w:val="00541615"/>
    <w:rsid w:val="0054216A"/>
    <w:rsid w:val="00545E10"/>
    <w:rsid w:val="00550006"/>
    <w:rsid w:val="00551345"/>
    <w:rsid w:val="005516A6"/>
    <w:rsid w:val="005542E0"/>
    <w:rsid w:val="0055781E"/>
    <w:rsid w:val="00565C43"/>
    <w:rsid w:val="00570DA7"/>
    <w:rsid w:val="00572285"/>
    <w:rsid w:val="00572C1D"/>
    <w:rsid w:val="00573C54"/>
    <w:rsid w:val="0057514A"/>
    <w:rsid w:val="00576AB1"/>
    <w:rsid w:val="005775E8"/>
    <w:rsid w:val="00582248"/>
    <w:rsid w:val="00582299"/>
    <w:rsid w:val="0058439D"/>
    <w:rsid w:val="00585ADB"/>
    <w:rsid w:val="005907B6"/>
    <w:rsid w:val="0059557B"/>
    <w:rsid w:val="0059631A"/>
    <w:rsid w:val="00597501"/>
    <w:rsid w:val="005A4D7A"/>
    <w:rsid w:val="005A7000"/>
    <w:rsid w:val="005A7777"/>
    <w:rsid w:val="005B0A12"/>
    <w:rsid w:val="005B1138"/>
    <w:rsid w:val="005B3374"/>
    <w:rsid w:val="005B53FD"/>
    <w:rsid w:val="005B7086"/>
    <w:rsid w:val="005C2BC4"/>
    <w:rsid w:val="005C4004"/>
    <w:rsid w:val="005C4C0C"/>
    <w:rsid w:val="005C70F6"/>
    <w:rsid w:val="005D29EF"/>
    <w:rsid w:val="005D37E8"/>
    <w:rsid w:val="005D4419"/>
    <w:rsid w:val="005D5403"/>
    <w:rsid w:val="005E3DC3"/>
    <w:rsid w:val="005E53B8"/>
    <w:rsid w:val="005E5CDB"/>
    <w:rsid w:val="005E7F90"/>
    <w:rsid w:val="005F26D3"/>
    <w:rsid w:val="005F33AE"/>
    <w:rsid w:val="005F3CDC"/>
    <w:rsid w:val="00600519"/>
    <w:rsid w:val="006018B8"/>
    <w:rsid w:val="00602A43"/>
    <w:rsid w:val="00603CBA"/>
    <w:rsid w:val="0060785B"/>
    <w:rsid w:val="00607D87"/>
    <w:rsid w:val="006126E2"/>
    <w:rsid w:val="006133AF"/>
    <w:rsid w:val="00614329"/>
    <w:rsid w:val="0061454C"/>
    <w:rsid w:val="00617518"/>
    <w:rsid w:val="006212E7"/>
    <w:rsid w:val="00622B1D"/>
    <w:rsid w:val="00624809"/>
    <w:rsid w:val="00624989"/>
    <w:rsid w:val="00625475"/>
    <w:rsid w:val="006312A6"/>
    <w:rsid w:val="006334B3"/>
    <w:rsid w:val="006345EC"/>
    <w:rsid w:val="006358B4"/>
    <w:rsid w:val="00635CC0"/>
    <w:rsid w:val="00643EFC"/>
    <w:rsid w:val="00644E0B"/>
    <w:rsid w:val="00646519"/>
    <w:rsid w:val="00646822"/>
    <w:rsid w:val="00650456"/>
    <w:rsid w:val="00651661"/>
    <w:rsid w:val="00651C0C"/>
    <w:rsid w:val="006522CB"/>
    <w:rsid w:val="00654D61"/>
    <w:rsid w:val="00655E88"/>
    <w:rsid w:val="00656189"/>
    <w:rsid w:val="0065777F"/>
    <w:rsid w:val="00657EE9"/>
    <w:rsid w:val="0066039A"/>
    <w:rsid w:val="006621C8"/>
    <w:rsid w:val="0066397C"/>
    <w:rsid w:val="00664246"/>
    <w:rsid w:val="00664375"/>
    <w:rsid w:val="00665F32"/>
    <w:rsid w:val="0066779B"/>
    <w:rsid w:val="00671F28"/>
    <w:rsid w:val="0068119E"/>
    <w:rsid w:val="0068294A"/>
    <w:rsid w:val="00684658"/>
    <w:rsid w:val="00684BCF"/>
    <w:rsid w:val="00686691"/>
    <w:rsid w:val="006871EE"/>
    <w:rsid w:val="00687741"/>
    <w:rsid w:val="00690749"/>
    <w:rsid w:val="00690812"/>
    <w:rsid w:val="00690BD4"/>
    <w:rsid w:val="006911A4"/>
    <w:rsid w:val="00691AA1"/>
    <w:rsid w:val="00692503"/>
    <w:rsid w:val="006930CA"/>
    <w:rsid w:val="00693119"/>
    <w:rsid w:val="00693192"/>
    <w:rsid w:val="00693980"/>
    <w:rsid w:val="00694EE5"/>
    <w:rsid w:val="006967A1"/>
    <w:rsid w:val="00696FD7"/>
    <w:rsid w:val="006A3152"/>
    <w:rsid w:val="006B2068"/>
    <w:rsid w:val="006B30B6"/>
    <w:rsid w:val="006B6242"/>
    <w:rsid w:val="006C4C49"/>
    <w:rsid w:val="006C66F5"/>
    <w:rsid w:val="006D1302"/>
    <w:rsid w:val="006D7540"/>
    <w:rsid w:val="006D7B81"/>
    <w:rsid w:val="006E3078"/>
    <w:rsid w:val="006E31F3"/>
    <w:rsid w:val="006E4F06"/>
    <w:rsid w:val="006E58AE"/>
    <w:rsid w:val="006E65FF"/>
    <w:rsid w:val="006F1C05"/>
    <w:rsid w:val="006F4D38"/>
    <w:rsid w:val="006F623A"/>
    <w:rsid w:val="007020CF"/>
    <w:rsid w:val="007036FF"/>
    <w:rsid w:val="00707C19"/>
    <w:rsid w:val="00710177"/>
    <w:rsid w:val="00714640"/>
    <w:rsid w:val="00715755"/>
    <w:rsid w:val="00717EC6"/>
    <w:rsid w:val="00725659"/>
    <w:rsid w:val="0072628F"/>
    <w:rsid w:val="00726400"/>
    <w:rsid w:val="00727ABD"/>
    <w:rsid w:val="00734BFC"/>
    <w:rsid w:val="007356A8"/>
    <w:rsid w:val="00735D94"/>
    <w:rsid w:val="00743437"/>
    <w:rsid w:val="00743671"/>
    <w:rsid w:val="00744F95"/>
    <w:rsid w:val="00745A88"/>
    <w:rsid w:val="00745DDE"/>
    <w:rsid w:val="00751708"/>
    <w:rsid w:val="00751B16"/>
    <w:rsid w:val="0075667E"/>
    <w:rsid w:val="00757882"/>
    <w:rsid w:val="007604BD"/>
    <w:rsid w:val="0076159A"/>
    <w:rsid w:val="00762A46"/>
    <w:rsid w:val="00763074"/>
    <w:rsid w:val="007645BC"/>
    <w:rsid w:val="0076670E"/>
    <w:rsid w:val="00766A26"/>
    <w:rsid w:val="00771BAA"/>
    <w:rsid w:val="007732FE"/>
    <w:rsid w:val="00774077"/>
    <w:rsid w:val="00775515"/>
    <w:rsid w:val="0077747A"/>
    <w:rsid w:val="00780FC4"/>
    <w:rsid w:val="00781B19"/>
    <w:rsid w:val="00782208"/>
    <w:rsid w:val="00782EBD"/>
    <w:rsid w:val="0078604C"/>
    <w:rsid w:val="00794DEA"/>
    <w:rsid w:val="00797CDD"/>
    <w:rsid w:val="007A1E01"/>
    <w:rsid w:val="007A4D77"/>
    <w:rsid w:val="007A5964"/>
    <w:rsid w:val="007A7354"/>
    <w:rsid w:val="007B1C32"/>
    <w:rsid w:val="007B2FED"/>
    <w:rsid w:val="007C312C"/>
    <w:rsid w:val="007C4D47"/>
    <w:rsid w:val="007C5075"/>
    <w:rsid w:val="007C5FC8"/>
    <w:rsid w:val="007C6ADB"/>
    <w:rsid w:val="007C7407"/>
    <w:rsid w:val="007D021B"/>
    <w:rsid w:val="007D3D7E"/>
    <w:rsid w:val="007D3ED2"/>
    <w:rsid w:val="007E0521"/>
    <w:rsid w:val="007E2071"/>
    <w:rsid w:val="007E4A9B"/>
    <w:rsid w:val="007E531D"/>
    <w:rsid w:val="007E61CA"/>
    <w:rsid w:val="007F13A7"/>
    <w:rsid w:val="007F548B"/>
    <w:rsid w:val="007F6C87"/>
    <w:rsid w:val="00800AA5"/>
    <w:rsid w:val="0080319C"/>
    <w:rsid w:val="00804E6A"/>
    <w:rsid w:val="00805596"/>
    <w:rsid w:val="008059A6"/>
    <w:rsid w:val="00806DA7"/>
    <w:rsid w:val="00811BD9"/>
    <w:rsid w:val="0081259F"/>
    <w:rsid w:val="0081551A"/>
    <w:rsid w:val="0082157B"/>
    <w:rsid w:val="00822DC3"/>
    <w:rsid w:val="00826F04"/>
    <w:rsid w:val="008332ED"/>
    <w:rsid w:val="008350EF"/>
    <w:rsid w:val="008352B8"/>
    <w:rsid w:val="0084029F"/>
    <w:rsid w:val="00843A07"/>
    <w:rsid w:val="00844403"/>
    <w:rsid w:val="00845018"/>
    <w:rsid w:val="00853FD1"/>
    <w:rsid w:val="00861F9C"/>
    <w:rsid w:val="008624B4"/>
    <w:rsid w:val="0086470B"/>
    <w:rsid w:val="00865731"/>
    <w:rsid w:val="00865937"/>
    <w:rsid w:val="00866CC9"/>
    <w:rsid w:val="00870ED5"/>
    <w:rsid w:val="0087256C"/>
    <w:rsid w:val="00880747"/>
    <w:rsid w:val="00881E3B"/>
    <w:rsid w:val="00890055"/>
    <w:rsid w:val="00890C2B"/>
    <w:rsid w:val="0089437C"/>
    <w:rsid w:val="00894483"/>
    <w:rsid w:val="00895640"/>
    <w:rsid w:val="008978E6"/>
    <w:rsid w:val="00897FA0"/>
    <w:rsid w:val="00897FAA"/>
    <w:rsid w:val="008A0B77"/>
    <w:rsid w:val="008A13E0"/>
    <w:rsid w:val="008A4817"/>
    <w:rsid w:val="008B306F"/>
    <w:rsid w:val="008B5ABF"/>
    <w:rsid w:val="008B6914"/>
    <w:rsid w:val="008C0425"/>
    <w:rsid w:val="008C362C"/>
    <w:rsid w:val="008C5C73"/>
    <w:rsid w:val="008C621A"/>
    <w:rsid w:val="008D070F"/>
    <w:rsid w:val="008E05A8"/>
    <w:rsid w:val="008E1D64"/>
    <w:rsid w:val="008E69B4"/>
    <w:rsid w:val="008E7622"/>
    <w:rsid w:val="008F4A2B"/>
    <w:rsid w:val="008F555E"/>
    <w:rsid w:val="008F7EAF"/>
    <w:rsid w:val="009000AB"/>
    <w:rsid w:val="00900FA8"/>
    <w:rsid w:val="0090407F"/>
    <w:rsid w:val="00916FBE"/>
    <w:rsid w:val="0092009B"/>
    <w:rsid w:val="0092043A"/>
    <w:rsid w:val="00923466"/>
    <w:rsid w:val="00927BE1"/>
    <w:rsid w:val="009371D8"/>
    <w:rsid w:val="00944FD8"/>
    <w:rsid w:val="00946125"/>
    <w:rsid w:val="009537B3"/>
    <w:rsid w:val="009539AD"/>
    <w:rsid w:val="00955031"/>
    <w:rsid w:val="00955404"/>
    <w:rsid w:val="0095610F"/>
    <w:rsid w:val="00956603"/>
    <w:rsid w:val="009617B1"/>
    <w:rsid w:val="0096429E"/>
    <w:rsid w:val="009649BC"/>
    <w:rsid w:val="009662B4"/>
    <w:rsid w:val="00970CB3"/>
    <w:rsid w:val="00973C82"/>
    <w:rsid w:val="0097512A"/>
    <w:rsid w:val="009771F7"/>
    <w:rsid w:val="00982686"/>
    <w:rsid w:val="009836AE"/>
    <w:rsid w:val="009856EF"/>
    <w:rsid w:val="00994144"/>
    <w:rsid w:val="00994226"/>
    <w:rsid w:val="009A304E"/>
    <w:rsid w:val="009A35C7"/>
    <w:rsid w:val="009A3715"/>
    <w:rsid w:val="009A3D40"/>
    <w:rsid w:val="009A4F06"/>
    <w:rsid w:val="009A5E66"/>
    <w:rsid w:val="009A7838"/>
    <w:rsid w:val="009B04BD"/>
    <w:rsid w:val="009B2188"/>
    <w:rsid w:val="009B2254"/>
    <w:rsid w:val="009B2451"/>
    <w:rsid w:val="009B2C85"/>
    <w:rsid w:val="009B3D01"/>
    <w:rsid w:val="009B4BAB"/>
    <w:rsid w:val="009B76FE"/>
    <w:rsid w:val="009B77C1"/>
    <w:rsid w:val="009C0AD8"/>
    <w:rsid w:val="009C18C8"/>
    <w:rsid w:val="009C284C"/>
    <w:rsid w:val="009D4C6C"/>
    <w:rsid w:val="009D5DC1"/>
    <w:rsid w:val="009E026D"/>
    <w:rsid w:val="009E057B"/>
    <w:rsid w:val="009E0ABA"/>
    <w:rsid w:val="009E0C7B"/>
    <w:rsid w:val="009E136D"/>
    <w:rsid w:val="009E2C74"/>
    <w:rsid w:val="009E41AC"/>
    <w:rsid w:val="009E510E"/>
    <w:rsid w:val="009F1254"/>
    <w:rsid w:val="009F1EE6"/>
    <w:rsid w:val="009F328A"/>
    <w:rsid w:val="009F5882"/>
    <w:rsid w:val="009F5935"/>
    <w:rsid w:val="00A111D8"/>
    <w:rsid w:val="00A113D8"/>
    <w:rsid w:val="00A15259"/>
    <w:rsid w:val="00A15C58"/>
    <w:rsid w:val="00A17652"/>
    <w:rsid w:val="00A233A2"/>
    <w:rsid w:val="00A24270"/>
    <w:rsid w:val="00A264C8"/>
    <w:rsid w:val="00A33DFA"/>
    <w:rsid w:val="00A34C5A"/>
    <w:rsid w:val="00A41224"/>
    <w:rsid w:val="00A41980"/>
    <w:rsid w:val="00A43366"/>
    <w:rsid w:val="00A4642F"/>
    <w:rsid w:val="00A477B0"/>
    <w:rsid w:val="00A51299"/>
    <w:rsid w:val="00A52BC1"/>
    <w:rsid w:val="00A55111"/>
    <w:rsid w:val="00A55D96"/>
    <w:rsid w:val="00A61D81"/>
    <w:rsid w:val="00A64256"/>
    <w:rsid w:val="00A648DF"/>
    <w:rsid w:val="00A64D61"/>
    <w:rsid w:val="00A671F3"/>
    <w:rsid w:val="00A72B47"/>
    <w:rsid w:val="00A7475A"/>
    <w:rsid w:val="00A75686"/>
    <w:rsid w:val="00A77D68"/>
    <w:rsid w:val="00A800BF"/>
    <w:rsid w:val="00A81FE3"/>
    <w:rsid w:val="00A831D8"/>
    <w:rsid w:val="00A83860"/>
    <w:rsid w:val="00A83ECD"/>
    <w:rsid w:val="00A87CA1"/>
    <w:rsid w:val="00A9221D"/>
    <w:rsid w:val="00AA0506"/>
    <w:rsid w:val="00AA243F"/>
    <w:rsid w:val="00AA285B"/>
    <w:rsid w:val="00AA30A6"/>
    <w:rsid w:val="00AA3FA5"/>
    <w:rsid w:val="00AB1AB2"/>
    <w:rsid w:val="00AB4864"/>
    <w:rsid w:val="00AB5B60"/>
    <w:rsid w:val="00AB66E0"/>
    <w:rsid w:val="00AB6AAC"/>
    <w:rsid w:val="00AC1FE7"/>
    <w:rsid w:val="00AC6CF4"/>
    <w:rsid w:val="00AC719A"/>
    <w:rsid w:val="00AD233D"/>
    <w:rsid w:val="00AD2F06"/>
    <w:rsid w:val="00AD4C7B"/>
    <w:rsid w:val="00AD5601"/>
    <w:rsid w:val="00AD681C"/>
    <w:rsid w:val="00AE1292"/>
    <w:rsid w:val="00AE201D"/>
    <w:rsid w:val="00AE2D98"/>
    <w:rsid w:val="00AE429D"/>
    <w:rsid w:val="00AE480F"/>
    <w:rsid w:val="00AE640F"/>
    <w:rsid w:val="00AE7A15"/>
    <w:rsid w:val="00AF3D0A"/>
    <w:rsid w:val="00AF4DB5"/>
    <w:rsid w:val="00AF549A"/>
    <w:rsid w:val="00AF5526"/>
    <w:rsid w:val="00AF58EC"/>
    <w:rsid w:val="00AF6E18"/>
    <w:rsid w:val="00B01F42"/>
    <w:rsid w:val="00B02AF5"/>
    <w:rsid w:val="00B03919"/>
    <w:rsid w:val="00B1049C"/>
    <w:rsid w:val="00B11A35"/>
    <w:rsid w:val="00B11E90"/>
    <w:rsid w:val="00B11FF9"/>
    <w:rsid w:val="00B1216B"/>
    <w:rsid w:val="00B17373"/>
    <w:rsid w:val="00B22029"/>
    <w:rsid w:val="00B223FE"/>
    <w:rsid w:val="00B22F3F"/>
    <w:rsid w:val="00B2319D"/>
    <w:rsid w:val="00B23941"/>
    <w:rsid w:val="00B32459"/>
    <w:rsid w:val="00B33738"/>
    <w:rsid w:val="00B3518D"/>
    <w:rsid w:val="00B40A62"/>
    <w:rsid w:val="00B41DB3"/>
    <w:rsid w:val="00B43B15"/>
    <w:rsid w:val="00B44BAA"/>
    <w:rsid w:val="00B44F37"/>
    <w:rsid w:val="00B45D95"/>
    <w:rsid w:val="00B45F49"/>
    <w:rsid w:val="00B52494"/>
    <w:rsid w:val="00B53561"/>
    <w:rsid w:val="00B53884"/>
    <w:rsid w:val="00B54829"/>
    <w:rsid w:val="00B568E0"/>
    <w:rsid w:val="00B5773A"/>
    <w:rsid w:val="00B57BE2"/>
    <w:rsid w:val="00B602F2"/>
    <w:rsid w:val="00B61E1C"/>
    <w:rsid w:val="00B628A5"/>
    <w:rsid w:val="00B631EE"/>
    <w:rsid w:val="00B6330D"/>
    <w:rsid w:val="00B65351"/>
    <w:rsid w:val="00B663A0"/>
    <w:rsid w:val="00B678AE"/>
    <w:rsid w:val="00B74BA2"/>
    <w:rsid w:val="00B75FCD"/>
    <w:rsid w:val="00B801A0"/>
    <w:rsid w:val="00B802E2"/>
    <w:rsid w:val="00B80E31"/>
    <w:rsid w:val="00B821E2"/>
    <w:rsid w:val="00B8384E"/>
    <w:rsid w:val="00B83F70"/>
    <w:rsid w:val="00B8536B"/>
    <w:rsid w:val="00B869D8"/>
    <w:rsid w:val="00B87B13"/>
    <w:rsid w:val="00B90284"/>
    <w:rsid w:val="00B90BAF"/>
    <w:rsid w:val="00B93F9C"/>
    <w:rsid w:val="00BA25CB"/>
    <w:rsid w:val="00BA55BE"/>
    <w:rsid w:val="00BB03DD"/>
    <w:rsid w:val="00BB13BE"/>
    <w:rsid w:val="00BC1321"/>
    <w:rsid w:val="00BC5352"/>
    <w:rsid w:val="00BD252A"/>
    <w:rsid w:val="00BD2C84"/>
    <w:rsid w:val="00BD2FF4"/>
    <w:rsid w:val="00BD7190"/>
    <w:rsid w:val="00BD7A74"/>
    <w:rsid w:val="00BE03FD"/>
    <w:rsid w:val="00BE0F82"/>
    <w:rsid w:val="00BE2548"/>
    <w:rsid w:val="00BE36FF"/>
    <w:rsid w:val="00BE4F11"/>
    <w:rsid w:val="00BE5E41"/>
    <w:rsid w:val="00BF2527"/>
    <w:rsid w:val="00BF43C2"/>
    <w:rsid w:val="00BF7893"/>
    <w:rsid w:val="00BF7BFC"/>
    <w:rsid w:val="00C03FF2"/>
    <w:rsid w:val="00C06CD9"/>
    <w:rsid w:val="00C06DF5"/>
    <w:rsid w:val="00C11056"/>
    <w:rsid w:val="00C1322C"/>
    <w:rsid w:val="00C13DF8"/>
    <w:rsid w:val="00C14F18"/>
    <w:rsid w:val="00C157C8"/>
    <w:rsid w:val="00C15C85"/>
    <w:rsid w:val="00C16E9B"/>
    <w:rsid w:val="00C20D4D"/>
    <w:rsid w:val="00C23F21"/>
    <w:rsid w:val="00C2638C"/>
    <w:rsid w:val="00C2710C"/>
    <w:rsid w:val="00C301FD"/>
    <w:rsid w:val="00C3678E"/>
    <w:rsid w:val="00C45974"/>
    <w:rsid w:val="00C45AD7"/>
    <w:rsid w:val="00C509F9"/>
    <w:rsid w:val="00C52288"/>
    <w:rsid w:val="00C53AA0"/>
    <w:rsid w:val="00C566D0"/>
    <w:rsid w:val="00C5688A"/>
    <w:rsid w:val="00C56A7B"/>
    <w:rsid w:val="00C57737"/>
    <w:rsid w:val="00C62A45"/>
    <w:rsid w:val="00C63D1E"/>
    <w:rsid w:val="00C659C4"/>
    <w:rsid w:val="00C65BAF"/>
    <w:rsid w:val="00C6640D"/>
    <w:rsid w:val="00C704A0"/>
    <w:rsid w:val="00C71FB5"/>
    <w:rsid w:val="00C72890"/>
    <w:rsid w:val="00C74E5B"/>
    <w:rsid w:val="00C77596"/>
    <w:rsid w:val="00C77795"/>
    <w:rsid w:val="00C821E4"/>
    <w:rsid w:val="00C82738"/>
    <w:rsid w:val="00C83510"/>
    <w:rsid w:val="00C835A5"/>
    <w:rsid w:val="00C85DD9"/>
    <w:rsid w:val="00C860AF"/>
    <w:rsid w:val="00C87CDA"/>
    <w:rsid w:val="00C90A12"/>
    <w:rsid w:val="00C91487"/>
    <w:rsid w:val="00C91583"/>
    <w:rsid w:val="00C9237D"/>
    <w:rsid w:val="00CA0E43"/>
    <w:rsid w:val="00CA277B"/>
    <w:rsid w:val="00CA3DB9"/>
    <w:rsid w:val="00CA4A61"/>
    <w:rsid w:val="00CA68DA"/>
    <w:rsid w:val="00CB7419"/>
    <w:rsid w:val="00CC074F"/>
    <w:rsid w:val="00CC2236"/>
    <w:rsid w:val="00CC3CCE"/>
    <w:rsid w:val="00CC572E"/>
    <w:rsid w:val="00CD12E4"/>
    <w:rsid w:val="00CD1DCF"/>
    <w:rsid w:val="00CD205D"/>
    <w:rsid w:val="00CD2266"/>
    <w:rsid w:val="00CD551B"/>
    <w:rsid w:val="00CD67B2"/>
    <w:rsid w:val="00CD78E8"/>
    <w:rsid w:val="00CE2258"/>
    <w:rsid w:val="00CE37B8"/>
    <w:rsid w:val="00CE42F4"/>
    <w:rsid w:val="00CE6CD3"/>
    <w:rsid w:val="00CE71F7"/>
    <w:rsid w:val="00CF03B8"/>
    <w:rsid w:val="00CF2014"/>
    <w:rsid w:val="00CF2C19"/>
    <w:rsid w:val="00CF2F67"/>
    <w:rsid w:val="00CF2F9C"/>
    <w:rsid w:val="00CF3048"/>
    <w:rsid w:val="00CF3683"/>
    <w:rsid w:val="00CF40DF"/>
    <w:rsid w:val="00CF417D"/>
    <w:rsid w:val="00CF514A"/>
    <w:rsid w:val="00CF67C6"/>
    <w:rsid w:val="00CF7486"/>
    <w:rsid w:val="00D0115D"/>
    <w:rsid w:val="00D03463"/>
    <w:rsid w:val="00D03DA6"/>
    <w:rsid w:val="00D0647B"/>
    <w:rsid w:val="00D11D6C"/>
    <w:rsid w:val="00D1468B"/>
    <w:rsid w:val="00D17074"/>
    <w:rsid w:val="00D2190C"/>
    <w:rsid w:val="00D229F7"/>
    <w:rsid w:val="00D22B29"/>
    <w:rsid w:val="00D233F5"/>
    <w:rsid w:val="00D256EE"/>
    <w:rsid w:val="00D25BB3"/>
    <w:rsid w:val="00D27A4B"/>
    <w:rsid w:val="00D308EA"/>
    <w:rsid w:val="00D34EB7"/>
    <w:rsid w:val="00D3556F"/>
    <w:rsid w:val="00D3660A"/>
    <w:rsid w:val="00D375C6"/>
    <w:rsid w:val="00D411BC"/>
    <w:rsid w:val="00D442D8"/>
    <w:rsid w:val="00D454A3"/>
    <w:rsid w:val="00D45BC9"/>
    <w:rsid w:val="00D4619C"/>
    <w:rsid w:val="00D47D22"/>
    <w:rsid w:val="00D50D83"/>
    <w:rsid w:val="00D529EC"/>
    <w:rsid w:val="00D52F95"/>
    <w:rsid w:val="00D53AC2"/>
    <w:rsid w:val="00D546E2"/>
    <w:rsid w:val="00D5556E"/>
    <w:rsid w:val="00D56C36"/>
    <w:rsid w:val="00D60C39"/>
    <w:rsid w:val="00D610A0"/>
    <w:rsid w:val="00D67CA0"/>
    <w:rsid w:val="00D7118C"/>
    <w:rsid w:val="00D73B56"/>
    <w:rsid w:val="00D8078C"/>
    <w:rsid w:val="00D819C8"/>
    <w:rsid w:val="00D8336B"/>
    <w:rsid w:val="00D85D55"/>
    <w:rsid w:val="00D85FA4"/>
    <w:rsid w:val="00D87D6E"/>
    <w:rsid w:val="00D87EA2"/>
    <w:rsid w:val="00D91253"/>
    <w:rsid w:val="00D94006"/>
    <w:rsid w:val="00D952FF"/>
    <w:rsid w:val="00D95890"/>
    <w:rsid w:val="00D9603F"/>
    <w:rsid w:val="00D96C7F"/>
    <w:rsid w:val="00D978CD"/>
    <w:rsid w:val="00DA3D80"/>
    <w:rsid w:val="00DA487D"/>
    <w:rsid w:val="00DA4CCD"/>
    <w:rsid w:val="00DA67EF"/>
    <w:rsid w:val="00DA6877"/>
    <w:rsid w:val="00DA68EE"/>
    <w:rsid w:val="00DB3F3F"/>
    <w:rsid w:val="00DB6518"/>
    <w:rsid w:val="00DB703A"/>
    <w:rsid w:val="00DC02B4"/>
    <w:rsid w:val="00DC31A1"/>
    <w:rsid w:val="00DC61F8"/>
    <w:rsid w:val="00DC67DE"/>
    <w:rsid w:val="00DD0051"/>
    <w:rsid w:val="00DD316A"/>
    <w:rsid w:val="00DD53F9"/>
    <w:rsid w:val="00DD5F5C"/>
    <w:rsid w:val="00DD6155"/>
    <w:rsid w:val="00DD6400"/>
    <w:rsid w:val="00DD6846"/>
    <w:rsid w:val="00DD7922"/>
    <w:rsid w:val="00DD7ABA"/>
    <w:rsid w:val="00DE07AE"/>
    <w:rsid w:val="00DE0E4F"/>
    <w:rsid w:val="00DE1968"/>
    <w:rsid w:val="00DE1A4B"/>
    <w:rsid w:val="00DE4B06"/>
    <w:rsid w:val="00DE59AC"/>
    <w:rsid w:val="00DE72E7"/>
    <w:rsid w:val="00DF0BEC"/>
    <w:rsid w:val="00DF1C6B"/>
    <w:rsid w:val="00E00E80"/>
    <w:rsid w:val="00E0317A"/>
    <w:rsid w:val="00E104FA"/>
    <w:rsid w:val="00E1187C"/>
    <w:rsid w:val="00E120FB"/>
    <w:rsid w:val="00E13D2B"/>
    <w:rsid w:val="00E169E5"/>
    <w:rsid w:val="00E24E67"/>
    <w:rsid w:val="00E26252"/>
    <w:rsid w:val="00E265C2"/>
    <w:rsid w:val="00E33C44"/>
    <w:rsid w:val="00E3427A"/>
    <w:rsid w:val="00E42357"/>
    <w:rsid w:val="00E426B2"/>
    <w:rsid w:val="00E43CF6"/>
    <w:rsid w:val="00E44C2B"/>
    <w:rsid w:val="00E468F7"/>
    <w:rsid w:val="00E529ED"/>
    <w:rsid w:val="00E56569"/>
    <w:rsid w:val="00E57AF0"/>
    <w:rsid w:val="00E63094"/>
    <w:rsid w:val="00E631D6"/>
    <w:rsid w:val="00E63B4C"/>
    <w:rsid w:val="00E6468D"/>
    <w:rsid w:val="00E64C4F"/>
    <w:rsid w:val="00E658BB"/>
    <w:rsid w:val="00E65C65"/>
    <w:rsid w:val="00E708FC"/>
    <w:rsid w:val="00E7504A"/>
    <w:rsid w:val="00E76A2A"/>
    <w:rsid w:val="00E7721E"/>
    <w:rsid w:val="00E809B8"/>
    <w:rsid w:val="00E8133B"/>
    <w:rsid w:val="00E813FF"/>
    <w:rsid w:val="00E81875"/>
    <w:rsid w:val="00E8221E"/>
    <w:rsid w:val="00E82BEA"/>
    <w:rsid w:val="00E84888"/>
    <w:rsid w:val="00E84BBD"/>
    <w:rsid w:val="00E85328"/>
    <w:rsid w:val="00E85449"/>
    <w:rsid w:val="00E85474"/>
    <w:rsid w:val="00E868D4"/>
    <w:rsid w:val="00E86990"/>
    <w:rsid w:val="00E86A7B"/>
    <w:rsid w:val="00E910DB"/>
    <w:rsid w:val="00E91E91"/>
    <w:rsid w:val="00E94DC2"/>
    <w:rsid w:val="00E97E42"/>
    <w:rsid w:val="00EA0B2D"/>
    <w:rsid w:val="00EA4B21"/>
    <w:rsid w:val="00EA54ED"/>
    <w:rsid w:val="00EA6B9F"/>
    <w:rsid w:val="00EA6D42"/>
    <w:rsid w:val="00EB055D"/>
    <w:rsid w:val="00EB09DB"/>
    <w:rsid w:val="00EB17A0"/>
    <w:rsid w:val="00EB1F7C"/>
    <w:rsid w:val="00EB4D36"/>
    <w:rsid w:val="00EB6C07"/>
    <w:rsid w:val="00EB7F34"/>
    <w:rsid w:val="00EC2011"/>
    <w:rsid w:val="00EC704D"/>
    <w:rsid w:val="00ED1097"/>
    <w:rsid w:val="00ED10EA"/>
    <w:rsid w:val="00ED1587"/>
    <w:rsid w:val="00ED2FE9"/>
    <w:rsid w:val="00ED46AD"/>
    <w:rsid w:val="00ED4F11"/>
    <w:rsid w:val="00EE11FB"/>
    <w:rsid w:val="00EE7F03"/>
    <w:rsid w:val="00EF1459"/>
    <w:rsid w:val="00EF26A1"/>
    <w:rsid w:val="00EF542B"/>
    <w:rsid w:val="00F05724"/>
    <w:rsid w:val="00F116E5"/>
    <w:rsid w:val="00F118C4"/>
    <w:rsid w:val="00F118D2"/>
    <w:rsid w:val="00F12BF1"/>
    <w:rsid w:val="00F14307"/>
    <w:rsid w:val="00F14FD6"/>
    <w:rsid w:val="00F17ED1"/>
    <w:rsid w:val="00F218E9"/>
    <w:rsid w:val="00F24F4F"/>
    <w:rsid w:val="00F32BA5"/>
    <w:rsid w:val="00F3483E"/>
    <w:rsid w:val="00F36E16"/>
    <w:rsid w:val="00F42E41"/>
    <w:rsid w:val="00F43344"/>
    <w:rsid w:val="00F44761"/>
    <w:rsid w:val="00F450C2"/>
    <w:rsid w:val="00F453BB"/>
    <w:rsid w:val="00F531AB"/>
    <w:rsid w:val="00F53443"/>
    <w:rsid w:val="00F569B2"/>
    <w:rsid w:val="00F631B7"/>
    <w:rsid w:val="00F632E0"/>
    <w:rsid w:val="00F67490"/>
    <w:rsid w:val="00F67590"/>
    <w:rsid w:val="00F707A7"/>
    <w:rsid w:val="00F71DAB"/>
    <w:rsid w:val="00F7408D"/>
    <w:rsid w:val="00F77E7D"/>
    <w:rsid w:val="00F80868"/>
    <w:rsid w:val="00F8159A"/>
    <w:rsid w:val="00F84821"/>
    <w:rsid w:val="00F866D5"/>
    <w:rsid w:val="00F868D4"/>
    <w:rsid w:val="00F926A8"/>
    <w:rsid w:val="00F933D8"/>
    <w:rsid w:val="00F94573"/>
    <w:rsid w:val="00FB14D5"/>
    <w:rsid w:val="00FB2B29"/>
    <w:rsid w:val="00FB4552"/>
    <w:rsid w:val="00FB6D61"/>
    <w:rsid w:val="00FB762D"/>
    <w:rsid w:val="00FC1427"/>
    <w:rsid w:val="00FC2AF6"/>
    <w:rsid w:val="00FC30B9"/>
    <w:rsid w:val="00FC3D61"/>
    <w:rsid w:val="00FC70A6"/>
    <w:rsid w:val="00FD00F3"/>
    <w:rsid w:val="00FD1B1A"/>
    <w:rsid w:val="00FD1BB0"/>
    <w:rsid w:val="00FD5E8E"/>
    <w:rsid w:val="00FD5FDC"/>
    <w:rsid w:val="00FE0D64"/>
    <w:rsid w:val="00FE23F2"/>
    <w:rsid w:val="00FE2D6C"/>
    <w:rsid w:val="00FE37F9"/>
    <w:rsid w:val="00FE3D99"/>
    <w:rsid w:val="00FE7983"/>
    <w:rsid w:val="00FE7EAA"/>
    <w:rsid w:val="00FF17A2"/>
    <w:rsid w:val="00FF2DDE"/>
    <w:rsid w:val="00FF50D1"/>
    <w:rsid w:val="00FF618D"/>
    <w:rsid w:val="00FF657B"/>
    <w:rsid w:val="00FF72D2"/>
    <w:rsid w:val="00FF7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5339"/>
  <w15:docId w15:val="{A2A2235C-1C69-4409-A01D-13F2FB31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semiHidden/>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2021-11-03T07:39:00Z</cp:lastPrinted>
  <dcterms:created xsi:type="dcterms:W3CDTF">2023-10-13T08:28:00Z</dcterms:created>
  <dcterms:modified xsi:type="dcterms:W3CDTF">2023-10-13T08:28:00Z</dcterms:modified>
</cp:coreProperties>
</file>