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CD80" w14:textId="77777777" w:rsidR="003A55B1" w:rsidRDefault="007F58D7">
      <w:pPr>
        <w:spacing w:before="61"/>
        <w:ind w:left="23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ZIMBABWE</w:t>
      </w:r>
    </w:p>
    <w:p w14:paraId="50276DA2" w14:textId="77777777" w:rsidR="003A55B1" w:rsidRDefault="003A55B1">
      <w:pPr>
        <w:pStyle w:val="BodyText"/>
        <w:rPr>
          <w:b/>
        </w:rPr>
      </w:pPr>
    </w:p>
    <w:p w14:paraId="13A5BA4B" w14:textId="77777777" w:rsidR="003A55B1" w:rsidRDefault="007F58D7">
      <w:pPr>
        <w:ind w:left="23"/>
        <w:rPr>
          <w:b/>
          <w:sz w:val="24"/>
        </w:rPr>
      </w:pPr>
      <w:r>
        <w:rPr>
          <w:b/>
          <w:sz w:val="24"/>
        </w:rPr>
        <w:t>HARARE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21 MAY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 xml:space="preserve">2024 </w:t>
      </w:r>
      <w:r>
        <w:rPr>
          <w:b/>
          <w:spacing w:val="-5"/>
          <w:sz w:val="24"/>
        </w:rPr>
        <w:t>AND</w:t>
      </w:r>
    </w:p>
    <w:p w14:paraId="57E88BF0" w14:textId="77777777" w:rsidR="003A55B1" w:rsidRDefault="007F58D7">
      <w:pPr>
        <w:spacing w:before="137"/>
        <w:ind w:left="23"/>
        <w:rPr>
          <w:b/>
          <w:sz w:val="24"/>
        </w:rPr>
      </w:pPr>
      <w:r>
        <w:rPr>
          <w:b/>
          <w:sz w:val="24"/>
        </w:rPr>
        <w:t>31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JANUARY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0F4D54FA" w14:textId="77777777" w:rsidR="003A55B1" w:rsidRDefault="007F58D7">
      <w:pPr>
        <w:spacing w:before="61" w:line="480" w:lineRule="auto"/>
        <w:ind w:left="23" w:right="232" w:firstLine="26"/>
        <w:rPr>
          <w:b/>
          <w:sz w:val="24"/>
        </w:rPr>
      </w:pPr>
      <w:r>
        <w:br w:type="column"/>
      </w:r>
      <w:r>
        <w:rPr>
          <w:b/>
          <w:sz w:val="24"/>
        </w:rPr>
        <w:t>JUDGMENT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LC/H/36/25 CASE NO LC/H/857/22-1</w:t>
      </w:r>
    </w:p>
    <w:p w14:paraId="24C1A5AE" w14:textId="77777777" w:rsidR="003A55B1" w:rsidRDefault="003A55B1">
      <w:pPr>
        <w:spacing w:line="480" w:lineRule="auto"/>
        <w:rPr>
          <w:b/>
          <w:sz w:val="24"/>
        </w:rPr>
        <w:sectPr w:rsidR="003A55B1">
          <w:type w:val="continuous"/>
          <w:pgSz w:w="11910" w:h="16840"/>
          <w:pgMar w:top="1360" w:right="1417" w:bottom="280" w:left="1417" w:header="720" w:footer="720" w:gutter="0"/>
          <w:cols w:num="2" w:space="720" w:equalWidth="0">
            <w:col w:w="4697" w:space="1038"/>
            <w:col w:w="3341"/>
          </w:cols>
        </w:sectPr>
      </w:pPr>
    </w:p>
    <w:p w14:paraId="33FDDA28" w14:textId="77777777" w:rsidR="003A55B1" w:rsidRDefault="003A55B1">
      <w:pPr>
        <w:pStyle w:val="BodyText"/>
        <w:rPr>
          <w:b/>
        </w:rPr>
      </w:pPr>
    </w:p>
    <w:p w14:paraId="2CA6F11F" w14:textId="77777777" w:rsidR="003A55B1" w:rsidRDefault="003A55B1">
      <w:pPr>
        <w:pStyle w:val="BodyText"/>
        <w:rPr>
          <w:b/>
        </w:rPr>
      </w:pPr>
    </w:p>
    <w:p w14:paraId="1B7CFBC5" w14:textId="77777777" w:rsidR="003A55B1" w:rsidRDefault="003A55B1">
      <w:pPr>
        <w:pStyle w:val="BodyText"/>
        <w:rPr>
          <w:b/>
        </w:rPr>
      </w:pPr>
    </w:p>
    <w:p w14:paraId="24D36F50" w14:textId="77777777" w:rsidR="003A55B1" w:rsidRDefault="003A55B1">
      <w:pPr>
        <w:pStyle w:val="BodyText"/>
        <w:rPr>
          <w:b/>
        </w:rPr>
      </w:pPr>
    </w:p>
    <w:p w14:paraId="5E62131F" w14:textId="77777777" w:rsidR="003A55B1" w:rsidRDefault="003A55B1">
      <w:pPr>
        <w:pStyle w:val="BodyText"/>
        <w:spacing w:before="139"/>
        <w:rPr>
          <w:b/>
        </w:rPr>
      </w:pPr>
    </w:p>
    <w:p w14:paraId="73847BE7" w14:textId="77777777" w:rsidR="003A55B1" w:rsidRDefault="007F58D7">
      <w:pPr>
        <w:tabs>
          <w:tab w:val="left" w:pos="5784"/>
        </w:tabs>
        <w:ind w:left="23"/>
        <w:rPr>
          <w:b/>
          <w:sz w:val="24"/>
        </w:rPr>
      </w:pPr>
      <w:r>
        <w:rPr>
          <w:b/>
          <w:sz w:val="24"/>
        </w:rPr>
        <w:t xml:space="preserve">ZEALOUS </w:t>
      </w:r>
      <w:r>
        <w:rPr>
          <w:b/>
          <w:spacing w:val="-2"/>
          <w:sz w:val="24"/>
        </w:rPr>
        <w:t>NYABADZA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APPLICANT</w:t>
      </w:r>
    </w:p>
    <w:p w14:paraId="3C923F7C" w14:textId="77777777" w:rsidR="003A55B1" w:rsidRDefault="003A55B1">
      <w:pPr>
        <w:pStyle w:val="BodyText"/>
        <w:rPr>
          <w:b/>
        </w:rPr>
      </w:pPr>
    </w:p>
    <w:p w14:paraId="519A478C" w14:textId="77777777" w:rsidR="003A55B1" w:rsidRDefault="003A55B1">
      <w:pPr>
        <w:pStyle w:val="BodyText"/>
        <w:rPr>
          <w:b/>
        </w:rPr>
      </w:pPr>
    </w:p>
    <w:p w14:paraId="26B794FC" w14:textId="77777777" w:rsidR="003A55B1" w:rsidRDefault="003A55B1">
      <w:pPr>
        <w:pStyle w:val="BodyText"/>
        <w:spacing w:before="271"/>
        <w:rPr>
          <w:b/>
        </w:rPr>
      </w:pPr>
    </w:p>
    <w:p w14:paraId="6BDB5A31" w14:textId="77777777" w:rsidR="003A55B1" w:rsidRDefault="007F58D7">
      <w:pPr>
        <w:tabs>
          <w:tab w:val="left" w:pos="5784"/>
        </w:tabs>
        <w:ind w:left="23"/>
        <w:rPr>
          <w:b/>
          <w:sz w:val="24"/>
        </w:rPr>
      </w:pPr>
      <w:r>
        <w:rPr>
          <w:b/>
          <w:sz w:val="24"/>
        </w:rPr>
        <w:t>CONCILIATOR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MGAZI</w:t>
      </w:r>
      <w:r>
        <w:rPr>
          <w:b/>
          <w:spacing w:val="59"/>
          <w:sz w:val="24"/>
        </w:rPr>
        <w:t xml:space="preserve"> </w:t>
      </w:r>
      <w:r>
        <w:rPr>
          <w:b/>
          <w:spacing w:val="-4"/>
          <w:sz w:val="24"/>
        </w:rPr>
        <w:t>N.O.</w:t>
      </w:r>
      <w:r>
        <w:rPr>
          <w:b/>
          <w:sz w:val="24"/>
        </w:rPr>
        <w:tab/>
        <w:t>1</w:t>
      </w:r>
      <w:proofErr w:type="spellStart"/>
      <w:r>
        <w:rPr>
          <w:b/>
          <w:position w:val="8"/>
          <w:sz w:val="16"/>
        </w:rPr>
        <w:t>st</w:t>
      </w:r>
      <w:proofErr w:type="spellEnd"/>
      <w:r>
        <w:rPr>
          <w:b/>
          <w:spacing w:val="-3"/>
          <w:position w:val="8"/>
          <w:sz w:val="16"/>
        </w:rPr>
        <w:t xml:space="preserve"> </w:t>
      </w:r>
      <w:r>
        <w:rPr>
          <w:b/>
          <w:spacing w:val="-2"/>
          <w:sz w:val="24"/>
        </w:rPr>
        <w:t>RESPONDENT</w:t>
      </w:r>
    </w:p>
    <w:p w14:paraId="591FF10D" w14:textId="77777777" w:rsidR="003A55B1" w:rsidRDefault="003A55B1">
      <w:pPr>
        <w:pStyle w:val="BodyText"/>
        <w:rPr>
          <w:b/>
        </w:rPr>
      </w:pPr>
    </w:p>
    <w:p w14:paraId="396F6540" w14:textId="77777777" w:rsidR="003A55B1" w:rsidRDefault="003A55B1">
      <w:pPr>
        <w:pStyle w:val="BodyText"/>
        <w:spacing w:before="271"/>
        <w:rPr>
          <w:b/>
        </w:rPr>
      </w:pPr>
    </w:p>
    <w:p w14:paraId="018C26D0" w14:textId="77777777" w:rsidR="003A55B1" w:rsidRDefault="007F58D7">
      <w:pPr>
        <w:tabs>
          <w:tab w:val="left" w:pos="5784"/>
        </w:tabs>
        <w:ind w:left="23"/>
        <w:rPr>
          <w:b/>
          <w:sz w:val="24"/>
        </w:rPr>
      </w:pPr>
      <w:r>
        <w:rPr>
          <w:b/>
          <w:sz w:val="24"/>
        </w:rPr>
        <w:t>NATIONAL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PHARMACEUTICAL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COMPANY</w:t>
      </w:r>
      <w:r>
        <w:rPr>
          <w:b/>
          <w:sz w:val="24"/>
        </w:rPr>
        <w:tab/>
        <w:t>2</w:t>
      </w:r>
      <w:proofErr w:type="spellStart"/>
      <w:r>
        <w:rPr>
          <w:b/>
          <w:position w:val="8"/>
          <w:sz w:val="16"/>
        </w:rPr>
        <w:t>nd</w:t>
      </w:r>
      <w:proofErr w:type="spellEnd"/>
      <w:r>
        <w:rPr>
          <w:b/>
          <w:spacing w:val="16"/>
          <w:position w:val="8"/>
          <w:sz w:val="16"/>
        </w:rPr>
        <w:t xml:space="preserve"> </w:t>
      </w:r>
      <w:r>
        <w:rPr>
          <w:b/>
          <w:spacing w:val="-2"/>
          <w:sz w:val="24"/>
        </w:rPr>
        <w:t>RESPONDENT</w:t>
      </w:r>
    </w:p>
    <w:p w14:paraId="78B9B5E0" w14:textId="77777777" w:rsidR="003A55B1" w:rsidRDefault="003A55B1">
      <w:pPr>
        <w:pStyle w:val="BodyText"/>
        <w:rPr>
          <w:b/>
        </w:rPr>
      </w:pPr>
    </w:p>
    <w:p w14:paraId="07835B0D" w14:textId="77777777" w:rsidR="003A55B1" w:rsidRDefault="003A55B1">
      <w:pPr>
        <w:pStyle w:val="BodyText"/>
        <w:rPr>
          <w:b/>
        </w:rPr>
      </w:pPr>
    </w:p>
    <w:p w14:paraId="5548A65D" w14:textId="77777777" w:rsidR="003A55B1" w:rsidRDefault="003A55B1">
      <w:pPr>
        <w:pStyle w:val="BodyText"/>
        <w:rPr>
          <w:b/>
        </w:rPr>
      </w:pPr>
    </w:p>
    <w:p w14:paraId="5F2310CE" w14:textId="77777777" w:rsidR="003A55B1" w:rsidRDefault="007F58D7">
      <w:pPr>
        <w:pStyle w:val="BodyText"/>
        <w:ind w:left="23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1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Musariri</w:t>
      </w:r>
      <w:r>
        <w:rPr>
          <w:spacing w:val="59"/>
        </w:rPr>
        <w:t xml:space="preserve"> </w:t>
      </w:r>
      <w:r>
        <w:rPr>
          <w:spacing w:val="-2"/>
        </w:rPr>
        <w:t>Judge:</w:t>
      </w:r>
    </w:p>
    <w:p w14:paraId="5F489290" w14:textId="77777777" w:rsidR="003A55B1" w:rsidRDefault="003A55B1">
      <w:pPr>
        <w:pStyle w:val="BodyText"/>
        <w:spacing w:before="1"/>
      </w:pPr>
    </w:p>
    <w:p w14:paraId="7E2B9572" w14:textId="77777777" w:rsidR="003A55B1" w:rsidRDefault="007F58D7">
      <w:pPr>
        <w:pStyle w:val="BodyText"/>
        <w:tabs>
          <w:tab w:val="left" w:pos="2903"/>
          <w:tab w:val="left" w:pos="3623"/>
        </w:tabs>
        <w:ind w:left="23"/>
      </w:pPr>
      <w:r>
        <w:t>For</w:t>
      </w:r>
      <w:r>
        <w:rPr>
          <w:spacing w:val="58"/>
        </w:rPr>
        <w:t xml:space="preserve"> </w:t>
      </w:r>
      <w:r>
        <w:rPr>
          <w:spacing w:val="-2"/>
        </w:rPr>
        <w:t>Applicant</w:t>
      </w:r>
      <w:r>
        <w:tab/>
      </w:r>
      <w:r>
        <w:rPr>
          <w:spacing w:val="-10"/>
        </w:rPr>
        <w:t>-</w:t>
      </w:r>
      <w:r>
        <w:tab/>
        <w:t>S.T.</w:t>
      </w:r>
      <w:r>
        <w:rPr>
          <w:spacing w:val="-3"/>
        </w:rPr>
        <w:t xml:space="preserve"> </w:t>
      </w:r>
      <w:r>
        <w:t xml:space="preserve">Mutema, </w:t>
      </w:r>
      <w:r>
        <w:rPr>
          <w:spacing w:val="-2"/>
        </w:rPr>
        <w:t>Attorney</w:t>
      </w:r>
    </w:p>
    <w:p w14:paraId="69112F45" w14:textId="77777777" w:rsidR="003A55B1" w:rsidRDefault="007F58D7">
      <w:pPr>
        <w:pStyle w:val="BodyText"/>
        <w:tabs>
          <w:tab w:val="left" w:pos="2903"/>
          <w:tab w:val="left" w:pos="3623"/>
        </w:tabs>
        <w:spacing w:before="137"/>
        <w:ind w:left="23"/>
      </w:pPr>
      <w:r>
        <w:t>For</w:t>
      </w:r>
      <w:r>
        <w:rPr>
          <w:spacing w:val="-2"/>
        </w:rPr>
        <w:t xml:space="preserve"> Respondent</w:t>
      </w:r>
      <w:r>
        <w:tab/>
      </w:r>
      <w:r>
        <w:rPr>
          <w:spacing w:val="-10"/>
        </w:rPr>
        <w:t>-</w:t>
      </w:r>
      <w:r>
        <w:tab/>
        <w:t>P.</w:t>
      </w:r>
      <w:r>
        <w:rPr>
          <w:spacing w:val="-1"/>
        </w:rPr>
        <w:t xml:space="preserve"> </w:t>
      </w:r>
      <w:r>
        <w:t>Dube,</w:t>
      </w:r>
      <w:r>
        <w:rPr>
          <w:spacing w:val="-1"/>
        </w:rPr>
        <w:t xml:space="preserve"> </w:t>
      </w:r>
      <w:r>
        <w:rPr>
          <w:spacing w:val="-2"/>
        </w:rPr>
        <w:t>Attorney</w:t>
      </w:r>
    </w:p>
    <w:p w14:paraId="534F69D1" w14:textId="77777777" w:rsidR="003A55B1" w:rsidRDefault="003A55B1">
      <w:pPr>
        <w:pStyle w:val="BodyText"/>
      </w:pPr>
    </w:p>
    <w:p w14:paraId="289B6B84" w14:textId="77777777" w:rsidR="003A55B1" w:rsidRDefault="003A55B1">
      <w:pPr>
        <w:pStyle w:val="BodyText"/>
        <w:spacing w:before="139"/>
      </w:pPr>
    </w:p>
    <w:p w14:paraId="6D7872B4" w14:textId="77777777" w:rsidR="003A55B1" w:rsidRDefault="007F58D7">
      <w:pPr>
        <w:ind w:left="23"/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40D555BB" w14:textId="77777777" w:rsidR="003A55B1" w:rsidRDefault="003A55B1">
      <w:pPr>
        <w:pStyle w:val="BodyText"/>
        <w:rPr>
          <w:b/>
        </w:rPr>
      </w:pPr>
    </w:p>
    <w:p w14:paraId="5346C7F7" w14:textId="77777777" w:rsidR="003A55B1" w:rsidRDefault="007F58D7">
      <w:pPr>
        <w:pStyle w:val="BodyText"/>
        <w:spacing w:line="360" w:lineRule="auto"/>
        <w:ind w:left="23" w:right="26" w:firstLine="719"/>
        <w:jc w:val="both"/>
      </w:pPr>
      <w:r>
        <w:t>On the 26</w:t>
      </w:r>
      <w:r>
        <w:rPr>
          <w:vertAlign w:val="superscript"/>
        </w:rPr>
        <w:t>th</w:t>
      </w:r>
      <w:r>
        <w:t xml:space="preserve"> March 2024 the Supreme Court issued an order referenced</w:t>
      </w:r>
      <w:r>
        <w:rPr>
          <w:spacing w:val="40"/>
        </w:rPr>
        <w:t xml:space="preserve"> </w:t>
      </w:r>
      <w:r>
        <w:t>SC 68/24 wherein it inter alia directed this Court to</w:t>
      </w:r>
    </w:p>
    <w:p w14:paraId="5D72312F" w14:textId="77777777" w:rsidR="003A55B1" w:rsidRDefault="007F58D7">
      <w:pPr>
        <w:pStyle w:val="BodyText"/>
        <w:ind w:left="743"/>
        <w:jc w:val="both"/>
      </w:pPr>
      <w:r>
        <w:t>“…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on</w:t>
      </w:r>
      <w:r>
        <w:rPr>
          <w:spacing w:val="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preliminary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raised</w:t>
      </w:r>
      <w:r>
        <w:rPr>
          <w:spacing w:val="-1"/>
        </w:rPr>
        <w:t xml:space="preserve"> </w:t>
      </w:r>
      <w:r>
        <w:t xml:space="preserve">before </w:t>
      </w:r>
      <w:r>
        <w:rPr>
          <w:spacing w:val="-4"/>
        </w:rPr>
        <w:t>it.”</w:t>
      </w:r>
    </w:p>
    <w:p w14:paraId="00D5CBD8" w14:textId="77777777" w:rsidR="003A55B1" w:rsidRDefault="007F58D7">
      <w:pPr>
        <w:pStyle w:val="BodyText"/>
        <w:spacing w:before="137" w:line="360" w:lineRule="auto"/>
        <w:ind w:left="23" w:right="19" w:firstLine="719"/>
        <w:jc w:val="both"/>
      </w:pP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16</w:t>
      </w:r>
      <w:r>
        <w:rPr>
          <w:vertAlign w:val="superscript"/>
        </w:rPr>
        <w:t>th</w:t>
      </w:r>
      <w:r>
        <w:t xml:space="preserve"> August</w:t>
      </w:r>
      <w:r>
        <w:rPr>
          <w:spacing w:val="40"/>
        </w:rPr>
        <w:t xml:space="preserve"> </w:t>
      </w:r>
      <w:r>
        <w:t>2024 this Court</w:t>
      </w:r>
      <w:r>
        <w:rPr>
          <w:spacing w:val="-1"/>
        </w:rPr>
        <w:t xml:space="preserve"> </w:t>
      </w:r>
      <w:r>
        <w:t>directed 2</w:t>
      </w:r>
      <w:r>
        <w:rPr>
          <w:vertAlign w:val="superscript"/>
        </w:rPr>
        <w:t>nd</w:t>
      </w:r>
      <w:r>
        <w:t xml:space="preserve"> Respondent to file/uphold documents in</w:t>
      </w:r>
      <w:r>
        <w:rPr>
          <w:spacing w:val="-3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IG,</w:t>
      </w:r>
      <w:r>
        <w:rPr>
          <w:spacing w:val="-1"/>
        </w:rPr>
        <w:t xml:space="preserve"> </w:t>
      </w:r>
      <w:r>
        <w:t>Dumba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appointed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Acting</w:t>
      </w:r>
      <w:r>
        <w:rPr>
          <w:spacing w:val="-3"/>
        </w:rPr>
        <w:t xml:space="preserve"> </w:t>
      </w:r>
      <w:r>
        <w:t>Managing</w:t>
      </w:r>
      <w:r>
        <w:rPr>
          <w:spacing w:val="-3"/>
        </w:rPr>
        <w:t xml:space="preserve"> </w:t>
      </w:r>
      <w:r>
        <w:t>Director.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documents have not been filed to date. The aforesaid second preliminary</w:t>
      </w:r>
      <w:r>
        <w:rPr>
          <w:spacing w:val="40"/>
        </w:rPr>
        <w:t xml:space="preserve"> </w:t>
      </w:r>
      <w:r>
        <w:t>point was to the effect that Dumba was appointed as Acting Managing Director of 2</w:t>
      </w:r>
      <w:r>
        <w:rPr>
          <w:vertAlign w:val="superscript"/>
        </w:rPr>
        <w:t>nd</w:t>
      </w:r>
      <w:r>
        <w:rPr>
          <w:spacing w:val="40"/>
        </w:rPr>
        <w:t xml:space="preserve"> </w:t>
      </w:r>
      <w:r>
        <w:t xml:space="preserve">Respondent in violation of the </w:t>
      </w:r>
      <w:r>
        <w:rPr>
          <w:u w:val="single"/>
        </w:rPr>
        <w:t xml:space="preserve">Public Entities Corporate Governance </w:t>
      </w:r>
      <w:r>
        <w:t xml:space="preserve">Act Chapter 10:31 hereafter called the </w:t>
      </w:r>
      <w:r>
        <w:rPr>
          <w:u w:val="single"/>
        </w:rPr>
        <w:t>Act</w:t>
      </w:r>
      <w:r>
        <w:t>. Applicant argued that section 17 of the Act restricts appointments of acting chief executive officer to either members of the en</w:t>
      </w:r>
      <w:r>
        <w:t>tity’s board or staff. It was alleged that Dumba was neither board member or staff of 2</w:t>
      </w:r>
      <w:r>
        <w:rPr>
          <w:vertAlign w:val="superscript"/>
        </w:rPr>
        <w:t>nd</w:t>
      </w:r>
      <w:r>
        <w:rPr>
          <w:spacing w:val="2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the time of his</w:t>
      </w:r>
      <w:r>
        <w:rPr>
          <w:spacing w:val="1"/>
        </w:rPr>
        <w:t xml:space="preserve"> </w:t>
      </w:r>
      <w:r>
        <w:t>appointment.</w:t>
      </w:r>
      <w:r>
        <w:rPr>
          <w:spacing w:val="6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therefore</w:t>
      </w:r>
      <w:r>
        <w:rPr>
          <w:spacing w:val="-1"/>
        </w:rPr>
        <w:t xml:space="preserve"> </w:t>
      </w:r>
      <w:r>
        <w:t>argued</w:t>
      </w:r>
      <w:r>
        <w:rPr>
          <w:spacing w:val="1"/>
        </w:rPr>
        <w:t xml:space="preserve"> </w:t>
      </w:r>
      <w:r>
        <w:rPr>
          <w:spacing w:val="-4"/>
        </w:rPr>
        <w:t>that</w:t>
      </w:r>
    </w:p>
    <w:p w14:paraId="24F9C2EF" w14:textId="77777777" w:rsidR="003A55B1" w:rsidRDefault="003A55B1">
      <w:pPr>
        <w:pStyle w:val="BodyText"/>
        <w:spacing w:line="360" w:lineRule="auto"/>
        <w:jc w:val="both"/>
        <w:sectPr w:rsidR="003A55B1">
          <w:type w:val="continuous"/>
          <w:pgSz w:w="11910" w:h="16840"/>
          <w:pgMar w:top="1360" w:right="1417" w:bottom="280" w:left="1417" w:header="720" w:footer="720" w:gutter="0"/>
          <w:cols w:space="720"/>
        </w:sectPr>
      </w:pPr>
    </w:p>
    <w:p w14:paraId="1CB81DC6" w14:textId="77777777" w:rsidR="003A55B1" w:rsidRDefault="007F58D7">
      <w:pPr>
        <w:pStyle w:val="BodyText"/>
        <w:spacing w:before="270" w:line="360" w:lineRule="auto"/>
        <w:ind w:left="23" w:right="23"/>
        <w:jc w:val="both"/>
      </w:pPr>
      <w:r>
        <w:lastRenderedPageBreak/>
        <w:t>his</w:t>
      </w:r>
      <w:r>
        <w:rPr>
          <w:spacing w:val="-5"/>
        </w:rPr>
        <w:t xml:space="preserve"> </w:t>
      </w:r>
      <w:r>
        <w:t>opposing</w:t>
      </w:r>
      <w:r>
        <w:rPr>
          <w:spacing w:val="-6"/>
        </w:rPr>
        <w:t xml:space="preserve"> </w:t>
      </w:r>
      <w:r>
        <w:t>affidavit</w:t>
      </w:r>
      <w:r>
        <w:rPr>
          <w:spacing w:val="-5"/>
        </w:rPr>
        <w:t xml:space="preserve"> </w:t>
      </w:r>
      <w:r>
        <w:rPr>
          <w:u w:val="single"/>
        </w:rPr>
        <w:t>in</w:t>
      </w:r>
      <w:r>
        <w:rPr>
          <w:spacing w:val="-8"/>
          <w:u w:val="single"/>
        </w:rPr>
        <w:t xml:space="preserve"> </w:t>
      </w:r>
      <w:proofErr w:type="spellStart"/>
      <w:r>
        <w:rPr>
          <w:u w:val="single"/>
        </w:rPr>
        <w:t>casu</w:t>
      </w:r>
      <w:proofErr w:type="spellEnd"/>
      <w:r>
        <w:rPr>
          <w:spacing w:val="-6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amounts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nullity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expunged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record.</w:t>
      </w:r>
    </w:p>
    <w:p w14:paraId="5E5AF6D4" w14:textId="77777777" w:rsidR="003A55B1" w:rsidRDefault="003A55B1">
      <w:pPr>
        <w:pStyle w:val="BodyText"/>
      </w:pPr>
    </w:p>
    <w:p w14:paraId="62BC068E" w14:textId="77777777" w:rsidR="003A55B1" w:rsidRDefault="003A55B1">
      <w:pPr>
        <w:pStyle w:val="BodyText"/>
      </w:pPr>
    </w:p>
    <w:p w14:paraId="62546E85" w14:textId="77777777" w:rsidR="003A55B1" w:rsidRDefault="003A55B1">
      <w:pPr>
        <w:pStyle w:val="BodyText"/>
      </w:pPr>
    </w:p>
    <w:p w14:paraId="5C20C499" w14:textId="77777777" w:rsidR="003A55B1" w:rsidRDefault="007F58D7">
      <w:pPr>
        <w:pStyle w:val="BodyText"/>
        <w:spacing w:line="360" w:lineRule="auto"/>
        <w:ind w:left="23" w:right="19"/>
        <w:jc w:val="both"/>
      </w:pPr>
      <w:r>
        <w:t>2</w:t>
      </w:r>
      <w:r>
        <w:rPr>
          <w:vertAlign w:val="superscript"/>
        </w:rPr>
        <w:t>nd</w:t>
      </w:r>
      <w:r>
        <w:rPr>
          <w:spacing w:val="-2"/>
        </w:rPr>
        <w:t xml:space="preserve"> </w:t>
      </w:r>
      <w:r>
        <w:t>Respondent’s</w:t>
      </w:r>
      <w:r>
        <w:rPr>
          <w:spacing w:val="-4"/>
        </w:rPr>
        <w:t xml:space="preserve"> </w:t>
      </w:r>
      <w:r>
        <w:t>counter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two-pronged.</w:t>
      </w:r>
      <w:r>
        <w:rPr>
          <w:spacing w:val="-1"/>
        </w:rPr>
        <w:t xml:space="preserve"> </w:t>
      </w:r>
      <w:proofErr w:type="gramStart"/>
      <w:r>
        <w:t>Firstly</w:t>
      </w:r>
      <w:proofErr w:type="gramEnd"/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Dumba</w:t>
      </w:r>
      <w:r>
        <w:rPr>
          <w:spacing w:val="-4"/>
        </w:rPr>
        <w:t xml:space="preserve"> </w:t>
      </w:r>
      <w:r>
        <w:t>was properly</w:t>
      </w:r>
      <w:r>
        <w:rPr>
          <w:spacing w:val="-3"/>
        </w:rPr>
        <w:t xml:space="preserve"> </w:t>
      </w:r>
      <w:r>
        <w:t>appointed by the</w:t>
      </w:r>
      <w:r>
        <w:rPr>
          <w:spacing w:val="-1"/>
        </w:rPr>
        <w:t xml:space="preserve"> </w:t>
      </w:r>
      <w:r>
        <w:t>Minister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 Child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 xml:space="preserve">Commission. </w:t>
      </w:r>
      <w:proofErr w:type="gramStart"/>
      <w:r>
        <w:t>Alternatively</w:t>
      </w:r>
      <w:proofErr w:type="gramEnd"/>
      <w:r>
        <w:t xml:space="preserve"> it was argued that this Court cannot issue a </w:t>
      </w:r>
      <w:proofErr w:type="spellStart"/>
      <w:r>
        <w:t>declaratur</w:t>
      </w:r>
      <w:proofErr w:type="spellEnd"/>
      <w:r>
        <w:t xml:space="preserve"> as regards Dumba’s status within 2</w:t>
      </w:r>
      <w:r>
        <w:rPr>
          <w:vertAlign w:val="superscript"/>
        </w:rPr>
        <w:t>nd</w:t>
      </w:r>
      <w:r>
        <w:t xml:space="preserve"> respondent such </w:t>
      </w:r>
      <w:proofErr w:type="spellStart"/>
      <w:r>
        <w:t>declaratur</w:t>
      </w:r>
      <w:proofErr w:type="spellEnd"/>
      <w:r>
        <w:t xml:space="preserve"> being the preserve of the High Court in terms of section 14 of the </w:t>
      </w:r>
      <w:r>
        <w:rPr>
          <w:u w:val="single"/>
        </w:rPr>
        <w:t>High Court</w:t>
      </w:r>
      <w:r>
        <w:t xml:space="preserve"> Act. Chapter</w:t>
      </w:r>
      <w:r>
        <w:rPr>
          <w:spacing w:val="40"/>
        </w:rPr>
        <w:t xml:space="preserve"> </w:t>
      </w:r>
      <w:r>
        <w:t>7:06.</w:t>
      </w:r>
    </w:p>
    <w:p w14:paraId="70230B14" w14:textId="77777777" w:rsidR="003A55B1" w:rsidRDefault="003A55B1">
      <w:pPr>
        <w:pStyle w:val="BodyText"/>
        <w:spacing w:before="136"/>
      </w:pPr>
    </w:p>
    <w:p w14:paraId="0B6CF4E1" w14:textId="77777777" w:rsidR="003A55B1" w:rsidRDefault="007F58D7">
      <w:pPr>
        <w:ind w:left="23"/>
        <w:rPr>
          <w:b/>
          <w:sz w:val="24"/>
        </w:rPr>
      </w:pPr>
      <w:r>
        <w:rPr>
          <w:b/>
          <w:spacing w:val="-2"/>
          <w:sz w:val="24"/>
          <w:u w:val="single"/>
        </w:rPr>
        <w:t>ANALYSIS</w:t>
      </w:r>
    </w:p>
    <w:p w14:paraId="6DFB23E4" w14:textId="77777777" w:rsidR="003A55B1" w:rsidRDefault="007F58D7">
      <w:pPr>
        <w:pStyle w:val="BodyText"/>
        <w:spacing w:before="139"/>
        <w:ind w:left="23"/>
      </w:pPr>
      <w:r>
        <w:t>Section</w:t>
      </w:r>
      <w:r>
        <w:rPr>
          <w:spacing w:val="-1"/>
        </w:rPr>
        <w:t xml:space="preserve"> </w:t>
      </w:r>
      <w:r>
        <w:t>17 of</w:t>
      </w:r>
      <w:r>
        <w:rPr>
          <w:spacing w:val="-2"/>
        </w:rPr>
        <w:t xml:space="preserve"> </w:t>
      </w:r>
      <w:r>
        <w:t>the Act</w:t>
      </w:r>
      <w:r>
        <w:rPr>
          <w:spacing w:val="-1"/>
        </w:rPr>
        <w:t xml:space="preserve"> </w:t>
      </w:r>
      <w:r>
        <w:t xml:space="preserve">provides </w:t>
      </w:r>
      <w:r>
        <w:rPr>
          <w:spacing w:val="-4"/>
        </w:rPr>
        <w:t>that</w:t>
      </w:r>
    </w:p>
    <w:p w14:paraId="569CDEF5" w14:textId="77777777" w:rsidR="003A55B1" w:rsidRDefault="007F58D7">
      <w:pPr>
        <w:pStyle w:val="BodyText"/>
        <w:spacing w:before="137"/>
        <w:ind w:left="743" w:right="20"/>
      </w:pPr>
      <w:r>
        <w:t>“(4)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entity is</w:t>
      </w:r>
      <w:r>
        <w:rPr>
          <w:spacing w:val="77"/>
        </w:rPr>
        <w:t xml:space="preserve"> </w:t>
      </w:r>
      <w:r>
        <w:t>never left vacant for more than six months and that, in</w:t>
      </w:r>
      <w:r>
        <w:rPr>
          <w:spacing w:val="77"/>
        </w:rPr>
        <w:t xml:space="preserve"> </w:t>
      </w:r>
      <w:r>
        <w:t>the event of a vacancy of more than one month-</w:t>
      </w:r>
    </w:p>
    <w:p w14:paraId="5B224407" w14:textId="77777777" w:rsidR="003A55B1" w:rsidRDefault="007F58D7">
      <w:pPr>
        <w:pStyle w:val="ListParagraph"/>
        <w:numPr>
          <w:ilvl w:val="0"/>
          <w:numId w:val="2"/>
        </w:numPr>
        <w:tabs>
          <w:tab w:val="left" w:pos="1103"/>
        </w:tabs>
        <w:spacing w:before="140"/>
        <w:ind w:right="25"/>
        <w:jc w:val="both"/>
        <w:rPr>
          <w:sz w:val="24"/>
        </w:rPr>
      </w:pPr>
      <w:r>
        <w:rPr>
          <w:sz w:val="24"/>
        </w:rPr>
        <w:t>The entity’s deputy chief executive</w:t>
      </w:r>
      <w:r>
        <w:rPr>
          <w:spacing w:val="40"/>
          <w:sz w:val="24"/>
        </w:rPr>
        <w:t xml:space="preserve"> </w:t>
      </w:r>
      <w:r>
        <w:rPr>
          <w:sz w:val="24"/>
        </w:rPr>
        <w:t>officer, if there is one, is appointed to act as chief executive officer; or</w:t>
      </w:r>
    </w:p>
    <w:p w14:paraId="4C98B761" w14:textId="77777777" w:rsidR="003A55B1" w:rsidRDefault="007F58D7">
      <w:pPr>
        <w:pStyle w:val="ListParagraph"/>
        <w:numPr>
          <w:ilvl w:val="0"/>
          <w:numId w:val="2"/>
        </w:numPr>
        <w:tabs>
          <w:tab w:val="left" w:pos="1103"/>
        </w:tabs>
        <w:ind w:right="25"/>
        <w:jc w:val="both"/>
        <w:rPr>
          <w:sz w:val="24"/>
        </w:rPr>
      </w:pPr>
      <w:r>
        <w:rPr>
          <w:sz w:val="24"/>
        </w:rPr>
        <w:t>If</w:t>
      </w:r>
      <w:r>
        <w:rPr>
          <w:spacing w:val="-15"/>
          <w:sz w:val="24"/>
        </w:rPr>
        <w:t xml:space="preserve"> </w:t>
      </w:r>
      <w:r>
        <w:rPr>
          <w:sz w:val="24"/>
        </w:rPr>
        <w:t>there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deputy</w:t>
      </w:r>
      <w:r>
        <w:rPr>
          <w:spacing w:val="-14"/>
          <w:sz w:val="24"/>
        </w:rPr>
        <w:t xml:space="preserve"> </w:t>
      </w:r>
      <w:r>
        <w:rPr>
          <w:sz w:val="24"/>
        </w:rPr>
        <w:t>chief</w:t>
      </w:r>
      <w:r>
        <w:rPr>
          <w:spacing w:val="-14"/>
          <w:sz w:val="24"/>
        </w:rPr>
        <w:t xml:space="preserve"> </w:t>
      </w:r>
      <w:r>
        <w:rPr>
          <w:sz w:val="24"/>
        </w:rPr>
        <w:t>executive</w:t>
      </w:r>
      <w:r>
        <w:rPr>
          <w:spacing w:val="-15"/>
          <w:sz w:val="24"/>
        </w:rPr>
        <w:t xml:space="preserve"> </w:t>
      </w:r>
      <w:r>
        <w:rPr>
          <w:sz w:val="24"/>
        </w:rPr>
        <w:t>officer,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member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entity’s</w:t>
      </w:r>
      <w:r>
        <w:rPr>
          <w:spacing w:val="-15"/>
          <w:sz w:val="24"/>
        </w:rPr>
        <w:t xml:space="preserve"> </w:t>
      </w:r>
      <w:r>
        <w:rPr>
          <w:sz w:val="24"/>
        </w:rPr>
        <w:t>staff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board member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appointed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Chief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officer,</w:t>
      </w:r>
      <w:r>
        <w:rPr>
          <w:spacing w:val="-3"/>
          <w:sz w:val="24"/>
        </w:rPr>
        <w:t xml:space="preserve"> </w:t>
      </w:r>
      <w:r>
        <w:rPr>
          <w:sz w:val="24"/>
        </w:rPr>
        <w:t>pending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3"/>
          <w:sz w:val="24"/>
        </w:rPr>
        <w:t xml:space="preserve"> </w:t>
      </w:r>
      <w:r>
        <w:rPr>
          <w:sz w:val="24"/>
        </w:rPr>
        <w:t>of a substantive chief executive officer.”</w:t>
      </w:r>
    </w:p>
    <w:p w14:paraId="19BFE13A" w14:textId="77777777" w:rsidR="003A55B1" w:rsidRDefault="003A55B1">
      <w:pPr>
        <w:pStyle w:val="BodyText"/>
      </w:pPr>
    </w:p>
    <w:p w14:paraId="71303181" w14:textId="77777777" w:rsidR="003A55B1" w:rsidRDefault="007F58D7">
      <w:pPr>
        <w:pStyle w:val="BodyText"/>
        <w:spacing w:line="360" w:lineRule="auto"/>
        <w:ind w:left="23" w:right="17" w:firstLine="719"/>
        <w:jc w:val="both"/>
      </w:pPr>
      <w:r>
        <w:t>This provision means that the acting chief executive officer position is restricted to board members or staff of public entities like the 2</w:t>
      </w:r>
      <w:r>
        <w:rPr>
          <w:vertAlign w:val="superscript"/>
        </w:rPr>
        <w:t>nd</w:t>
      </w:r>
      <w:r>
        <w:t xml:space="preserve"> respondent. Despite this court order directing the filing of documents showing Dumba’s appointment, 2</w:t>
      </w:r>
      <w:r>
        <w:rPr>
          <w:vertAlign w:val="superscript"/>
        </w:rPr>
        <w:t>nd</w:t>
      </w:r>
      <w:r>
        <w:t xml:space="preserve"> respondent has not availed the same or otherwise clarified the position.</w:t>
      </w:r>
      <w:r>
        <w:rPr>
          <w:spacing w:val="40"/>
        </w:rPr>
        <w:t xml:space="preserve"> </w:t>
      </w:r>
      <w:r>
        <w:t xml:space="preserve">In oral argument it sought to rely on section 43 of the Act which </w:t>
      </w:r>
      <w:proofErr w:type="spellStart"/>
      <w:r>
        <w:t>authorises</w:t>
      </w:r>
      <w:proofErr w:type="spellEnd"/>
      <w:r>
        <w:t xml:space="preserve"> the Minister to exempt an entity from any provision of the Act.</w:t>
      </w:r>
      <w:r>
        <w:rPr>
          <w:spacing w:val="40"/>
        </w:rPr>
        <w:t xml:space="preserve"> </w:t>
      </w:r>
      <w:proofErr w:type="gramStart"/>
      <w:r>
        <w:t>However</w:t>
      </w:r>
      <w:proofErr w:type="gramEnd"/>
      <w:r>
        <w:t xml:space="preserve"> the provision states that the exemption should be “by notice in writing to 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entity.”</w:t>
      </w:r>
      <w:r>
        <w:rPr>
          <w:spacing w:val="40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7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upload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exemption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same was issued. It d</w:t>
      </w:r>
      <w:r>
        <w:t>id not do so.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 cannot rely on vague speculation that such exemption was issued.</w:t>
      </w:r>
    </w:p>
    <w:p w14:paraId="60E80DFC" w14:textId="77777777" w:rsidR="003A55B1" w:rsidRDefault="007F58D7">
      <w:pPr>
        <w:pStyle w:val="BodyText"/>
        <w:spacing w:line="360" w:lineRule="auto"/>
        <w:ind w:left="23" w:right="16" w:firstLine="719"/>
        <w:jc w:val="both"/>
      </w:pPr>
      <w:r>
        <w:t>In the circumstances the Court is satisfied on a balance of probabilities that the 2</w:t>
      </w:r>
      <w:r>
        <w:rPr>
          <w:vertAlign w:val="superscript"/>
        </w:rPr>
        <w:t>nd</w:t>
      </w:r>
      <w:r>
        <w:t xml:space="preserve"> respondent’s</w:t>
      </w:r>
      <w:r>
        <w:rPr>
          <w:spacing w:val="-1"/>
        </w:rPr>
        <w:t xml:space="preserve"> </w:t>
      </w:r>
      <w:r>
        <w:t>opposing</w:t>
      </w:r>
      <w:r>
        <w:rPr>
          <w:spacing w:val="-1"/>
        </w:rPr>
        <w:t xml:space="preserve"> </w:t>
      </w:r>
      <w:r>
        <w:t>affidavit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deposed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proofErr w:type="spellStart"/>
      <w:r>
        <w:t>unauthorised</w:t>
      </w:r>
      <w:proofErr w:type="spellEnd"/>
      <w:r>
        <w:rPr>
          <w:spacing w:val="-2"/>
        </w:rPr>
        <w:t xml:space="preserve"> </w:t>
      </w:r>
      <w:r>
        <w:t>person.</w:t>
      </w:r>
      <w:r>
        <w:rPr>
          <w:spacing w:val="-2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 xml:space="preserve">finding amounts to a </w:t>
      </w:r>
      <w:proofErr w:type="spellStart"/>
      <w:r>
        <w:t>declaratur</w:t>
      </w:r>
      <w:proofErr w:type="spellEnd"/>
      <w:r>
        <w:t xml:space="preserve"> is besides point in light of the wording of the aforesaid order by the Supreme Court.</w:t>
      </w:r>
    </w:p>
    <w:p w14:paraId="416D5A95" w14:textId="77777777" w:rsidR="003A55B1" w:rsidRDefault="003A55B1">
      <w:pPr>
        <w:pStyle w:val="BodyText"/>
        <w:spacing w:line="360" w:lineRule="auto"/>
        <w:jc w:val="both"/>
        <w:sectPr w:rsidR="003A55B1">
          <w:headerReference w:type="default" r:id="rId7"/>
          <w:pgSz w:w="11910" w:h="16840"/>
          <w:pgMar w:top="1520" w:right="1417" w:bottom="280" w:left="1417" w:header="766" w:footer="0" w:gutter="0"/>
          <w:pgNumType w:start="2"/>
          <w:cols w:space="720"/>
        </w:sectPr>
      </w:pPr>
    </w:p>
    <w:p w14:paraId="1B38DE66" w14:textId="77777777" w:rsidR="003A55B1" w:rsidRDefault="003A55B1">
      <w:pPr>
        <w:pStyle w:val="BodyText"/>
      </w:pPr>
    </w:p>
    <w:p w14:paraId="6FB8A17B" w14:textId="77777777" w:rsidR="003A55B1" w:rsidRDefault="003A55B1">
      <w:pPr>
        <w:pStyle w:val="BodyText"/>
      </w:pPr>
    </w:p>
    <w:p w14:paraId="1917CEE4" w14:textId="77777777" w:rsidR="003A55B1" w:rsidRDefault="003A55B1">
      <w:pPr>
        <w:pStyle w:val="BodyText"/>
      </w:pPr>
    </w:p>
    <w:p w14:paraId="4168C730" w14:textId="77777777" w:rsidR="003A55B1" w:rsidRDefault="003A55B1">
      <w:pPr>
        <w:pStyle w:val="BodyText"/>
      </w:pPr>
    </w:p>
    <w:p w14:paraId="6BAE456A" w14:textId="77777777" w:rsidR="003A55B1" w:rsidRDefault="003A55B1">
      <w:pPr>
        <w:pStyle w:val="BodyText"/>
      </w:pPr>
    </w:p>
    <w:p w14:paraId="17A9F091" w14:textId="77777777" w:rsidR="003A55B1" w:rsidRDefault="003A55B1">
      <w:pPr>
        <w:pStyle w:val="BodyText"/>
      </w:pPr>
    </w:p>
    <w:p w14:paraId="6D7EA44B" w14:textId="77777777" w:rsidR="003A55B1" w:rsidRDefault="003A55B1">
      <w:pPr>
        <w:pStyle w:val="BodyText"/>
      </w:pPr>
    </w:p>
    <w:p w14:paraId="2E71C53D" w14:textId="77777777" w:rsidR="003A55B1" w:rsidRDefault="003A55B1">
      <w:pPr>
        <w:pStyle w:val="BodyText"/>
        <w:spacing w:before="130"/>
      </w:pPr>
    </w:p>
    <w:p w14:paraId="5DA86F87" w14:textId="77777777" w:rsidR="003A55B1" w:rsidRDefault="007F58D7">
      <w:pPr>
        <w:spacing w:before="1"/>
        <w:ind w:left="23"/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21CB7AFE" w14:textId="77777777" w:rsidR="003A55B1" w:rsidRDefault="003A55B1">
      <w:pPr>
        <w:pStyle w:val="BodyText"/>
        <w:rPr>
          <w:b/>
        </w:rPr>
      </w:pPr>
    </w:p>
    <w:p w14:paraId="163A19CC" w14:textId="77777777" w:rsidR="003A55B1" w:rsidRDefault="003A55B1">
      <w:pPr>
        <w:pStyle w:val="BodyText"/>
        <w:rPr>
          <w:b/>
        </w:rPr>
      </w:pPr>
    </w:p>
    <w:p w14:paraId="4DFC7170" w14:textId="77777777" w:rsidR="003A55B1" w:rsidRDefault="003A55B1">
      <w:pPr>
        <w:pStyle w:val="BodyText"/>
        <w:rPr>
          <w:b/>
        </w:rPr>
      </w:pPr>
    </w:p>
    <w:p w14:paraId="6898B6B8" w14:textId="77777777" w:rsidR="003A55B1" w:rsidRDefault="003A55B1">
      <w:pPr>
        <w:pStyle w:val="BodyText"/>
        <w:spacing w:before="271"/>
        <w:rPr>
          <w:b/>
        </w:rPr>
      </w:pPr>
    </w:p>
    <w:p w14:paraId="45A6934D" w14:textId="77777777" w:rsidR="003A55B1" w:rsidRDefault="007F58D7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applicant’s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proofErr w:type="spellStart"/>
      <w:r>
        <w:rPr>
          <w:b/>
          <w:position w:val="8"/>
          <w:sz w:val="16"/>
        </w:rPr>
        <w:t>nd</w:t>
      </w:r>
      <w:proofErr w:type="spellEnd"/>
      <w:r>
        <w:rPr>
          <w:b/>
          <w:spacing w:val="18"/>
          <w:position w:val="8"/>
          <w:sz w:val="16"/>
        </w:rPr>
        <w:t xml:space="preserve"> </w:t>
      </w:r>
      <w:r>
        <w:rPr>
          <w:b/>
          <w:sz w:val="24"/>
        </w:rPr>
        <w:t>point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limine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upheld;</w:t>
      </w:r>
    </w:p>
    <w:p w14:paraId="226DBE60" w14:textId="77777777" w:rsidR="003A55B1" w:rsidRDefault="003A55B1">
      <w:pPr>
        <w:pStyle w:val="BodyText"/>
        <w:rPr>
          <w:b/>
        </w:rPr>
      </w:pPr>
    </w:p>
    <w:p w14:paraId="672D34B3" w14:textId="77777777" w:rsidR="003A55B1" w:rsidRDefault="003A55B1">
      <w:pPr>
        <w:pStyle w:val="BodyText"/>
        <w:rPr>
          <w:b/>
        </w:rPr>
      </w:pPr>
    </w:p>
    <w:p w14:paraId="4C4BB056" w14:textId="77777777" w:rsidR="003A55B1" w:rsidRDefault="003A55B1">
      <w:pPr>
        <w:pStyle w:val="BodyText"/>
        <w:spacing w:before="137"/>
        <w:rPr>
          <w:b/>
        </w:rPr>
      </w:pPr>
    </w:p>
    <w:p w14:paraId="0EB8B002" w14:textId="77777777" w:rsidR="003A55B1" w:rsidRDefault="007F58D7">
      <w:pPr>
        <w:pStyle w:val="ListParagraph"/>
        <w:numPr>
          <w:ilvl w:val="0"/>
          <w:numId w:val="1"/>
        </w:numPr>
        <w:tabs>
          <w:tab w:val="left" w:pos="742"/>
        </w:tabs>
        <w:ind w:left="742" w:hanging="35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respondent’s opposing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affidavit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struck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record;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5E44EB41" w14:textId="77777777" w:rsidR="003A55B1" w:rsidRDefault="003A55B1">
      <w:pPr>
        <w:pStyle w:val="BodyText"/>
        <w:rPr>
          <w:b/>
        </w:rPr>
      </w:pPr>
    </w:p>
    <w:p w14:paraId="1502151A" w14:textId="77777777" w:rsidR="003A55B1" w:rsidRDefault="003A55B1">
      <w:pPr>
        <w:pStyle w:val="BodyText"/>
        <w:rPr>
          <w:b/>
        </w:rPr>
      </w:pPr>
    </w:p>
    <w:p w14:paraId="0BF03CEC" w14:textId="77777777" w:rsidR="003A55B1" w:rsidRDefault="003A55B1">
      <w:pPr>
        <w:pStyle w:val="BodyText"/>
        <w:spacing w:before="139"/>
        <w:rPr>
          <w:b/>
        </w:rPr>
      </w:pPr>
    </w:p>
    <w:p w14:paraId="1A5DDF3C" w14:textId="5DE34B80" w:rsidR="003A55B1" w:rsidRDefault="007F58D7">
      <w:pPr>
        <w:pStyle w:val="ListParagraph"/>
        <w:numPr>
          <w:ilvl w:val="0"/>
          <w:numId w:val="1"/>
        </w:numPr>
        <w:tabs>
          <w:tab w:val="left" w:pos="743"/>
        </w:tabs>
        <w:spacing w:before="1" w:line="360" w:lineRule="auto"/>
        <w:ind w:right="24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Registrar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directed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reset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matter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continuation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earliest available date.</w:t>
      </w:r>
    </w:p>
    <w:p w14:paraId="1E49CECD" w14:textId="77777777" w:rsidR="003A55B1" w:rsidRDefault="003A55B1">
      <w:pPr>
        <w:pStyle w:val="BodyText"/>
        <w:rPr>
          <w:b/>
          <w:sz w:val="20"/>
        </w:rPr>
      </w:pPr>
    </w:p>
    <w:p w14:paraId="108F4553" w14:textId="77777777" w:rsidR="003A55B1" w:rsidRDefault="003A55B1">
      <w:pPr>
        <w:pStyle w:val="BodyText"/>
        <w:rPr>
          <w:b/>
          <w:sz w:val="20"/>
        </w:rPr>
      </w:pPr>
    </w:p>
    <w:p w14:paraId="63633321" w14:textId="77777777" w:rsidR="003A55B1" w:rsidRDefault="003A55B1">
      <w:pPr>
        <w:pStyle w:val="BodyText"/>
        <w:rPr>
          <w:b/>
          <w:sz w:val="20"/>
        </w:rPr>
      </w:pPr>
    </w:p>
    <w:p w14:paraId="6FAD58BE" w14:textId="77777777" w:rsidR="003A55B1" w:rsidRDefault="003A55B1">
      <w:pPr>
        <w:pStyle w:val="BodyText"/>
        <w:rPr>
          <w:b/>
          <w:sz w:val="20"/>
        </w:rPr>
      </w:pPr>
    </w:p>
    <w:p w14:paraId="68327678" w14:textId="77777777" w:rsidR="003A55B1" w:rsidRDefault="007F58D7">
      <w:pPr>
        <w:pStyle w:val="BodyText"/>
        <w:spacing w:before="14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984916" wp14:editId="61388285">
                <wp:simplePos x="0" y="0"/>
                <wp:positionH relativeFrom="page">
                  <wp:posOffset>2266823</wp:posOffset>
                </wp:positionH>
                <wp:positionV relativeFrom="paragraph">
                  <wp:posOffset>252074</wp:posOffset>
                </wp:positionV>
                <wp:extent cx="3694429" cy="135445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4429" cy="1354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735199" w14:textId="77777777" w:rsidR="003A55B1" w:rsidRDefault="003A55B1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0E0E1448" w14:textId="77777777" w:rsidR="003A55B1" w:rsidRDefault="003A55B1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4D2CBC63" w14:textId="77777777" w:rsidR="003A55B1" w:rsidRDefault="003A55B1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4843FE93" w14:textId="77777777" w:rsidR="003A55B1" w:rsidRDefault="003A55B1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738A3AB8" w14:textId="77777777" w:rsidR="003A55B1" w:rsidRDefault="003A55B1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18FBA593" w14:textId="77777777" w:rsidR="003A55B1" w:rsidRDefault="003A55B1">
                            <w:pPr>
                              <w:pStyle w:val="BodyText"/>
                              <w:spacing w:before="200"/>
                              <w:rPr>
                                <w:b/>
                              </w:rPr>
                            </w:pPr>
                          </w:p>
                          <w:p w14:paraId="090BAE48" w14:textId="77777777" w:rsidR="003A55B1" w:rsidRDefault="007F58D7">
                            <w:pPr>
                              <w:ind w:left="15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MUSARIRI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98491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78.5pt;margin-top:19.85pt;width:290.9pt;height:106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" filled="f" stroked="f">
                <v:textbox inset="0,0,0,0">
                  <w:txbxContent>
                    <w:p w14:paraId="27735199" w14:textId="77777777" w:rsidR="003A55B1" w:rsidRDefault="003A55B1">
                      <w:pPr>
                        <w:pStyle w:val="BodyText"/>
                        <w:rPr>
                          <w:b/>
                        </w:rPr>
                      </w:pPr>
                    </w:p>
                    <w:p w14:paraId="0E0E1448" w14:textId="77777777" w:rsidR="003A55B1" w:rsidRDefault="003A55B1">
                      <w:pPr>
                        <w:pStyle w:val="BodyText"/>
                        <w:rPr>
                          <w:b/>
                        </w:rPr>
                      </w:pPr>
                    </w:p>
                    <w:p w14:paraId="4D2CBC63" w14:textId="77777777" w:rsidR="003A55B1" w:rsidRDefault="003A55B1">
                      <w:pPr>
                        <w:pStyle w:val="BodyText"/>
                        <w:rPr>
                          <w:b/>
                        </w:rPr>
                      </w:pPr>
                    </w:p>
                    <w:p w14:paraId="4843FE93" w14:textId="77777777" w:rsidR="003A55B1" w:rsidRDefault="003A55B1">
                      <w:pPr>
                        <w:pStyle w:val="BodyText"/>
                        <w:rPr>
                          <w:b/>
                        </w:rPr>
                      </w:pPr>
                    </w:p>
                    <w:p w14:paraId="738A3AB8" w14:textId="77777777" w:rsidR="003A55B1" w:rsidRDefault="003A55B1">
                      <w:pPr>
                        <w:pStyle w:val="BodyText"/>
                        <w:rPr>
                          <w:b/>
                        </w:rPr>
                      </w:pPr>
                    </w:p>
                    <w:p w14:paraId="18FBA593" w14:textId="77777777" w:rsidR="003A55B1" w:rsidRDefault="003A55B1">
                      <w:pPr>
                        <w:pStyle w:val="BodyText"/>
                        <w:spacing w:before="200"/>
                        <w:rPr>
                          <w:b/>
                        </w:rPr>
                      </w:pPr>
                    </w:p>
                    <w:p w14:paraId="090BAE48" w14:textId="77777777" w:rsidR="003A55B1" w:rsidRDefault="007F58D7">
                      <w:pPr>
                        <w:ind w:left="153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MUSARIRI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F7C6C3" w14:textId="77777777" w:rsidR="003A55B1" w:rsidRDefault="007F58D7">
      <w:pPr>
        <w:spacing w:before="139"/>
        <w:ind w:right="1"/>
        <w:jc w:val="center"/>
        <w:rPr>
          <w:b/>
          <w:sz w:val="24"/>
        </w:rPr>
      </w:pPr>
      <w:r>
        <w:rPr>
          <w:b/>
          <w:spacing w:val="-2"/>
          <w:sz w:val="24"/>
        </w:rPr>
        <w:t>J-U-D-G-</w:t>
      </w:r>
      <w:r>
        <w:rPr>
          <w:b/>
          <w:spacing w:val="-10"/>
          <w:sz w:val="24"/>
        </w:rPr>
        <w:t>E</w:t>
      </w:r>
    </w:p>
    <w:sectPr w:rsidR="003A55B1">
      <w:pgSz w:w="11910" w:h="16840"/>
      <w:pgMar w:top="1520" w:right="1417" w:bottom="280" w:left="1417" w:header="7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F3F4" w14:textId="77777777" w:rsidR="007F58D7" w:rsidRDefault="007F58D7">
      <w:r>
        <w:separator/>
      </w:r>
    </w:p>
  </w:endnote>
  <w:endnote w:type="continuationSeparator" w:id="0">
    <w:p w14:paraId="5EA3FD26" w14:textId="77777777" w:rsidR="007F58D7" w:rsidRDefault="007F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65EF" w14:textId="77777777" w:rsidR="007F58D7" w:rsidRDefault="007F58D7">
      <w:r>
        <w:separator/>
      </w:r>
    </w:p>
  </w:footnote>
  <w:footnote w:type="continuationSeparator" w:id="0">
    <w:p w14:paraId="1B6EDD13" w14:textId="77777777" w:rsidR="007F58D7" w:rsidRDefault="007F5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7DE5" w14:textId="77777777" w:rsidR="003A55B1" w:rsidRDefault="007F58D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7D782DF4" wp14:editId="0687EBF2">
              <wp:simplePos x="0" y="0"/>
              <wp:positionH relativeFrom="page">
                <wp:posOffset>5262346</wp:posOffset>
              </wp:positionH>
              <wp:positionV relativeFrom="page">
                <wp:posOffset>473938</wp:posOffset>
              </wp:positionV>
              <wp:extent cx="1633220" cy="5073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3220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AC657C" w14:textId="77777777" w:rsidR="003A55B1" w:rsidRDefault="007F58D7">
                          <w:pPr>
                            <w:spacing w:line="245" w:lineRule="exact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  <w:p w14:paraId="0DBE1433" w14:textId="77777777" w:rsidR="003A55B1" w:rsidRDefault="007F58D7">
                          <w:pPr>
                            <w:ind w:left="356" w:hanging="337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JUDGMENT</w:t>
                          </w:r>
                          <w:r>
                            <w:rPr>
                              <w:rFonts w:ascii="Calibri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</w:t>
                          </w:r>
                          <w:r>
                            <w:rPr>
                              <w:rFonts w:asci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LC/H/36/25 CASE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NOLC/H/857/22-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82DF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14.35pt;margin-top:37.3pt;width:128.6pt;height:39.9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" filled="f" stroked="f">
              <v:textbox inset="0,0,0,0">
                <w:txbxContent>
                  <w:p w14:paraId="41AC657C" w14:textId="77777777" w:rsidR="003A55B1" w:rsidRDefault="007F58D7">
                    <w:pPr>
                      <w:spacing w:line="245" w:lineRule="exact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  <w:p w14:paraId="0DBE1433" w14:textId="77777777" w:rsidR="003A55B1" w:rsidRDefault="007F58D7">
                    <w:pPr>
                      <w:ind w:left="356" w:hanging="337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JUDGMENT</w:t>
                    </w:r>
                    <w:r>
                      <w:rPr>
                        <w:rFonts w:ascii="Calibri"/>
                        <w:spacing w:val="-1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</w:t>
                    </w:r>
                    <w:r>
                      <w:rPr>
                        <w:rFonts w:asci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LC/H/36/25 CASE</w:t>
                    </w:r>
                    <w:r>
                      <w:rPr>
                        <w:rFonts w:asci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NOLC/H/857/22-</w:t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F5389"/>
    <w:multiLevelType w:val="hybridMultilevel"/>
    <w:tmpl w:val="11D09F30"/>
    <w:lvl w:ilvl="0" w:tplc="67467FB0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063744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8898B8E4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B8BECB74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A73402FE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07907382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B3682CA0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3F6EE56C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2114814C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6600678"/>
    <w:multiLevelType w:val="hybridMultilevel"/>
    <w:tmpl w:val="BCBC1376"/>
    <w:lvl w:ilvl="0" w:tplc="E1D8BC9C">
      <w:start w:val="1"/>
      <w:numFmt w:val="lowerLetter"/>
      <w:lvlText w:val="(%1)"/>
      <w:lvlJc w:val="left"/>
      <w:pPr>
        <w:ind w:left="11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1F9C1D7E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2" w:tplc="DB7A5988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ar-SA"/>
      </w:rPr>
    </w:lvl>
    <w:lvl w:ilvl="3" w:tplc="36246DBA">
      <w:numFmt w:val="bullet"/>
      <w:lvlText w:val="•"/>
      <w:lvlJc w:val="left"/>
      <w:pPr>
        <w:ind w:left="3491" w:hanging="360"/>
      </w:pPr>
      <w:rPr>
        <w:rFonts w:hint="default"/>
        <w:lang w:val="en-US" w:eastAsia="en-US" w:bidi="ar-SA"/>
      </w:rPr>
    </w:lvl>
    <w:lvl w:ilvl="4" w:tplc="1BFCDA9E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5" w:tplc="7BB0B06C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AFC23D3E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7" w:tplc="EC703C9E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F11C6BF4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ar-SA"/>
      </w:rPr>
    </w:lvl>
  </w:abstractNum>
  <w:num w:numId="1" w16cid:durableId="1421563530">
    <w:abstractNumId w:val="0"/>
  </w:num>
  <w:num w:numId="2" w16cid:durableId="1048186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B1"/>
    <w:rsid w:val="003A55B1"/>
    <w:rsid w:val="0065757F"/>
    <w:rsid w:val="007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D6E76"/>
  <w15:docId w15:val="{AF8A2B57-E2E5-46E5-8C26-3FACB3A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Ophiliah Tokowoyo</cp:lastModifiedBy>
  <cp:revision>2</cp:revision>
  <dcterms:created xsi:type="dcterms:W3CDTF">2025-02-07T09:16:00Z</dcterms:created>
  <dcterms:modified xsi:type="dcterms:W3CDTF">2025-02-07T09:16:00Z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2025-02-07T00:00:00Z</vt:filetime>
  </property>
  <property fmtid="{D5CDD505-2E9C-101B-9397-08002B2CF9AE}" pid="5" name="Producer">
    <vt:lpwstr>䵩捲潳潦璮⁗潲搠㈰ㄹ㬠浯摩晩敤⁵獩湧⁩呥硴′⸱⸷⁢礠ㅔ㍘吀</vt:lpwstr>
  </property>
</Properties>
</file>