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01A41" w:rsidRDefault="006C1FA7" w:rsidP="00901A41">
      <w:pPr>
        <w:pStyle w:val="NoSpacing"/>
        <w:jc w:val="both"/>
        <w:rPr>
          <w:b/>
          <w:szCs w:val="24"/>
        </w:rPr>
      </w:pPr>
      <w:r w:rsidRPr="00901A41">
        <w:rPr>
          <w:b/>
          <w:szCs w:val="24"/>
        </w:rPr>
        <w:t>Z M TRANSPORT (PVT) LTD</w:t>
      </w:r>
    </w:p>
    <w:p w:rsidR="006C1FA7" w:rsidRPr="00901A41" w:rsidRDefault="006C1FA7" w:rsidP="00901A41">
      <w:pPr>
        <w:pStyle w:val="NoSpacing"/>
        <w:jc w:val="both"/>
        <w:rPr>
          <w:b/>
          <w:szCs w:val="24"/>
        </w:rPr>
      </w:pPr>
    </w:p>
    <w:p w:rsidR="006C1FA7" w:rsidRPr="00901A41" w:rsidRDefault="006C1FA7" w:rsidP="00901A41">
      <w:pPr>
        <w:pStyle w:val="NoSpacing"/>
        <w:jc w:val="both"/>
        <w:rPr>
          <w:b/>
          <w:szCs w:val="24"/>
        </w:rPr>
      </w:pPr>
      <w:r w:rsidRPr="00901A41">
        <w:rPr>
          <w:b/>
          <w:szCs w:val="24"/>
        </w:rPr>
        <w:t>Versus</w:t>
      </w:r>
    </w:p>
    <w:p w:rsidR="006C1FA7" w:rsidRPr="00901A41" w:rsidRDefault="006C1FA7" w:rsidP="00901A41">
      <w:pPr>
        <w:pStyle w:val="NoSpacing"/>
        <w:jc w:val="both"/>
        <w:rPr>
          <w:b/>
          <w:szCs w:val="24"/>
        </w:rPr>
      </w:pPr>
    </w:p>
    <w:p w:rsidR="006C1FA7" w:rsidRPr="00901A41" w:rsidRDefault="006C1FA7" w:rsidP="00901A41">
      <w:pPr>
        <w:pStyle w:val="NoSpacing"/>
        <w:jc w:val="both"/>
        <w:rPr>
          <w:b/>
          <w:szCs w:val="24"/>
        </w:rPr>
      </w:pPr>
      <w:r w:rsidRPr="00901A41">
        <w:rPr>
          <w:b/>
          <w:szCs w:val="24"/>
        </w:rPr>
        <w:t>SIMON WILLIE</w:t>
      </w:r>
    </w:p>
    <w:p w:rsidR="006C1FA7" w:rsidRPr="00901A41" w:rsidRDefault="006C1FA7" w:rsidP="00901A41">
      <w:pPr>
        <w:pStyle w:val="NoSpacing"/>
        <w:jc w:val="both"/>
        <w:rPr>
          <w:b/>
          <w:szCs w:val="24"/>
        </w:rPr>
      </w:pPr>
    </w:p>
    <w:p w:rsidR="006C1FA7" w:rsidRPr="00901A41" w:rsidRDefault="006C1FA7" w:rsidP="00901A41">
      <w:pPr>
        <w:pStyle w:val="NoSpacing"/>
        <w:jc w:val="both"/>
        <w:rPr>
          <w:b/>
          <w:szCs w:val="24"/>
        </w:rPr>
      </w:pPr>
      <w:r w:rsidRPr="00901A41">
        <w:rPr>
          <w:b/>
          <w:szCs w:val="24"/>
        </w:rPr>
        <w:t>And</w:t>
      </w:r>
    </w:p>
    <w:p w:rsidR="006C1FA7" w:rsidRPr="00901A41" w:rsidRDefault="006C1FA7" w:rsidP="00901A41">
      <w:pPr>
        <w:pStyle w:val="NoSpacing"/>
        <w:jc w:val="both"/>
        <w:rPr>
          <w:b/>
          <w:szCs w:val="24"/>
        </w:rPr>
      </w:pPr>
    </w:p>
    <w:p w:rsidR="006C1FA7" w:rsidRPr="00901A41" w:rsidRDefault="006C1FA7" w:rsidP="00901A41">
      <w:pPr>
        <w:pStyle w:val="NoSpacing"/>
        <w:jc w:val="both"/>
        <w:rPr>
          <w:b/>
          <w:szCs w:val="24"/>
        </w:rPr>
      </w:pPr>
      <w:r w:rsidRPr="00901A41">
        <w:rPr>
          <w:b/>
          <w:szCs w:val="24"/>
        </w:rPr>
        <w:t>CHARLES NKOMO</w:t>
      </w:r>
    </w:p>
    <w:p w:rsidR="006C1FA7" w:rsidRPr="00901A41" w:rsidRDefault="006C1FA7" w:rsidP="00901A41">
      <w:pPr>
        <w:pStyle w:val="NoSpacing"/>
        <w:jc w:val="both"/>
        <w:rPr>
          <w:b/>
          <w:szCs w:val="24"/>
        </w:rPr>
      </w:pPr>
    </w:p>
    <w:p w:rsidR="006C1FA7" w:rsidRPr="00901A41" w:rsidRDefault="006C1FA7" w:rsidP="00901A41">
      <w:pPr>
        <w:pStyle w:val="NoSpacing"/>
        <w:jc w:val="both"/>
        <w:rPr>
          <w:b/>
          <w:szCs w:val="24"/>
        </w:rPr>
      </w:pPr>
      <w:r w:rsidRPr="00901A41">
        <w:rPr>
          <w:b/>
          <w:szCs w:val="24"/>
        </w:rPr>
        <w:t>And</w:t>
      </w:r>
    </w:p>
    <w:p w:rsidR="006C1FA7" w:rsidRPr="00901A41" w:rsidRDefault="006C1FA7" w:rsidP="00901A41">
      <w:pPr>
        <w:pStyle w:val="NoSpacing"/>
        <w:jc w:val="both"/>
        <w:rPr>
          <w:b/>
          <w:szCs w:val="24"/>
        </w:rPr>
      </w:pPr>
    </w:p>
    <w:p w:rsidR="006C1FA7" w:rsidRPr="00901A41" w:rsidRDefault="005D465D" w:rsidP="00901A41">
      <w:pPr>
        <w:pStyle w:val="NoSpacing"/>
        <w:jc w:val="both"/>
        <w:rPr>
          <w:b/>
          <w:szCs w:val="24"/>
        </w:rPr>
      </w:pPr>
      <w:r>
        <w:rPr>
          <w:b/>
          <w:szCs w:val="24"/>
        </w:rPr>
        <w:t>THE</w:t>
      </w:r>
      <w:r w:rsidR="00F14EA9">
        <w:rPr>
          <w:b/>
          <w:szCs w:val="24"/>
        </w:rPr>
        <w:t xml:space="preserve"> </w:t>
      </w:r>
      <w:r w:rsidR="006C1FA7" w:rsidRPr="00901A41">
        <w:rPr>
          <w:b/>
          <w:szCs w:val="24"/>
        </w:rPr>
        <w:t>SHERIFF OF THE HIGH COURT N.O.</w:t>
      </w:r>
    </w:p>
    <w:p w:rsidR="006C1FA7" w:rsidRPr="00901A41" w:rsidRDefault="006C1FA7" w:rsidP="00901A41">
      <w:pPr>
        <w:pStyle w:val="NoSpacing"/>
        <w:jc w:val="both"/>
        <w:rPr>
          <w:b/>
          <w:szCs w:val="24"/>
        </w:rPr>
      </w:pPr>
    </w:p>
    <w:p w:rsidR="006C1FA7" w:rsidRPr="00901A41" w:rsidRDefault="006C1FA7" w:rsidP="00901A41">
      <w:pPr>
        <w:pStyle w:val="NoSpacing"/>
        <w:jc w:val="both"/>
        <w:rPr>
          <w:szCs w:val="24"/>
        </w:rPr>
      </w:pPr>
      <w:r w:rsidRPr="00901A41">
        <w:rPr>
          <w:szCs w:val="24"/>
        </w:rPr>
        <w:t>IN THE HIGH COURT OF ZIMBABWE</w:t>
      </w:r>
    </w:p>
    <w:p w:rsidR="006C1FA7" w:rsidRPr="00901A41" w:rsidRDefault="006C1FA7" w:rsidP="00901A41">
      <w:pPr>
        <w:pStyle w:val="NoSpacing"/>
        <w:jc w:val="both"/>
        <w:rPr>
          <w:szCs w:val="24"/>
        </w:rPr>
      </w:pPr>
      <w:r w:rsidRPr="00901A41">
        <w:rPr>
          <w:szCs w:val="24"/>
        </w:rPr>
        <w:t>MAKONESE J</w:t>
      </w:r>
    </w:p>
    <w:p w:rsidR="006C1FA7" w:rsidRPr="00901A41" w:rsidRDefault="006C1FA7" w:rsidP="00901A41">
      <w:pPr>
        <w:pStyle w:val="NoSpacing"/>
        <w:jc w:val="both"/>
        <w:rPr>
          <w:szCs w:val="24"/>
        </w:rPr>
      </w:pPr>
      <w:r w:rsidRPr="00901A41">
        <w:rPr>
          <w:szCs w:val="24"/>
        </w:rPr>
        <w:t>BULAWAYO 8 &amp; 30 MAY 2019</w:t>
      </w:r>
    </w:p>
    <w:p w:rsidR="006C1FA7" w:rsidRPr="00901A41" w:rsidRDefault="006C1FA7" w:rsidP="00901A41">
      <w:pPr>
        <w:pStyle w:val="NoSpacing"/>
        <w:jc w:val="both"/>
        <w:rPr>
          <w:szCs w:val="24"/>
        </w:rPr>
      </w:pPr>
    </w:p>
    <w:p w:rsidR="006C1FA7" w:rsidRPr="00901A41" w:rsidRDefault="006C1FA7" w:rsidP="00901A41">
      <w:pPr>
        <w:pStyle w:val="NoSpacing"/>
        <w:jc w:val="both"/>
        <w:rPr>
          <w:b/>
          <w:szCs w:val="24"/>
        </w:rPr>
      </w:pPr>
      <w:r w:rsidRPr="00901A41">
        <w:rPr>
          <w:b/>
          <w:szCs w:val="24"/>
        </w:rPr>
        <w:t>Urgent Camber Application for stay of Execution</w:t>
      </w:r>
    </w:p>
    <w:p w:rsidR="006C1FA7" w:rsidRPr="00901A41" w:rsidRDefault="006C1FA7" w:rsidP="00901A41">
      <w:pPr>
        <w:pStyle w:val="NoSpacing"/>
        <w:jc w:val="both"/>
        <w:rPr>
          <w:szCs w:val="24"/>
        </w:rPr>
      </w:pPr>
    </w:p>
    <w:p w:rsidR="006C1FA7" w:rsidRPr="00901A41" w:rsidRDefault="006C1FA7" w:rsidP="00901A41">
      <w:pPr>
        <w:pStyle w:val="NoSpacing"/>
        <w:jc w:val="both"/>
        <w:rPr>
          <w:szCs w:val="24"/>
        </w:rPr>
      </w:pPr>
      <w:r w:rsidRPr="00901A41">
        <w:rPr>
          <w:i/>
          <w:szCs w:val="24"/>
        </w:rPr>
        <w:t>J. Tshuma</w:t>
      </w:r>
      <w:r w:rsidRPr="00901A41">
        <w:rPr>
          <w:szCs w:val="24"/>
        </w:rPr>
        <w:t xml:space="preserve"> for applicant</w:t>
      </w:r>
    </w:p>
    <w:p w:rsidR="006C1FA7" w:rsidRPr="00901A41" w:rsidRDefault="006C1FA7" w:rsidP="00901A41">
      <w:pPr>
        <w:pStyle w:val="NoSpacing"/>
        <w:jc w:val="both"/>
        <w:rPr>
          <w:szCs w:val="24"/>
        </w:rPr>
      </w:pPr>
      <w:r w:rsidRPr="00901A41">
        <w:rPr>
          <w:i/>
          <w:szCs w:val="24"/>
        </w:rPr>
        <w:t>S. Chamunorwa</w:t>
      </w:r>
      <w:r w:rsidRPr="00901A41">
        <w:rPr>
          <w:szCs w:val="24"/>
        </w:rPr>
        <w:t xml:space="preserve"> for the 1</w:t>
      </w:r>
      <w:r w:rsidRPr="00901A41">
        <w:rPr>
          <w:szCs w:val="24"/>
          <w:vertAlign w:val="superscript"/>
        </w:rPr>
        <w:t>st</w:t>
      </w:r>
      <w:r w:rsidRPr="00901A41">
        <w:rPr>
          <w:szCs w:val="24"/>
        </w:rPr>
        <w:t xml:space="preserve"> respondent</w:t>
      </w:r>
    </w:p>
    <w:p w:rsidR="006C1FA7" w:rsidRPr="00901A41" w:rsidRDefault="006C1FA7" w:rsidP="00901A41">
      <w:pPr>
        <w:jc w:val="both"/>
        <w:rPr>
          <w:szCs w:val="24"/>
        </w:rPr>
      </w:pPr>
      <w:r w:rsidRPr="00901A41">
        <w:rPr>
          <w:szCs w:val="24"/>
        </w:rPr>
        <w:tab/>
      </w:r>
      <w:r w:rsidRPr="00901A41">
        <w:rPr>
          <w:b/>
          <w:szCs w:val="24"/>
        </w:rPr>
        <w:t>MAKONESE J:</w:t>
      </w:r>
      <w:r w:rsidRPr="00901A41">
        <w:rPr>
          <w:b/>
          <w:szCs w:val="24"/>
        </w:rPr>
        <w:tab/>
      </w:r>
      <w:r w:rsidRPr="00901A41">
        <w:rPr>
          <w:szCs w:val="24"/>
        </w:rPr>
        <w:t xml:space="preserve">This is an urgent chamber application to stay the execution of the judgment issued in the matter under case number HC 2272/18; </w:t>
      </w:r>
      <w:r w:rsidR="004C09D0" w:rsidRPr="00901A41">
        <w:rPr>
          <w:szCs w:val="24"/>
        </w:rPr>
        <w:t>E</w:t>
      </w:r>
      <w:r w:rsidRPr="00901A41">
        <w:rPr>
          <w:szCs w:val="24"/>
        </w:rPr>
        <w:t>x</w:t>
      </w:r>
      <w:r w:rsidR="004C09D0" w:rsidRPr="00901A41">
        <w:rPr>
          <w:szCs w:val="24"/>
        </w:rPr>
        <w:t>-</w:t>
      </w:r>
      <w:r w:rsidRPr="00901A41">
        <w:rPr>
          <w:szCs w:val="24"/>
        </w:rPr>
        <w:t xml:space="preserve">Ref LC/MT/531/18; </w:t>
      </w:r>
      <w:r w:rsidR="004C09D0" w:rsidRPr="00901A41">
        <w:rPr>
          <w:szCs w:val="24"/>
        </w:rPr>
        <w:t>E</w:t>
      </w:r>
      <w:r w:rsidRPr="00901A41">
        <w:rPr>
          <w:szCs w:val="24"/>
        </w:rPr>
        <w:t>x</w:t>
      </w:r>
      <w:r w:rsidR="004C09D0" w:rsidRPr="00901A41">
        <w:rPr>
          <w:szCs w:val="24"/>
        </w:rPr>
        <w:t>-</w:t>
      </w:r>
      <w:r w:rsidRPr="00901A41">
        <w:rPr>
          <w:szCs w:val="24"/>
        </w:rPr>
        <w:t xml:space="preserve">Ref LC/B/LARA/2777/18 and the sale of </w:t>
      </w:r>
      <w:r w:rsidR="00544C9E" w:rsidRPr="00901A41">
        <w:rPr>
          <w:szCs w:val="24"/>
        </w:rPr>
        <w:t>applicant’s movable property being a trailer, bearing registration</w:t>
      </w:r>
      <w:r w:rsidR="00010940">
        <w:rPr>
          <w:szCs w:val="24"/>
        </w:rPr>
        <w:t xml:space="preserve"> </w:t>
      </w:r>
      <w:r w:rsidR="00544C9E" w:rsidRPr="00901A41">
        <w:rPr>
          <w:szCs w:val="24"/>
        </w:rPr>
        <w:t xml:space="preserve"> number ABS 1872.  T</w:t>
      </w:r>
      <w:r w:rsidR="004C09D0" w:rsidRPr="00901A41">
        <w:rPr>
          <w:szCs w:val="24"/>
        </w:rPr>
        <w:t>h</w:t>
      </w:r>
      <w:r w:rsidR="00544C9E" w:rsidRPr="00901A41">
        <w:rPr>
          <w:szCs w:val="24"/>
        </w:rPr>
        <w:t>e application is premised on the following grounds:</w:t>
      </w:r>
    </w:p>
    <w:p w:rsidR="00544C9E" w:rsidRPr="00901A41" w:rsidRDefault="00544C9E" w:rsidP="00901A41">
      <w:pPr>
        <w:pStyle w:val="ListParagraph"/>
        <w:numPr>
          <w:ilvl w:val="0"/>
          <w:numId w:val="1"/>
        </w:numPr>
        <w:jc w:val="both"/>
        <w:rPr>
          <w:szCs w:val="24"/>
        </w:rPr>
      </w:pPr>
      <w:r w:rsidRPr="00901A41">
        <w:rPr>
          <w:szCs w:val="24"/>
        </w:rPr>
        <w:t>the matter is urgent;</w:t>
      </w:r>
    </w:p>
    <w:p w:rsidR="00026DFE" w:rsidRDefault="00FA3636" w:rsidP="00901A41">
      <w:pPr>
        <w:pStyle w:val="ListParagraph"/>
        <w:numPr>
          <w:ilvl w:val="0"/>
          <w:numId w:val="1"/>
        </w:numPr>
        <w:jc w:val="both"/>
        <w:rPr>
          <w:szCs w:val="24"/>
        </w:rPr>
      </w:pPr>
      <w:r w:rsidRPr="00026DFE">
        <w:rPr>
          <w:szCs w:val="24"/>
        </w:rPr>
        <w:t>a</w:t>
      </w:r>
      <w:r w:rsidR="00544C9E" w:rsidRPr="00026DFE">
        <w:rPr>
          <w:szCs w:val="24"/>
        </w:rPr>
        <w:t>pplicant will suffer irreparable harm or prejudice if execution is granted;</w:t>
      </w:r>
    </w:p>
    <w:p w:rsidR="00544C9E" w:rsidRPr="00026DFE" w:rsidRDefault="00544C9E" w:rsidP="00901A41">
      <w:pPr>
        <w:pStyle w:val="ListParagraph"/>
        <w:numPr>
          <w:ilvl w:val="0"/>
          <w:numId w:val="1"/>
        </w:numPr>
        <w:jc w:val="both"/>
        <w:rPr>
          <w:szCs w:val="24"/>
        </w:rPr>
      </w:pPr>
      <w:r w:rsidRPr="00026DFE">
        <w:rPr>
          <w:szCs w:val="24"/>
        </w:rPr>
        <w:t>applicant</w:t>
      </w:r>
      <w:r w:rsidR="0024223A" w:rsidRPr="00026DFE">
        <w:rPr>
          <w:szCs w:val="24"/>
        </w:rPr>
        <w:t xml:space="preserve"> </w:t>
      </w:r>
      <w:r w:rsidRPr="00026DFE">
        <w:rPr>
          <w:szCs w:val="24"/>
        </w:rPr>
        <w:t>has very good prospects of success on t</w:t>
      </w:r>
      <w:r w:rsidR="00FA3636" w:rsidRPr="00026DFE">
        <w:rPr>
          <w:szCs w:val="24"/>
        </w:rPr>
        <w:t>h</w:t>
      </w:r>
      <w:r w:rsidRPr="00026DFE">
        <w:rPr>
          <w:szCs w:val="24"/>
        </w:rPr>
        <w:t>e merits in the main application under case number HC 823/19</w:t>
      </w:r>
    </w:p>
    <w:p w:rsidR="00544C9E" w:rsidRPr="00901A41" w:rsidRDefault="00544C9E" w:rsidP="00901A41">
      <w:pPr>
        <w:jc w:val="both"/>
        <w:rPr>
          <w:szCs w:val="24"/>
        </w:rPr>
      </w:pPr>
      <w:r w:rsidRPr="00901A41">
        <w:rPr>
          <w:szCs w:val="24"/>
        </w:rPr>
        <w:tab/>
        <w:t>The application is opposed by the respondents who contend that the matter is not urgent.  It is contended that t</w:t>
      </w:r>
      <w:r w:rsidR="00FA3636" w:rsidRPr="00901A41">
        <w:rPr>
          <w:szCs w:val="24"/>
        </w:rPr>
        <w:t>h</w:t>
      </w:r>
      <w:r w:rsidRPr="00901A41">
        <w:rPr>
          <w:szCs w:val="24"/>
        </w:rPr>
        <w:t>e applicant failed to act when t</w:t>
      </w:r>
      <w:r w:rsidR="00FA3636" w:rsidRPr="00901A41">
        <w:rPr>
          <w:szCs w:val="24"/>
        </w:rPr>
        <w:t>h</w:t>
      </w:r>
      <w:r w:rsidRPr="00901A41">
        <w:rPr>
          <w:szCs w:val="24"/>
        </w:rPr>
        <w:t xml:space="preserve">e need </w:t>
      </w:r>
      <w:r w:rsidR="00FA3636" w:rsidRPr="00901A41">
        <w:rPr>
          <w:szCs w:val="24"/>
        </w:rPr>
        <w:t>to</w:t>
      </w:r>
      <w:r w:rsidRPr="00901A41">
        <w:rPr>
          <w:szCs w:val="24"/>
        </w:rPr>
        <w:t xml:space="preserve"> act arose an</w:t>
      </w:r>
      <w:r w:rsidR="0024223A">
        <w:rPr>
          <w:szCs w:val="24"/>
        </w:rPr>
        <w:t>d that the application had been filed some 36</w:t>
      </w:r>
      <w:r w:rsidRPr="00901A41">
        <w:rPr>
          <w:szCs w:val="24"/>
        </w:rPr>
        <w:t xml:space="preserve"> days after the applicant became aware of the judgment.  The applicant asserts that it became aware of the judgment which is sought to be rescinded on 7</w:t>
      </w:r>
      <w:r w:rsidRPr="00901A41">
        <w:rPr>
          <w:szCs w:val="24"/>
          <w:vertAlign w:val="superscript"/>
        </w:rPr>
        <w:t>th</w:t>
      </w:r>
      <w:r w:rsidRPr="00901A41">
        <w:rPr>
          <w:szCs w:val="24"/>
        </w:rPr>
        <w:t xml:space="preserve"> </w:t>
      </w:r>
      <w:r w:rsidR="00FA3636" w:rsidRPr="00901A41">
        <w:rPr>
          <w:szCs w:val="24"/>
        </w:rPr>
        <w:t>M</w:t>
      </w:r>
      <w:r w:rsidRPr="00901A41">
        <w:rPr>
          <w:szCs w:val="24"/>
        </w:rPr>
        <w:t>arch 2019.  The urgent application was filed on the 12</w:t>
      </w:r>
      <w:r w:rsidRPr="00901A41">
        <w:rPr>
          <w:szCs w:val="24"/>
          <w:vertAlign w:val="superscript"/>
        </w:rPr>
        <w:t>th</w:t>
      </w:r>
      <w:r w:rsidRPr="00901A41">
        <w:rPr>
          <w:szCs w:val="24"/>
        </w:rPr>
        <w:t xml:space="preserve"> of April 2019.  No </w:t>
      </w:r>
      <w:r w:rsidR="00FA3636" w:rsidRPr="00901A41">
        <w:rPr>
          <w:szCs w:val="24"/>
        </w:rPr>
        <w:t>plausible explanation wa</w:t>
      </w:r>
      <w:r w:rsidRPr="00901A41">
        <w:rPr>
          <w:szCs w:val="24"/>
        </w:rPr>
        <w:t xml:space="preserve">s given </w:t>
      </w:r>
      <w:r w:rsidRPr="00901A41">
        <w:rPr>
          <w:szCs w:val="24"/>
        </w:rPr>
        <w:lastRenderedPageBreak/>
        <w:t>for the delay.  An attempt is made by the applicant to blame the applicant’s erstwhile legal practitioner for the delay.  The</w:t>
      </w:r>
      <w:r w:rsidR="009F0EDD">
        <w:rPr>
          <w:szCs w:val="24"/>
        </w:rPr>
        <w:t xml:space="preserve"> 1</w:t>
      </w:r>
      <w:r w:rsidR="009F0EDD" w:rsidRPr="009F0EDD">
        <w:rPr>
          <w:szCs w:val="24"/>
          <w:vertAlign w:val="superscript"/>
        </w:rPr>
        <w:t>st</w:t>
      </w:r>
      <w:r w:rsidRPr="00901A41">
        <w:rPr>
          <w:szCs w:val="24"/>
        </w:rPr>
        <w:t xml:space="preserve"> respondent ar</w:t>
      </w:r>
      <w:r w:rsidR="00FA3636" w:rsidRPr="00901A41">
        <w:rPr>
          <w:szCs w:val="24"/>
        </w:rPr>
        <w:t>g</w:t>
      </w:r>
      <w:r w:rsidRPr="00901A41">
        <w:rPr>
          <w:szCs w:val="24"/>
        </w:rPr>
        <w:t>ue</w:t>
      </w:r>
      <w:r w:rsidR="00FA3636" w:rsidRPr="00901A41">
        <w:rPr>
          <w:szCs w:val="24"/>
        </w:rPr>
        <w:t>s</w:t>
      </w:r>
      <w:r w:rsidRPr="00901A41">
        <w:rPr>
          <w:szCs w:val="24"/>
        </w:rPr>
        <w:t xml:space="preserve"> </w:t>
      </w:r>
      <w:r w:rsidR="00FA3636" w:rsidRPr="00901A41">
        <w:rPr>
          <w:szCs w:val="24"/>
        </w:rPr>
        <w:t>t</w:t>
      </w:r>
      <w:r w:rsidRPr="00901A41">
        <w:rPr>
          <w:szCs w:val="24"/>
        </w:rPr>
        <w:t>hat the court has no jurisdiction to determine t</w:t>
      </w:r>
      <w:r w:rsidR="00FA3636" w:rsidRPr="00901A41">
        <w:rPr>
          <w:szCs w:val="24"/>
        </w:rPr>
        <w:t>h</w:t>
      </w:r>
      <w:r w:rsidRPr="00901A41">
        <w:rPr>
          <w:szCs w:val="24"/>
        </w:rPr>
        <w:t>e matter under case number HC 823/19</w:t>
      </w:r>
      <w:r w:rsidR="00406974" w:rsidRPr="00901A41">
        <w:rPr>
          <w:szCs w:val="24"/>
        </w:rPr>
        <w:t>.  Further, the respondents aver that the failure by the applicant to file an affidavit from the applicant’s erstwhile legal practitioner condemning himself</w:t>
      </w:r>
      <w:r w:rsidR="00FA3636" w:rsidRPr="00901A41">
        <w:rPr>
          <w:szCs w:val="24"/>
        </w:rPr>
        <w:t xml:space="preserve"> </w:t>
      </w:r>
      <w:r w:rsidR="00406974" w:rsidRPr="00901A41">
        <w:rPr>
          <w:szCs w:val="24"/>
        </w:rPr>
        <w:t>renders the application under case number HC 829/19 fatally defective.</w:t>
      </w:r>
    </w:p>
    <w:p w:rsidR="00406974" w:rsidRPr="00901A41" w:rsidRDefault="00406974" w:rsidP="00901A41">
      <w:pPr>
        <w:ind w:firstLine="720"/>
        <w:jc w:val="both"/>
        <w:rPr>
          <w:szCs w:val="24"/>
        </w:rPr>
      </w:pPr>
      <w:r w:rsidRPr="00901A41">
        <w:rPr>
          <w:i/>
          <w:szCs w:val="24"/>
        </w:rPr>
        <w:t>Mr Tshuma</w:t>
      </w:r>
      <w:r w:rsidRPr="00901A41">
        <w:rPr>
          <w:szCs w:val="24"/>
        </w:rPr>
        <w:t xml:space="preserve"> </w:t>
      </w:r>
      <w:r w:rsidR="00C1143E">
        <w:rPr>
          <w:szCs w:val="24"/>
        </w:rPr>
        <w:t xml:space="preserve">, </w:t>
      </w:r>
      <w:r w:rsidRPr="00901A41">
        <w:rPr>
          <w:szCs w:val="24"/>
        </w:rPr>
        <w:t>appearing for the applicant argued that this matter satisfies the test of urgency on the basis that should the imminent sale proceed, the applicant would be prejudiced as suc</w:t>
      </w:r>
      <w:r w:rsidR="00FA3636" w:rsidRPr="00901A41">
        <w:rPr>
          <w:szCs w:val="24"/>
        </w:rPr>
        <w:t>h</w:t>
      </w:r>
      <w:r w:rsidRPr="00901A41">
        <w:rPr>
          <w:szCs w:val="24"/>
        </w:rPr>
        <w:t xml:space="preserve"> a sale would have occurred without the applicant having an opportunity to be heard.  In his averment</w:t>
      </w:r>
      <w:r w:rsidR="00CB7BBE">
        <w:rPr>
          <w:szCs w:val="24"/>
        </w:rPr>
        <w:t>s</w:t>
      </w:r>
      <w:r w:rsidRPr="00901A41">
        <w:rPr>
          <w:szCs w:val="24"/>
        </w:rPr>
        <w:t xml:space="preserve"> in support of t</w:t>
      </w:r>
      <w:r w:rsidR="00FA3636" w:rsidRPr="00901A41">
        <w:rPr>
          <w:szCs w:val="24"/>
        </w:rPr>
        <w:t>h</w:t>
      </w:r>
      <w:r w:rsidRPr="00901A41">
        <w:rPr>
          <w:szCs w:val="24"/>
        </w:rPr>
        <w:t xml:space="preserve">e argument, he contends that failing to hear this matter on an urgent basis would be in conflict with the </w:t>
      </w:r>
      <w:r w:rsidR="00625920">
        <w:rPr>
          <w:i/>
          <w:szCs w:val="24"/>
        </w:rPr>
        <w:t>audi alteram parte</w:t>
      </w:r>
      <w:r w:rsidRPr="00901A41">
        <w:rPr>
          <w:i/>
          <w:szCs w:val="24"/>
        </w:rPr>
        <w:t>m</w:t>
      </w:r>
      <w:r w:rsidRPr="00901A41">
        <w:rPr>
          <w:szCs w:val="24"/>
        </w:rPr>
        <w:t xml:space="preserve"> principle which is</w:t>
      </w:r>
      <w:r w:rsidR="00F15758">
        <w:rPr>
          <w:szCs w:val="24"/>
        </w:rPr>
        <w:t xml:space="preserve"> an</w:t>
      </w:r>
      <w:r w:rsidR="004E7104">
        <w:rPr>
          <w:szCs w:val="24"/>
        </w:rPr>
        <w:t xml:space="preserve"> elementary n</w:t>
      </w:r>
      <w:r w:rsidRPr="00901A41">
        <w:rPr>
          <w:szCs w:val="24"/>
        </w:rPr>
        <w:t>otion of justice and fairness.  The rig</w:t>
      </w:r>
      <w:r w:rsidR="00FA3636" w:rsidRPr="00901A41">
        <w:rPr>
          <w:szCs w:val="24"/>
        </w:rPr>
        <w:t>h</w:t>
      </w:r>
      <w:r w:rsidRPr="00901A41">
        <w:rPr>
          <w:szCs w:val="24"/>
        </w:rPr>
        <w:t>t to be heard is a fundament</w:t>
      </w:r>
      <w:r w:rsidR="00FA3636" w:rsidRPr="00901A41">
        <w:rPr>
          <w:szCs w:val="24"/>
        </w:rPr>
        <w:t>a</w:t>
      </w:r>
      <w:r w:rsidRPr="00901A41">
        <w:rPr>
          <w:szCs w:val="24"/>
        </w:rPr>
        <w:t>l principle of our law which allows a party to litigation to be allowed to give his side of the story.  It was passionately argued on</w:t>
      </w:r>
      <w:r w:rsidR="00C01B4B" w:rsidRPr="00901A41">
        <w:rPr>
          <w:szCs w:val="24"/>
        </w:rPr>
        <w:t xml:space="preserve"> behalf of the applicant that applicant would suffer pecuniary loss if the</w:t>
      </w:r>
      <w:r w:rsidR="00BC6D39">
        <w:rPr>
          <w:szCs w:val="24"/>
        </w:rPr>
        <w:t xml:space="preserve"> property attached in</w:t>
      </w:r>
      <w:r w:rsidR="00C01B4B" w:rsidRPr="00901A41">
        <w:rPr>
          <w:szCs w:val="24"/>
        </w:rPr>
        <w:t xml:space="preserve"> executed property was sold.  Further, the applicant would be unable to conduct his business efficiently and generate adequate income to meet all the costs associated with the business operations such as </w:t>
      </w:r>
      <w:r w:rsidR="0095485B">
        <w:rPr>
          <w:szCs w:val="24"/>
        </w:rPr>
        <w:t>paying its employees, who are re</w:t>
      </w:r>
      <w:r w:rsidR="00C01B4B" w:rsidRPr="00901A41">
        <w:rPr>
          <w:szCs w:val="24"/>
        </w:rPr>
        <w:t>m</w:t>
      </w:r>
      <w:r w:rsidR="0095485B">
        <w:rPr>
          <w:szCs w:val="24"/>
        </w:rPr>
        <w:t>un</w:t>
      </w:r>
      <w:r w:rsidR="00C01B4B" w:rsidRPr="00901A41">
        <w:rPr>
          <w:szCs w:val="24"/>
        </w:rPr>
        <w:t>erated from the proceeds of the business.</w:t>
      </w:r>
    </w:p>
    <w:p w:rsidR="00C01B4B" w:rsidRPr="00901A41" w:rsidRDefault="00C01B4B" w:rsidP="00901A41">
      <w:pPr>
        <w:jc w:val="both"/>
        <w:rPr>
          <w:b/>
          <w:szCs w:val="24"/>
        </w:rPr>
      </w:pPr>
      <w:r w:rsidRPr="00901A41">
        <w:rPr>
          <w:b/>
          <w:szCs w:val="24"/>
        </w:rPr>
        <w:t>Brief factual background</w:t>
      </w:r>
    </w:p>
    <w:p w:rsidR="00C01B4B" w:rsidRPr="00901A41" w:rsidRDefault="00C01B4B" w:rsidP="00901A41">
      <w:pPr>
        <w:jc w:val="both"/>
        <w:rPr>
          <w:szCs w:val="24"/>
        </w:rPr>
      </w:pPr>
      <w:r w:rsidRPr="00901A41">
        <w:rPr>
          <w:szCs w:val="24"/>
        </w:rPr>
        <w:tab/>
        <w:t>The 2</w:t>
      </w:r>
      <w:r w:rsidRPr="00901A41">
        <w:rPr>
          <w:szCs w:val="24"/>
          <w:vertAlign w:val="superscript"/>
        </w:rPr>
        <w:t>nd</w:t>
      </w:r>
      <w:r w:rsidRPr="00901A41">
        <w:rPr>
          <w:szCs w:val="24"/>
        </w:rPr>
        <w:t xml:space="preserve"> respondent was employed by the applicant as a Logistic Manager for the period extending 18</w:t>
      </w:r>
      <w:r w:rsidRPr="00901A41">
        <w:rPr>
          <w:szCs w:val="24"/>
          <w:vertAlign w:val="superscript"/>
        </w:rPr>
        <w:t>th</w:t>
      </w:r>
      <w:r w:rsidRPr="00901A41">
        <w:rPr>
          <w:szCs w:val="24"/>
        </w:rPr>
        <w:t xml:space="preserve"> July 2005 to 13</w:t>
      </w:r>
      <w:r w:rsidRPr="00901A41">
        <w:rPr>
          <w:szCs w:val="24"/>
          <w:vertAlign w:val="superscript"/>
        </w:rPr>
        <w:t>th</w:t>
      </w:r>
      <w:r w:rsidRPr="00901A41">
        <w:rPr>
          <w:szCs w:val="24"/>
        </w:rPr>
        <w:t xml:space="preserve"> February 2017.  On or about the 29</w:t>
      </w:r>
      <w:r w:rsidRPr="00901A41">
        <w:rPr>
          <w:szCs w:val="24"/>
          <w:vertAlign w:val="superscript"/>
        </w:rPr>
        <w:t>th</w:t>
      </w:r>
      <w:r w:rsidRPr="00901A41">
        <w:rPr>
          <w:szCs w:val="24"/>
        </w:rPr>
        <w:t xml:space="preserve"> October 2016, 2</w:t>
      </w:r>
      <w:r w:rsidRPr="00901A41">
        <w:rPr>
          <w:szCs w:val="24"/>
          <w:vertAlign w:val="superscript"/>
        </w:rPr>
        <w:t>nd</w:t>
      </w:r>
      <w:r w:rsidRPr="00901A41">
        <w:rPr>
          <w:szCs w:val="24"/>
        </w:rPr>
        <w:t xml:space="preserve"> respondent made an application for leave of absence from work for 60 days for the period commencing on 28</w:t>
      </w:r>
      <w:r w:rsidRPr="00901A41">
        <w:rPr>
          <w:szCs w:val="24"/>
          <w:vertAlign w:val="superscript"/>
        </w:rPr>
        <w:t>th</w:t>
      </w:r>
      <w:r w:rsidRPr="00901A41">
        <w:rPr>
          <w:szCs w:val="24"/>
        </w:rPr>
        <w:t xml:space="preserve"> October 2016 to 3</w:t>
      </w:r>
      <w:r w:rsidRPr="00901A41">
        <w:rPr>
          <w:szCs w:val="24"/>
          <w:vertAlign w:val="superscript"/>
        </w:rPr>
        <w:t>rd</w:t>
      </w:r>
      <w:r w:rsidRPr="00901A41">
        <w:rPr>
          <w:szCs w:val="24"/>
        </w:rPr>
        <w:t xml:space="preserve"> of February 2017.  The applicant alleges that the 2</w:t>
      </w:r>
      <w:r w:rsidRPr="00901A41">
        <w:rPr>
          <w:szCs w:val="24"/>
          <w:vertAlign w:val="superscript"/>
        </w:rPr>
        <w:t>nd</w:t>
      </w:r>
      <w:r w:rsidRPr="00901A41">
        <w:rPr>
          <w:szCs w:val="24"/>
        </w:rPr>
        <w:t xml:space="preserve"> respondent without good cause, failed to report back to work on the 4</w:t>
      </w:r>
      <w:r w:rsidRPr="00901A41">
        <w:rPr>
          <w:szCs w:val="24"/>
          <w:vertAlign w:val="superscript"/>
        </w:rPr>
        <w:t>th</w:t>
      </w:r>
      <w:r w:rsidRPr="00901A41">
        <w:rPr>
          <w:szCs w:val="24"/>
        </w:rPr>
        <w:t xml:space="preserve"> February 2017.  2</w:t>
      </w:r>
      <w:r w:rsidRPr="00901A41">
        <w:rPr>
          <w:szCs w:val="24"/>
          <w:vertAlign w:val="superscript"/>
        </w:rPr>
        <w:t>nd</w:t>
      </w:r>
      <w:r w:rsidRPr="00901A41">
        <w:rPr>
          <w:szCs w:val="24"/>
        </w:rPr>
        <w:t xml:space="preserve"> respondent disputes the allegations.  2</w:t>
      </w:r>
      <w:r w:rsidRPr="00901A41">
        <w:rPr>
          <w:szCs w:val="24"/>
          <w:vertAlign w:val="superscript"/>
        </w:rPr>
        <w:t>nd</w:t>
      </w:r>
      <w:r w:rsidRPr="00901A41">
        <w:rPr>
          <w:szCs w:val="24"/>
        </w:rPr>
        <w:t xml:space="preserve"> respondent was</w:t>
      </w:r>
      <w:r w:rsidR="00711FB6">
        <w:rPr>
          <w:szCs w:val="24"/>
        </w:rPr>
        <w:t xml:space="preserve"> subsequently</w:t>
      </w:r>
      <w:r w:rsidRPr="00901A41">
        <w:rPr>
          <w:szCs w:val="24"/>
        </w:rPr>
        <w:t xml:space="preserve"> accused of acts of dishonesty and a criminal complaint was lodged against him.  2</w:t>
      </w:r>
      <w:r w:rsidRPr="00901A41">
        <w:rPr>
          <w:szCs w:val="24"/>
          <w:vertAlign w:val="superscript"/>
        </w:rPr>
        <w:t>nd</w:t>
      </w:r>
      <w:r w:rsidRPr="00901A41">
        <w:rPr>
          <w:szCs w:val="24"/>
        </w:rPr>
        <w:t xml:space="preserve"> respondent was convicted on frau</w:t>
      </w:r>
      <w:r w:rsidR="006E6EAB">
        <w:rPr>
          <w:szCs w:val="24"/>
        </w:rPr>
        <w:t>d charges,</w:t>
      </w:r>
      <w:r w:rsidR="008F4D9C">
        <w:rPr>
          <w:szCs w:val="24"/>
        </w:rPr>
        <w:t xml:space="preserve"> </w:t>
      </w:r>
      <w:r w:rsidR="006E6EAB">
        <w:rPr>
          <w:szCs w:val="24"/>
        </w:rPr>
        <w:t>however on appeal both conviction and sentence were</w:t>
      </w:r>
      <w:r w:rsidRPr="00901A41">
        <w:rPr>
          <w:szCs w:val="24"/>
        </w:rPr>
        <w:t xml:space="preserve"> set aside.  Shortly after the appeal, the 2</w:t>
      </w:r>
      <w:r w:rsidRPr="00901A41">
        <w:rPr>
          <w:szCs w:val="24"/>
          <w:vertAlign w:val="superscript"/>
        </w:rPr>
        <w:t>nd</w:t>
      </w:r>
      <w:r w:rsidRPr="00901A41">
        <w:rPr>
          <w:szCs w:val="24"/>
        </w:rPr>
        <w:t xml:space="preserve"> respondent instituted a labour claim/complaint against t</w:t>
      </w:r>
      <w:r w:rsidR="00FA3636" w:rsidRPr="00901A41">
        <w:rPr>
          <w:szCs w:val="24"/>
        </w:rPr>
        <w:t>h</w:t>
      </w:r>
      <w:r w:rsidR="00685B21">
        <w:rPr>
          <w:szCs w:val="24"/>
        </w:rPr>
        <w:t xml:space="preserve">e applicant for </w:t>
      </w:r>
      <w:r w:rsidRPr="00901A41">
        <w:rPr>
          <w:szCs w:val="24"/>
        </w:rPr>
        <w:t xml:space="preserve">non-payment of salaries for the period extending March 2015 to May 2018.  The total claim was $39 </w:t>
      </w:r>
      <w:r w:rsidRPr="00901A41">
        <w:rPr>
          <w:szCs w:val="24"/>
        </w:rPr>
        <w:lastRenderedPageBreak/>
        <w:t>892,</w:t>
      </w:r>
      <w:r w:rsidR="00447ED9">
        <w:rPr>
          <w:szCs w:val="24"/>
        </w:rPr>
        <w:t xml:space="preserve"> </w:t>
      </w:r>
      <w:r w:rsidRPr="00901A41">
        <w:rPr>
          <w:szCs w:val="24"/>
        </w:rPr>
        <w:t>00.  The 1</w:t>
      </w:r>
      <w:r w:rsidRPr="00901A41">
        <w:rPr>
          <w:szCs w:val="24"/>
          <w:vertAlign w:val="superscript"/>
        </w:rPr>
        <w:t>st</w:t>
      </w:r>
      <w:r w:rsidRPr="00901A41">
        <w:rPr>
          <w:szCs w:val="24"/>
        </w:rPr>
        <w:t xml:space="preserve"> respondent made a determination </w:t>
      </w:r>
      <w:r w:rsidR="0095032C">
        <w:rPr>
          <w:szCs w:val="24"/>
        </w:rPr>
        <w:t xml:space="preserve"> in favour of 2</w:t>
      </w:r>
      <w:r w:rsidR="0095032C" w:rsidRPr="0095032C">
        <w:rPr>
          <w:szCs w:val="24"/>
          <w:vertAlign w:val="superscript"/>
        </w:rPr>
        <w:t>nd</w:t>
      </w:r>
      <w:r w:rsidRPr="00901A41">
        <w:rPr>
          <w:szCs w:val="24"/>
        </w:rPr>
        <w:t xml:space="preserve"> respondent’s claim in terms of which he issued a draft ru</w:t>
      </w:r>
      <w:r w:rsidR="00FA3636" w:rsidRPr="00901A41">
        <w:rPr>
          <w:szCs w:val="24"/>
        </w:rPr>
        <w:t>ling that was subsequently confir</w:t>
      </w:r>
      <w:r w:rsidRPr="00901A41">
        <w:rPr>
          <w:szCs w:val="24"/>
        </w:rPr>
        <w:t>med and registered with this court in matter number HC 2742/18.  The applicant has filed a</w:t>
      </w:r>
      <w:r w:rsidR="00FA3636" w:rsidRPr="00901A41">
        <w:rPr>
          <w:szCs w:val="24"/>
        </w:rPr>
        <w:t>n</w:t>
      </w:r>
      <w:r w:rsidRPr="00901A41">
        <w:rPr>
          <w:szCs w:val="24"/>
        </w:rPr>
        <w:t xml:space="preserve"> applicatio</w:t>
      </w:r>
      <w:r w:rsidR="00063BEB">
        <w:rPr>
          <w:szCs w:val="24"/>
        </w:rPr>
        <w:t xml:space="preserve">n for rescission of judgment in this court </w:t>
      </w:r>
      <w:r w:rsidRPr="00901A41">
        <w:rPr>
          <w:szCs w:val="24"/>
        </w:rPr>
        <w:t xml:space="preserve">case number HC 823/19 on the grounds that it was not in willful default and </w:t>
      </w:r>
      <w:r w:rsidR="00494BDD" w:rsidRPr="00901A41">
        <w:rPr>
          <w:szCs w:val="24"/>
        </w:rPr>
        <w:t>has good prospects of success.  I do not intend to delve into that application for rescission of judgment, which is not before me.  I shall deal precisely with the application for stay of execution.</w:t>
      </w:r>
    </w:p>
    <w:p w:rsidR="00494BDD" w:rsidRPr="00901A41" w:rsidRDefault="00494BDD" w:rsidP="00901A41">
      <w:pPr>
        <w:jc w:val="both"/>
        <w:rPr>
          <w:b/>
          <w:szCs w:val="24"/>
        </w:rPr>
      </w:pPr>
      <w:r w:rsidRPr="00901A41">
        <w:rPr>
          <w:b/>
          <w:szCs w:val="24"/>
        </w:rPr>
        <w:t>Whether the matter is urgent</w:t>
      </w:r>
    </w:p>
    <w:p w:rsidR="00494BDD" w:rsidRPr="00901A41" w:rsidRDefault="00494BDD" w:rsidP="00901A41">
      <w:pPr>
        <w:jc w:val="both"/>
        <w:rPr>
          <w:szCs w:val="24"/>
        </w:rPr>
      </w:pPr>
      <w:r w:rsidRPr="00901A41">
        <w:rPr>
          <w:szCs w:val="24"/>
        </w:rPr>
        <w:tab/>
        <w:t>This application has been made in a bid to stay the sale in execution of a green trailer, registration</w:t>
      </w:r>
      <w:r w:rsidR="00473210">
        <w:rPr>
          <w:szCs w:val="24"/>
        </w:rPr>
        <w:t>,</w:t>
      </w:r>
      <w:r w:rsidRPr="00901A41">
        <w:rPr>
          <w:szCs w:val="24"/>
        </w:rPr>
        <w:t xml:space="preserve"> number ABS 1872.  The imminent sale of the trailer is t</w:t>
      </w:r>
      <w:r w:rsidR="00FA3636" w:rsidRPr="00901A41">
        <w:rPr>
          <w:szCs w:val="24"/>
        </w:rPr>
        <w:t>h</w:t>
      </w:r>
      <w:r w:rsidRPr="00901A41">
        <w:rPr>
          <w:szCs w:val="24"/>
        </w:rPr>
        <w:t xml:space="preserve">e basis for the application.  </w:t>
      </w:r>
      <w:r w:rsidRPr="00901A41">
        <w:rPr>
          <w:i/>
          <w:szCs w:val="24"/>
        </w:rPr>
        <w:t>Mr Chamunorwa</w:t>
      </w:r>
      <w:r w:rsidRPr="00901A41">
        <w:rPr>
          <w:szCs w:val="24"/>
        </w:rPr>
        <w:t>, appearing for the 1</w:t>
      </w:r>
      <w:r w:rsidRPr="00901A41">
        <w:rPr>
          <w:szCs w:val="24"/>
          <w:vertAlign w:val="superscript"/>
        </w:rPr>
        <w:t>st</w:t>
      </w:r>
      <w:r w:rsidRPr="00901A41">
        <w:rPr>
          <w:szCs w:val="24"/>
        </w:rPr>
        <w:t xml:space="preserve"> respondent argued that inspite of </w:t>
      </w:r>
      <w:r w:rsidRPr="00901A41">
        <w:rPr>
          <w:i/>
          <w:szCs w:val="24"/>
        </w:rPr>
        <w:t>Mr Tshuma</w:t>
      </w:r>
      <w:r w:rsidRPr="00901A41">
        <w:rPr>
          <w:szCs w:val="24"/>
        </w:rPr>
        <w:t xml:space="preserve">, </w:t>
      </w:r>
      <w:r w:rsidR="00FA3636" w:rsidRPr="00901A41">
        <w:rPr>
          <w:szCs w:val="24"/>
        </w:rPr>
        <w:t>h</w:t>
      </w:r>
      <w:r w:rsidRPr="00901A41">
        <w:rPr>
          <w:szCs w:val="24"/>
        </w:rPr>
        <w:t>aving taken the cou</w:t>
      </w:r>
      <w:r w:rsidR="00FA3636" w:rsidRPr="00901A41">
        <w:rPr>
          <w:szCs w:val="24"/>
        </w:rPr>
        <w:t>r</w:t>
      </w:r>
      <w:r w:rsidRPr="00901A41">
        <w:rPr>
          <w:szCs w:val="24"/>
        </w:rPr>
        <w:t>t on a whirlwind tour while making a case for the matter to be heard on an urgent basis,</w:t>
      </w:r>
      <w:r w:rsidR="00FA3636" w:rsidRPr="00901A41">
        <w:rPr>
          <w:szCs w:val="24"/>
        </w:rPr>
        <w:t xml:space="preserve"> h</w:t>
      </w:r>
      <w:r w:rsidRPr="00901A41">
        <w:rPr>
          <w:szCs w:val="24"/>
        </w:rPr>
        <w:t xml:space="preserve">e </w:t>
      </w:r>
      <w:r w:rsidR="00FA3636" w:rsidRPr="00901A41">
        <w:rPr>
          <w:szCs w:val="24"/>
        </w:rPr>
        <w:t>h</w:t>
      </w:r>
      <w:r w:rsidRPr="00901A41">
        <w:rPr>
          <w:szCs w:val="24"/>
        </w:rPr>
        <w:t>ad failed to provide an explanation for the delay in filing the application.  As I understood the applicant’s case, the delay was attributed to the conduct of a legal practitioner who was presumably acting for and on behalf of the applica</w:t>
      </w:r>
      <w:r w:rsidR="00FA3636" w:rsidRPr="00901A41">
        <w:rPr>
          <w:szCs w:val="24"/>
        </w:rPr>
        <w:t>n</w:t>
      </w:r>
      <w:r w:rsidRPr="00901A41">
        <w:rPr>
          <w:szCs w:val="24"/>
        </w:rPr>
        <w:t>t in previous hearings.  The applicant’s case is that, in August 2018, the applicant’s erstwhile legal practitioner</w:t>
      </w:r>
      <w:r w:rsidR="005F3F22">
        <w:rPr>
          <w:szCs w:val="24"/>
        </w:rPr>
        <w:t>s</w:t>
      </w:r>
      <w:r w:rsidRPr="00901A41">
        <w:rPr>
          <w:szCs w:val="24"/>
        </w:rPr>
        <w:t>, Mess</w:t>
      </w:r>
      <w:r w:rsidR="00FA3636" w:rsidRPr="00901A41">
        <w:rPr>
          <w:szCs w:val="24"/>
        </w:rPr>
        <w:t>r</w:t>
      </w:r>
      <w:r w:rsidRPr="00901A41">
        <w:rPr>
          <w:szCs w:val="24"/>
        </w:rPr>
        <w:t>s Sengweni Legal Practitioners had advised them that a draft ruling had been made by 1</w:t>
      </w:r>
      <w:r w:rsidRPr="00901A41">
        <w:rPr>
          <w:szCs w:val="24"/>
          <w:vertAlign w:val="superscript"/>
        </w:rPr>
        <w:t>st</w:t>
      </w:r>
      <w:r w:rsidRPr="00901A41">
        <w:rPr>
          <w:szCs w:val="24"/>
        </w:rPr>
        <w:t xml:space="preserve"> respondent against the applicant in default.  Applican</w:t>
      </w:r>
      <w:r w:rsidR="009E3E18">
        <w:rPr>
          <w:szCs w:val="24"/>
        </w:rPr>
        <w:t>t sought an explanation from the</w:t>
      </w:r>
      <w:r w:rsidR="00FA3636" w:rsidRPr="00901A41">
        <w:rPr>
          <w:szCs w:val="24"/>
        </w:rPr>
        <w:t xml:space="preserve"> </w:t>
      </w:r>
      <w:r w:rsidR="00D61E71" w:rsidRPr="00901A41">
        <w:rPr>
          <w:szCs w:val="24"/>
        </w:rPr>
        <w:t>leg</w:t>
      </w:r>
      <w:r w:rsidR="00FA3636" w:rsidRPr="00901A41">
        <w:rPr>
          <w:szCs w:val="24"/>
        </w:rPr>
        <w:t>a</w:t>
      </w:r>
      <w:r w:rsidR="00D61E71" w:rsidRPr="00901A41">
        <w:rPr>
          <w:szCs w:val="24"/>
        </w:rPr>
        <w:t>l practitioners on how the matter had</w:t>
      </w:r>
      <w:r w:rsidR="009E3E18">
        <w:rPr>
          <w:szCs w:val="24"/>
        </w:rPr>
        <w:t xml:space="preserve"> been dealt with in default.  Applicant</w:t>
      </w:r>
      <w:r w:rsidR="00D61E71" w:rsidRPr="00901A41">
        <w:rPr>
          <w:szCs w:val="24"/>
        </w:rPr>
        <w:t xml:space="preserve"> did not get a satisfactory response.  Applica</w:t>
      </w:r>
      <w:r w:rsidR="009862F8">
        <w:rPr>
          <w:szCs w:val="24"/>
        </w:rPr>
        <w:t>nt then engaged its</w:t>
      </w:r>
      <w:r w:rsidR="00D61E71" w:rsidRPr="00901A41">
        <w:rPr>
          <w:szCs w:val="24"/>
        </w:rPr>
        <w:t xml:space="preserve"> current legal practitioners in early March</w:t>
      </w:r>
      <w:r w:rsidR="0056473F">
        <w:rPr>
          <w:szCs w:val="24"/>
        </w:rPr>
        <w:t xml:space="preserve"> 2019.  Applicant avers that its</w:t>
      </w:r>
      <w:r w:rsidR="00D61E71" w:rsidRPr="00901A41">
        <w:rPr>
          <w:szCs w:val="24"/>
        </w:rPr>
        <w:t xml:space="preserve"> legal practitioners tried to ascertain why applicant’s former legal practitioners had failed to take reasonable and meaningful steps on behalf of the applicant to defend the 2</w:t>
      </w:r>
      <w:r w:rsidR="00D61E71" w:rsidRPr="00901A41">
        <w:rPr>
          <w:szCs w:val="24"/>
          <w:vertAlign w:val="superscript"/>
        </w:rPr>
        <w:t>nd</w:t>
      </w:r>
      <w:r w:rsidR="00D61E71" w:rsidRPr="00901A41">
        <w:rPr>
          <w:szCs w:val="24"/>
        </w:rPr>
        <w:t xml:space="preserve"> respondent’s claims but no satisfactory response was received</w:t>
      </w:r>
      <w:r w:rsidR="00BF23E7">
        <w:rPr>
          <w:szCs w:val="24"/>
        </w:rPr>
        <w:t>. No</w:t>
      </w:r>
      <w:r w:rsidR="00D61E71" w:rsidRPr="00901A41">
        <w:rPr>
          <w:szCs w:val="24"/>
        </w:rPr>
        <w:t xml:space="preserve"> attempt was made to secure an affidavit from Messrs Sengweni Le</w:t>
      </w:r>
      <w:r w:rsidR="00901A41" w:rsidRPr="00901A41">
        <w:rPr>
          <w:szCs w:val="24"/>
        </w:rPr>
        <w:t>ga</w:t>
      </w:r>
      <w:r w:rsidR="00D61E71" w:rsidRPr="00901A41">
        <w:rPr>
          <w:szCs w:val="24"/>
        </w:rPr>
        <w:t>l Practitioners.</w:t>
      </w:r>
    </w:p>
    <w:p w:rsidR="00D61E71" w:rsidRPr="00901A41" w:rsidRDefault="00D61E71" w:rsidP="00901A41">
      <w:pPr>
        <w:jc w:val="both"/>
        <w:rPr>
          <w:szCs w:val="24"/>
        </w:rPr>
      </w:pPr>
      <w:r w:rsidRPr="00901A41">
        <w:rPr>
          <w:szCs w:val="24"/>
        </w:rPr>
        <w:tab/>
        <w:t>This court has</w:t>
      </w:r>
      <w:r w:rsidR="00E73046">
        <w:rPr>
          <w:szCs w:val="24"/>
        </w:rPr>
        <w:t>,</w:t>
      </w:r>
      <w:r w:rsidRPr="00901A41">
        <w:rPr>
          <w:szCs w:val="24"/>
        </w:rPr>
        <w:t xml:space="preserve"> in a string of cases</w:t>
      </w:r>
      <w:r w:rsidR="00E73046">
        <w:rPr>
          <w:szCs w:val="24"/>
        </w:rPr>
        <w:t>,</w:t>
      </w:r>
      <w:r w:rsidRPr="00901A41">
        <w:rPr>
          <w:szCs w:val="24"/>
        </w:rPr>
        <w:t xml:space="preserve"> established what constitutes urgency.  See </w:t>
      </w:r>
      <w:r w:rsidRPr="00901A41">
        <w:rPr>
          <w:i/>
          <w:szCs w:val="24"/>
        </w:rPr>
        <w:t>Kuvarega</w:t>
      </w:r>
      <w:r w:rsidRPr="00901A41">
        <w:rPr>
          <w:szCs w:val="24"/>
        </w:rPr>
        <w:t xml:space="preserve"> v </w:t>
      </w:r>
      <w:r w:rsidRPr="00901A41">
        <w:rPr>
          <w:i/>
          <w:szCs w:val="24"/>
        </w:rPr>
        <w:t>Registrar-General &amp; Another</w:t>
      </w:r>
      <w:r w:rsidRPr="00901A41">
        <w:rPr>
          <w:szCs w:val="24"/>
        </w:rPr>
        <w:t xml:space="preserve"> 1998 (1) ZLR 188 (HC)</w:t>
      </w:r>
    </w:p>
    <w:p w:rsidR="00D61E71" w:rsidRPr="00901A41" w:rsidRDefault="00D61E71" w:rsidP="00901A41">
      <w:pPr>
        <w:jc w:val="both"/>
        <w:rPr>
          <w:szCs w:val="24"/>
        </w:rPr>
      </w:pPr>
      <w:r w:rsidRPr="00901A41">
        <w:rPr>
          <w:szCs w:val="24"/>
        </w:rPr>
        <w:lastRenderedPageBreak/>
        <w:tab/>
        <w:t>The need to act arose on the 7</w:t>
      </w:r>
      <w:r w:rsidRPr="00901A41">
        <w:rPr>
          <w:szCs w:val="24"/>
          <w:vertAlign w:val="superscript"/>
        </w:rPr>
        <w:t>th</w:t>
      </w:r>
      <w:r w:rsidRPr="00901A41">
        <w:rPr>
          <w:szCs w:val="24"/>
        </w:rPr>
        <w:t xml:space="preserve"> </w:t>
      </w:r>
      <w:r w:rsidR="00901A41" w:rsidRPr="00901A41">
        <w:rPr>
          <w:szCs w:val="24"/>
        </w:rPr>
        <w:t>M</w:t>
      </w:r>
      <w:r w:rsidR="00101E8F">
        <w:rPr>
          <w:szCs w:val="24"/>
        </w:rPr>
        <w:t>arch 2019</w:t>
      </w:r>
      <w:r w:rsidRPr="00901A41">
        <w:rPr>
          <w:szCs w:val="24"/>
        </w:rPr>
        <w:t xml:space="preserve"> when applicant became aware that judgment had been obtained against it.  The applicant did not act immediately. In any event, the applicant swears under oath that in August 2018 the applicant became aware</w:t>
      </w:r>
      <w:r w:rsidR="00901A41" w:rsidRPr="00901A41">
        <w:rPr>
          <w:szCs w:val="24"/>
        </w:rPr>
        <w:t xml:space="preserve"> that an adverse ru</w:t>
      </w:r>
      <w:r w:rsidR="00E36E1D" w:rsidRPr="00901A41">
        <w:rPr>
          <w:szCs w:val="24"/>
        </w:rPr>
        <w:t>ling had been made against it.  It matters not that the erstwhile legal practitioner may have failed to take action at t</w:t>
      </w:r>
      <w:r w:rsidR="008455B1">
        <w:rPr>
          <w:szCs w:val="24"/>
        </w:rPr>
        <w:t>he relevant</w:t>
      </w:r>
      <w:r w:rsidR="00E36E1D" w:rsidRPr="00901A41">
        <w:rPr>
          <w:szCs w:val="24"/>
        </w:rPr>
        <w:t xml:space="preserve"> time.  Applicant was expected to follow up on his case once he became aware that his interests were under threat.  It seems to me that very often litigants lay the blame on the legal practitioners for failing to act timeously.  It is not adequate for the applicant to assert that he discovered that his </w:t>
      </w:r>
      <w:r w:rsidR="00901A41" w:rsidRPr="00901A41">
        <w:rPr>
          <w:szCs w:val="24"/>
        </w:rPr>
        <w:t>le</w:t>
      </w:r>
      <w:r w:rsidR="00E36E1D" w:rsidRPr="00901A41">
        <w:rPr>
          <w:szCs w:val="24"/>
        </w:rPr>
        <w:t>gal practitioner failed to act.  The applicant had a duty to ensure that everyt</w:t>
      </w:r>
      <w:r w:rsidR="00901A41" w:rsidRPr="00901A41">
        <w:rPr>
          <w:szCs w:val="24"/>
        </w:rPr>
        <w:t>h</w:t>
      </w:r>
      <w:r w:rsidR="00E36E1D" w:rsidRPr="00901A41">
        <w:rPr>
          <w:szCs w:val="24"/>
        </w:rPr>
        <w:t>ing possible was</w:t>
      </w:r>
      <w:r w:rsidR="003A4B55">
        <w:rPr>
          <w:szCs w:val="24"/>
        </w:rPr>
        <w:t xml:space="preserve"> done to ensure that its property was</w:t>
      </w:r>
      <w:r w:rsidR="004C09D0" w:rsidRPr="00901A41">
        <w:rPr>
          <w:szCs w:val="24"/>
        </w:rPr>
        <w:t xml:space="preserve"> not placed under attachment.  As it turns out in this case, in M</w:t>
      </w:r>
      <w:r w:rsidR="00901A41" w:rsidRPr="00901A41">
        <w:rPr>
          <w:szCs w:val="24"/>
        </w:rPr>
        <w:t>ar</w:t>
      </w:r>
      <w:r w:rsidR="004C09D0" w:rsidRPr="00901A41">
        <w:rPr>
          <w:szCs w:val="24"/>
        </w:rPr>
        <w:t xml:space="preserve">ch 2018, </w:t>
      </w:r>
      <w:r w:rsidR="00901A41" w:rsidRPr="00901A41">
        <w:rPr>
          <w:szCs w:val="24"/>
        </w:rPr>
        <w:t xml:space="preserve">the applicant had the benefit of </w:t>
      </w:r>
      <w:r w:rsidR="004C09D0" w:rsidRPr="00901A41">
        <w:rPr>
          <w:szCs w:val="24"/>
        </w:rPr>
        <w:t>the services of its current lawyers</w:t>
      </w:r>
      <w:r w:rsidR="00901A41" w:rsidRPr="00901A41">
        <w:rPr>
          <w:szCs w:val="24"/>
        </w:rPr>
        <w:t>.</w:t>
      </w:r>
      <w:r w:rsidR="004C09D0" w:rsidRPr="00901A41">
        <w:rPr>
          <w:szCs w:val="24"/>
        </w:rPr>
        <w:t xml:space="preserve">  What stands out clearly is that this application was launched in response to the attachment of the trailer.  Applicant confirms that on t</w:t>
      </w:r>
      <w:r w:rsidR="00901A41" w:rsidRPr="00901A41">
        <w:rPr>
          <w:szCs w:val="24"/>
        </w:rPr>
        <w:t>h</w:t>
      </w:r>
      <w:r w:rsidR="004C09D0" w:rsidRPr="00901A41">
        <w:rPr>
          <w:szCs w:val="24"/>
        </w:rPr>
        <w:t>e 7</w:t>
      </w:r>
      <w:r w:rsidR="004C09D0" w:rsidRPr="00901A41">
        <w:rPr>
          <w:szCs w:val="24"/>
          <w:vertAlign w:val="superscript"/>
        </w:rPr>
        <w:t>t</w:t>
      </w:r>
      <w:r w:rsidR="00901A41" w:rsidRPr="00901A41">
        <w:rPr>
          <w:szCs w:val="24"/>
          <w:vertAlign w:val="superscript"/>
        </w:rPr>
        <w:t>h</w:t>
      </w:r>
      <w:r w:rsidR="004C09D0" w:rsidRPr="00901A41">
        <w:rPr>
          <w:szCs w:val="24"/>
        </w:rPr>
        <w:t xml:space="preserve"> of </w:t>
      </w:r>
      <w:r w:rsidR="00901A41" w:rsidRPr="00901A41">
        <w:rPr>
          <w:szCs w:val="24"/>
        </w:rPr>
        <w:t>M</w:t>
      </w:r>
      <w:r w:rsidR="004C09D0" w:rsidRPr="00901A41">
        <w:rPr>
          <w:szCs w:val="24"/>
        </w:rPr>
        <w:t>arch 2018, it had knowledge of the attachment.  No steps were taken immediately.  The applicant</w:t>
      </w:r>
      <w:r w:rsidR="00D5049D">
        <w:rPr>
          <w:szCs w:val="24"/>
        </w:rPr>
        <w:t>, in my view,</w:t>
      </w:r>
      <w:r w:rsidR="004C09D0" w:rsidRPr="00901A41">
        <w:rPr>
          <w:szCs w:val="24"/>
        </w:rPr>
        <w:t xml:space="preserve"> adopted a cav</w:t>
      </w:r>
      <w:r w:rsidR="00901A41" w:rsidRPr="00901A41">
        <w:rPr>
          <w:szCs w:val="24"/>
        </w:rPr>
        <w:t>a</w:t>
      </w:r>
      <w:r w:rsidR="004C09D0" w:rsidRPr="00901A41">
        <w:rPr>
          <w:szCs w:val="24"/>
        </w:rPr>
        <w:t>li</w:t>
      </w:r>
      <w:r w:rsidR="00901A41" w:rsidRPr="00901A41">
        <w:rPr>
          <w:szCs w:val="24"/>
        </w:rPr>
        <w:t>e</w:t>
      </w:r>
      <w:r w:rsidR="004C09D0" w:rsidRPr="00901A41">
        <w:rPr>
          <w:szCs w:val="24"/>
        </w:rPr>
        <w:t xml:space="preserve">r attitude and did not act timeously.  This is not the urgency contemplated by the Rules.  See </w:t>
      </w:r>
      <w:r w:rsidR="004C09D0" w:rsidRPr="00901A41">
        <w:rPr>
          <w:i/>
          <w:szCs w:val="24"/>
        </w:rPr>
        <w:t>General Transport &amp; Engineering (Pvt) Ltd</w:t>
      </w:r>
      <w:r w:rsidR="004C09D0" w:rsidRPr="00901A41">
        <w:rPr>
          <w:szCs w:val="24"/>
        </w:rPr>
        <w:t xml:space="preserve"> v </w:t>
      </w:r>
      <w:r w:rsidR="004C09D0" w:rsidRPr="00901A41">
        <w:rPr>
          <w:i/>
          <w:szCs w:val="24"/>
        </w:rPr>
        <w:t>Zimbabwe Corp (Pvt) Ltd</w:t>
      </w:r>
      <w:r w:rsidR="004C09D0" w:rsidRPr="00901A41">
        <w:rPr>
          <w:szCs w:val="24"/>
        </w:rPr>
        <w:t xml:space="preserve"> 1998 (2) ZLR 301 (HC); </w:t>
      </w:r>
      <w:r w:rsidR="00473223">
        <w:rPr>
          <w:i/>
          <w:szCs w:val="24"/>
        </w:rPr>
        <w:t xml:space="preserve">Caps </w:t>
      </w:r>
      <w:r w:rsidR="004A3495">
        <w:rPr>
          <w:i/>
          <w:szCs w:val="24"/>
        </w:rPr>
        <w:t>United Football Club (Pvt) Ltd v Caps Holding Ltd &amp; Others SC 11/09</w:t>
      </w:r>
    </w:p>
    <w:p w:rsidR="004C09D0" w:rsidRDefault="00B901D9" w:rsidP="00901A41">
      <w:pPr>
        <w:jc w:val="both"/>
        <w:rPr>
          <w:szCs w:val="24"/>
        </w:rPr>
      </w:pPr>
      <w:r>
        <w:rPr>
          <w:szCs w:val="24"/>
        </w:rPr>
        <w:tab/>
        <w:t>In the result, the</w:t>
      </w:r>
      <w:r w:rsidR="004C09D0" w:rsidRPr="00901A41">
        <w:rPr>
          <w:szCs w:val="24"/>
        </w:rPr>
        <w:t xml:space="preserve"> point </w:t>
      </w:r>
      <w:r w:rsidR="004C09D0" w:rsidRPr="00901A41">
        <w:rPr>
          <w:i/>
          <w:szCs w:val="24"/>
        </w:rPr>
        <w:t>in limine</w:t>
      </w:r>
      <w:r w:rsidR="00341127">
        <w:rPr>
          <w:szCs w:val="24"/>
        </w:rPr>
        <w:t>,</w:t>
      </w:r>
      <w:r w:rsidR="00F02E88">
        <w:rPr>
          <w:szCs w:val="24"/>
        </w:rPr>
        <w:t xml:space="preserve"> is upheld,</w:t>
      </w:r>
      <w:r w:rsidR="00341127">
        <w:rPr>
          <w:szCs w:val="24"/>
        </w:rPr>
        <w:t xml:space="preserve"> the application</w:t>
      </w:r>
      <w:r w:rsidR="004C09D0" w:rsidRPr="00901A41">
        <w:rPr>
          <w:szCs w:val="24"/>
        </w:rPr>
        <w:t xml:space="preserve"> is deemed no</w:t>
      </w:r>
      <w:r w:rsidR="00341127">
        <w:rPr>
          <w:szCs w:val="24"/>
        </w:rPr>
        <w:t>t</w:t>
      </w:r>
      <w:r w:rsidR="004C09D0" w:rsidRPr="00901A41">
        <w:rPr>
          <w:szCs w:val="24"/>
        </w:rPr>
        <w:t xml:space="preserve"> urgent.</w:t>
      </w:r>
    </w:p>
    <w:p w:rsidR="004C09D0" w:rsidRDefault="00901A41" w:rsidP="00026DFE">
      <w:pPr>
        <w:ind w:firstLine="720"/>
        <w:jc w:val="both"/>
        <w:rPr>
          <w:szCs w:val="24"/>
        </w:rPr>
      </w:pPr>
      <w:r w:rsidRPr="00901A41">
        <w:rPr>
          <w:szCs w:val="24"/>
        </w:rPr>
        <w:t xml:space="preserve">Accordingly, </w:t>
      </w:r>
      <w:r w:rsidR="00F02E88">
        <w:rPr>
          <w:szCs w:val="24"/>
        </w:rPr>
        <w:t>the following is made;</w:t>
      </w:r>
    </w:p>
    <w:p w:rsidR="00F02E88" w:rsidRDefault="00F02E88" w:rsidP="00F02E88">
      <w:pPr>
        <w:pStyle w:val="ListParagraph"/>
        <w:numPr>
          <w:ilvl w:val="0"/>
          <w:numId w:val="2"/>
        </w:numPr>
        <w:jc w:val="both"/>
        <w:rPr>
          <w:szCs w:val="24"/>
        </w:rPr>
      </w:pPr>
      <w:r>
        <w:rPr>
          <w:szCs w:val="24"/>
        </w:rPr>
        <w:t>The matter is removed from the roll of urgent maters</w:t>
      </w:r>
      <w:r w:rsidR="003B56FD">
        <w:rPr>
          <w:szCs w:val="24"/>
        </w:rPr>
        <w:t>.</w:t>
      </w:r>
    </w:p>
    <w:p w:rsidR="00F02E88" w:rsidRPr="00F02E88" w:rsidRDefault="00F02E88" w:rsidP="00F02E88">
      <w:pPr>
        <w:pStyle w:val="ListParagraph"/>
        <w:numPr>
          <w:ilvl w:val="0"/>
          <w:numId w:val="2"/>
        </w:numPr>
        <w:jc w:val="both"/>
        <w:rPr>
          <w:szCs w:val="24"/>
        </w:rPr>
      </w:pPr>
      <w:r>
        <w:rPr>
          <w:szCs w:val="24"/>
        </w:rPr>
        <w:t>The applicant shall bear the costs of suit.</w:t>
      </w:r>
    </w:p>
    <w:p w:rsidR="004C09D0" w:rsidRDefault="004C09D0" w:rsidP="00901A41">
      <w:pPr>
        <w:jc w:val="both"/>
        <w:rPr>
          <w:szCs w:val="24"/>
        </w:rPr>
      </w:pPr>
    </w:p>
    <w:p w:rsidR="00026DFE" w:rsidRPr="00901A41" w:rsidRDefault="00026DFE" w:rsidP="00901A41">
      <w:pPr>
        <w:jc w:val="both"/>
        <w:rPr>
          <w:szCs w:val="24"/>
        </w:rPr>
      </w:pPr>
    </w:p>
    <w:p w:rsidR="004C09D0" w:rsidRPr="00901A41" w:rsidRDefault="004C09D0" w:rsidP="00901A41">
      <w:pPr>
        <w:pStyle w:val="NoSpacing"/>
        <w:jc w:val="both"/>
        <w:rPr>
          <w:szCs w:val="24"/>
        </w:rPr>
      </w:pPr>
      <w:r w:rsidRPr="00901A41">
        <w:rPr>
          <w:i/>
          <w:szCs w:val="24"/>
        </w:rPr>
        <w:t>Messrs Webb, Low &amp; Barry</w:t>
      </w:r>
      <w:r w:rsidRPr="00901A41">
        <w:rPr>
          <w:szCs w:val="24"/>
        </w:rPr>
        <w:t>, applicant’s legal practitioners</w:t>
      </w:r>
    </w:p>
    <w:p w:rsidR="004C09D0" w:rsidRPr="00901A41" w:rsidRDefault="004C09D0" w:rsidP="00901A41">
      <w:pPr>
        <w:pStyle w:val="NoSpacing"/>
        <w:jc w:val="both"/>
        <w:rPr>
          <w:szCs w:val="24"/>
        </w:rPr>
      </w:pPr>
      <w:r w:rsidRPr="00901A41">
        <w:rPr>
          <w:i/>
          <w:szCs w:val="24"/>
        </w:rPr>
        <w:t>Calderwood, Bryce Hendrie &amp; Partners</w:t>
      </w:r>
      <w:r w:rsidRPr="00901A41">
        <w:rPr>
          <w:szCs w:val="24"/>
        </w:rPr>
        <w:t>, 1</w:t>
      </w:r>
      <w:r w:rsidRPr="00901A41">
        <w:rPr>
          <w:szCs w:val="24"/>
          <w:vertAlign w:val="superscript"/>
        </w:rPr>
        <w:t>st</w:t>
      </w:r>
      <w:r w:rsidRPr="00901A41">
        <w:rPr>
          <w:szCs w:val="24"/>
        </w:rPr>
        <w:t xml:space="preserve"> respondent’s legal practitioners</w:t>
      </w:r>
    </w:p>
    <w:p w:rsidR="004C09D0" w:rsidRPr="00901A41" w:rsidRDefault="004C09D0" w:rsidP="00901A41">
      <w:pPr>
        <w:pStyle w:val="NoSpacing"/>
        <w:jc w:val="both"/>
        <w:rPr>
          <w:szCs w:val="24"/>
        </w:rPr>
      </w:pPr>
    </w:p>
    <w:sectPr w:rsidR="004C09D0" w:rsidRPr="00901A4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9A8" w:rsidRDefault="00D479A8" w:rsidP="00901A41">
      <w:pPr>
        <w:spacing w:before="0" w:after="0" w:line="240" w:lineRule="auto"/>
      </w:pPr>
      <w:r>
        <w:separator/>
      </w:r>
    </w:p>
  </w:endnote>
  <w:endnote w:type="continuationSeparator" w:id="1">
    <w:p w:rsidR="00D479A8" w:rsidRDefault="00D479A8" w:rsidP="00901A4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9A8" w:rsidRDefault="00D479A8" w:rsidP="00901A41">
      <w:pPr>
        <w:spacing w:before="0" w:after="0" w:line="240" w:lineRule="auto"/>
      </w:pPr>
      <w:r>
        <w:separator/>
      </w:r>
    </w:p>
  </w:footnote>
  <w:footnote w:type="continuationSeparator" w:id="1">
    <w:p w:rsidR="00D479A8" w:rsidRDefault="00D479A8" w:rsidP="00901A4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9221"/>
      <w:docPartObj>
        <w:docPartGallery w:val="Page Numbers (Top of Page)"/>
        <w:docPartUnique/>
      </w:docPartObj>
    </w:sdtPr>
    <w:sdtContent>
      <w:p w:rsidR="00901A41" w:rsidRDefault="00A153AA">
        <w:pPr>
          <w:pStyle w:val="Header"/>
          <w:jc w:val="right"/>
        </w:pPr>
        <w:fldSimple w:instr=" PAGE   \* MERGEFORMAT ">
          <w:r w:rsidR="005D465D">
            <w:rPr>
              <w:noProof/>
            </w:rPr>
            <w:t>1</w:t>
          </w:r>
        </w:fldSimple>
      </w:p>
      <w:p w:rsidR="00901A41" w:rsidRDefault="00901A41" w:rsidP="00901A41">
        <w:pPr>
          <w:pStyle w:val="NoSpacing"/>
          <w:ind w:left="7920"/>
        </w:pPr>
        <w:r>
          <w:t xml:space="preserve">       HB 80/19</w:t>
        </w:r>
      </w:p>
      <w:p w:rsidR="00901A41" w:rsidRDefault="00901A41" w:rsidP="00901A41">
        <w:pPr>
          <w:pStyle w:val="NoSpacing"/>
          <w:ind w:left="7920"/>
        </w:pPr>
        <w:r>
          <w:t xml:space="preserve">     HC 854/19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E5FF7"/>
    <w:multiLevelType w:val="hybridMultilevel"/>
    <w:tmpl w:val="B71665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391DB5"/>
    <w:multiLevelType w:val="hybridMultilevel"/>
    <w:tmpl w:val="C3508EC6"/>
    <w:lvl w:ilvl="0" w:tplc="12F22B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1FA7"/>
    <w:rsid w:val="00010940"/>
    <w:rsid w:val="00026DFE"/>
    <w:rsid w:val="00063BEB"/>
    <w:rsid w:val="00101E8F"/>
    <w:rsid w:val="001D126B"/>
    <w:rsid w:val="0024223A"/>
    <w:rsid w:val="002C7F8A"/>
    <w:rsid w:val="00341127"/>
    <w:rsid w:val="003A3365"/>
    <w:rsid w:val="003A4B55"/>
    <w:rsid w:val="003B56FD"/>
    <w:rsid w:val="003E5BAA"/>
    <w:rsid w:val="00406974"/>
    <w:rsid w:val="00447ED9"/>
    <w:rsid w:val="00473210"/>
    <w:rsid w:val="00473223"/>
    <w:rsid w:val="00477B02"/>
    <w:rsid w:val="00494BDD"/>
    <w:rsid w:val="004A3495"/>
    <w:rsid w:val="004C09D0"/>
    <w:rsid w:val="004E7104"/>
    <w:rsid w:val="0054317D"/>
    <w:rsid w:val="00544C9E"/>
    <w:rsid w:val="0056026A"/>
    <w:rsid w:val="0056473F"/>
    <w:rsid w:val="00592DBA"/>
    <w:rsid w:val="005D465D"/>
    <w:rsid w:val="005F3F22"/>
    <w:rsid w:val="00625920"/>
    <w:rsid w:val="00685B21"/>
    <w:rsid w:val="0068662E"/>
    <w:rsid w:val="006A03C9"/>
    <w:rsid w:val="006C1FA7"/>
    <w:rsid w:val="006E6EAB"/>
    <w:rsid w:val="00701C30"/>
    <w:rsid w:val="007053CF"/>
    <w:rsid w:val="00711FB6"/>
    <w:rsid w:val="007B49A6"/>
    <w:rsid w:val="007D0B26"/>
    <w:rsid w:val="007D2790"/>
    <w:rsid w:val="008455B1"/>
    <w:rsid w:val="008A06ED"/>
    <w:rsid w:val="008A7672"/>
    <w:rsid w:val="008C3209"/>
    <w:rsid w:val="008F4D9C"/>
    <w:rsid w:val="00901A41"/>
    <w:rsid w:val="0095032C"/>
    <w:rsid w:val="0095485B"/>
    <w:rsid w:val="009862F8"/>
    <w:rsid w:val="009E3E18"/>
    <w:rsid w:val="009E5C1A"/>
    <w:rsid w:val="009F0EDD"/>
    <w:rsid w:val="00A153AA"/>
    <w:rsid w:val="00A174B0"/>
    <w:rsid w:val="00A50BC8"/>
    <w:rsid w:val="00B901D9"/>
    <w:rsid w:val="00BC6D39"/>
    <w:rsid w:val="00BF23E7"/>
    <w:rsid w:val="00C01B4B"/>
    <w:rsid w:val="00C1143E"/>
    <w:rsid w:val="00C26CD6"/>
    <w:rsid w:val="00C61900"/>
    <w:rsid w:val="00CB7BBE"/>
    <w:rsid w:val="00CF041C"/>
    <w:rsid w:val="00D20B4C"/>
    <w:rsid w:val="00D479A8"/>
    <w:rsid w:val="00D5049D"/>
    <w:rsid w:val="00D61E71"/>
    <w:rsid w:val="00DE6494"/>
    <w:rsid w:val="00E044A3"/>
    <w:rsid w:val="00E10C27"/>
    <w:rsid w:val="00E36E1D"/>
    <w:rsid w:val="00E73046"/>
    <w:rsid w:val="00ED49DB"/>
    <w:rsid w:val="00F02E88"/>
    <w:rsid w:val="00F14EA9"/>
    <w:rsid w:val="00F15758"/>
    <w:rsid w:val="00FA3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FA3636"/>
    <w:pPr>
      <w:ind w:left="720"/>
      <w:contextualSpacing/>
    </w:pPr>
  </w:style>
  <w:style w:type="paragraph" w:styleId="Header">
    <w:name w:val="header"/>
    <w:basedOn w:val="Normal"/>
    <w:link w:val="HeaderChar"/>
    <w:uiPriority w:val="99"/>
    <w:unhideWhenUsed/>
    <w:rsid w:val="00901A4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1A41"/>
    <w:rPr>
      <w:rFonts w:ascii="Times New Roman" w:hAnsi="Times New Roman"/>
      <w:sz w:val="24"/>
    </w:rPr>
  </w:style>
  <w:style w:type="paragraph" w:styleId="Footer">
    <w:name w:val="footer"/>
    <w:basedOn w:val="Normal"/>
    <w:link w:val="FooterChar"/>
    <w:uiPriority w:val="99"/>
    <w:semiHidden/>
    <w:unhideWhenUsed/>
    <w:rsid w:val="00901A4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01A4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2019-05-30T12:35:00Z</cp:lastPrinted>
  <dcterms:created xsi:type="dcterms:W3CDTF">2019-05-24T08:45:00Z</dcterms:created>
  <dcterms:modified xsi:type="dcterms:W3CDTF">2019-05-30T12:37:00Z</dcterms:modified>
</cp:coreProperties>
</file>