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D0BDD" w14:textId="77777777" w:rsidR="00DF63D1" w:rsidRDefault="009D0B91" w:rsidP="00943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(37)</w:t>
      </w:r>
      <w:r w:rsidR="00DF63D1" w:rsidRPr="00943504">
        <w:rPr>
          <w:rFonts w:ascii="Times New Roman" w:hAnsi="Times New Roman" w:cs="Times New Roman"/>
          <w:sz w:val="24"/>
          <w:szCs w:val="24"/>
        </w:rPr>
        <w:tab/>
        <w:t xml:space="preserve">      </w:t>
      </w:r>
    </w:p>
    <w:p w14:paraId="34BCBFAE" w14:textId="77777777" w:rsidR="00943504" w:rsidRDefault="00943504" w:rsidP="00943504">
      <w:pPr>
        <w:spacing w:after="0"/>
        <w:jc w:val="both"/>
        <w:rPr>
          <w:rFonts w:ascii="Times New Roman" w:hAnsi="Times New Roman" w:cs="Times New Roman"/>
          <w:sz w:val="24"/>
          <w:szCs w:val="24"/>
        </w:rPr>
      </w:pPr>
    </w:p>
    <w:p w14:paraId="7DFB1DE8" w14:textId="77777777" w:rsidR="00A12B27" w:rsidRPr="00943504" w:rsidRDefault="00A12B27" w:rsidP="0001528C">
      <w:pPr>
        <w:spacing w:after="0" w:line="240" w:lineRule="auto"/>
        <w:jc w:val="center"/>
        <w:rPr>
          <w:rFonts w:ascii="Times New Roman" w:hAnsi="Times New Roman" w:cs="Times New Roman"/>
          <w:b/>
          <w:sz w:val="24"/>
          <w:szCs w:val="24"/>
        </w:rPr>
      </w:pPr>
      <w:r w:rsidRPr="00943504">
        <w:rPr>
          <w:rFonts w:ascii="Times New Roman" w:hAnsi="Times New Roman" w:cs="Times New Roman"/>
          <w:b/>
          <w:sz w:val="24"/>
          <w:szCs w:val="24"/>
        </w:rPr>
        <w:t>YSMIN</w:t>
      </w:r>
      <w:r w:rsidR="007E2ACF" w:rsidRPr="00943504">
        <w:rPr>
          <w:rFonts w:ascii="Times New Roman" w:hAnsi="Times New Roman" w:cs="Times New Roman"/>
          <w:b/>
          <w:sz w:val="24"/>
          <w:szCs w:val="24"/>
        </w:rPr>
        <w:t xml:space="preserve">     </w:t>
      </w:r>
      <w:r w:rsidRPr="00943504">
        <w:rPr>
          <w:rFonts w:ascii="Times New Roman" w:hAnsi="Times New Roman" w:cs="Times New Roman"/>
          <w:b/>
          <w:sz w:val="24"/>
          <w:szCs w:val="24"/>
        </w:rPr>
        <w:t>TACKLAH</w:t>
      </w:r>
      <w:r w:rsidR="00BC33EA" w:rsidRPr="00943504">
        <w:rPr>
          <w:rFonts w:ascii="Times New Roman" w:hAnsi="Times New Roman" w:cs="Times New Roman"/>
          <w:b/>
          <w:sz w:val="24"/>
          <w:szCs w:val="24"/>
        </w:rPr>
        <w:t xml:space="preserve">     </w:t>
      </w:r>
      <w:r w:rsidRPr="00943504">
        <w:rPr>
          <w:rFonts w:ascii="Times New Roman" w:hAnsi="Times New Roman" w:cs="Times New Roman"/>
          <w:b/>
          <w:sz w:val="24"/>
          <w:szCs w:val="24"/>
        </w:rPr>
        <w:t xml:space="preserve"> MAHOMMED</w:t>
      </w:r>
    </w:p>
    <w:p w14:paraId="25B7392E" w14:textId="77777777" w:rsidR="00A12B27" w:rsidRPr="00943504" w:rsidRDefault="00355D1D" w:rsidP="0001528C">
      <w:pPr>
        <w:spacing w:after="0" w:line="240" w:lineRule="auto"/>
        <w:jc w:val="center"/>
        <w:rPr>
          <w:rFonts w:ascii="Times New Roman" w:hAnsi="Times New Roman" w:cs="Times New Roman"/>
          <w:b/>
          <w:sz w:val="24"/>
          <w:szCs w:val="24"/>
        </w:rPr>
      </w:pPr>
      <w:r w:rsidRPr="00943504">
        <w:rPr>
          <w:rFonts w:ascii="Times New Roman" w:hAnsi="Times New Roman" w:cs="Times New Roman"/>
          <w:b/>
          <w:sz w:val="24"/>
          <w:szCs w:val="24"/>
        </w:rPr>
        <w:t>v</w:t>
      </w:r>
    </w:p>
    <w:p w14:paraId="011962C5" w14:textId="77777777" w:rsidR="00A12B27" w:rsidRPr="00943504" w:rsidRDefault="00A12B27" w:rsidP="0001528C">
      <w:pPr>
        <w:spacing w:after="0" w:line="240" w:lineRule="auto"/>
        <w:jc w:val="center"/>
        <w:rPr>
          <w:rFonts w:ascii="Times New Roman" w:hAnsi="Times New Roman" w:cs="Times New Roman"/>
          <w:b/>
          <w:sz w:val="24"/>
          <w:szCs w:val="24"/>
        </w:rPr>
      </w:pPr>
      <w:r w:rsidRPr="00943504">
        <w:rPr>
          <w:rFonts w:ascii="Times New Roman" w:hAnsi="Times New Roman" w:cs="Times New Roman"/>
          <w:b/>
          <w:sz w:val="24"/>
          <w:szCs w:val="24"/>
        </w:rPr>
        <w:t>TAWURAYI</w:t>
      </w:r>
      <w:r w:rsidR="00BC33EA" w:rsidRPr="00943504">
        <w:rPr>
          <w:rFonts w:ascii="Times New Roman" w:hAnsi="Times New Roman" w:cs="Times New Roman"/>
          <w:b/>
          <w:sz w:val="24"/>
          <w:szCs w:val="24"/>
        </w:rPr>
        <w:t xml:space="preserve">     </w:t>
      </w:r>
      <w:r w:rsidRPr="00943504">
        <w:rPr>
          <w:rFonts w:ascii="Times New Roman" w:hAnsi="Times New Roman" w:cs="Times New Roman"/>
          <w:b/>
          <w:sz w:val="24"/>
          <w:szCs w:val="24"/>
        </w:rPr>
        <w:t xml:space="preserve"> MARVIN</w:t>
      </w:r>
      <w:r w:rsidR="00BC33EA" w:rsidRPr="00943504">
        <w:rPr>
          <w:rFonts w:ascii="Times New Roman" w:hAnsi="Times New Roman" w:cs="Times New Roman"/>
          <w:b/>
          <w:sz w:val="24"/>
          <w:szCs w:val="24"/>
        </w:rPr>
        <w:t xml:space="preserve">     </w:t>
      </w:r>
      <w:r w:rsidRPr="00943504">
        <w:rPr>
          <w:rFonts w:ascii="Times New Roman" w:hAnsi="Times New Roman" w:cs="Times New Roman"/>
          <w:b/>
          <w:sz w:val="24"/>
          <w:szCs w:val="24"/>
        </w:rPr>
        <w:t xml:space="preserve"> KASHIRI</w:t>
      </w:r>
    </w:p>
    <w:p w14:paraId="45EED6DD" w14:textId="77777777" w:rsidR="00A12B27" w:rsidRPr="00943504" w:rsidRDefault="00A12B27" w:rsidP="0001528C">
      <w:pPr>
        <w:spacing w:after="0" w:line="240" w:lineRule="auto"/>
        <w:jc w:val="center"/>
        <w:rPr>
          <w:rFonts w:ascii="Times New Roman" w:hAnsi="Times New Roman" w:cs="Times New Roman"/>
          <w:b/>
          <w:sz w:val="24"/>
          <w:szCs w:val="24"/>
        </w:rPr>
      </w:pPr>
    </w:p>
    <w:p w14:paraId="34638366" w14:textId="77777777" w:rsidR="00943504" w:rsidRPr="00943504" w:rsidRDefault="00943504" w:rsidP="00943504">
      <w:pPr>
        <w:spacing w:after="0"/>
        <w:jc w:val="both"/>
        <w:rPr>
          <w:rFonts w:ascii="Times New Roman" w:hAnsi="Times New Roman" w:cs="Times New Roman"/>
          <w:b/>
          <w:sz w:val="24"/>
          <w:szCs w:val="24"/>
        </w:rPr>
      </w:pPr>
    </w:p>
    <w:p w14:paraId="68B4B971" w14:textId="77777777" w:rsidR="00A12B27" w:rsidRPr="00943504" w:rsidRDefault="00A12B27" w:rsidP="00943504">
      <w:pPr>
        <w:spacing w:after="0"/>
        <w:jc w:val="both"/>
        <w:rPr>
          <w:rFonts w:ascii="Times New Roman" w:hAnsi="Times New Roman" w:cs="Times New Roman"/>
          <w:b/>
          <w:sz w:val="24"/>
          <w:szCs w:val="24"/>
        </w:rPr>
      </w:pPr>
      <w:r w:rsidRPr="00943504">
        <w:rPr>
          <w:rFonts w:ascii="Times New Roman" w:hAnsi="Times New Roman" w:cs="Times New Roman"/>
          <w:b/>
          <w:sz w:val="24"/>
          <w:szCs w:val="24"/>
        </w:rPr>
        <w:t>SUPREME COURT OF ZIMBABWE</w:t>
      </w:r>
    </w:p>
    <w:p w14:paraId="783B18A3" w14:textId="77777777" w:rsidR="00A12B27" w:rsidRPr="00943504" w:rsidRDefault="00A12B27" w:rsidP="00943504">
      <w:pPr>
        <w:spacing w:after="0"/>
        <w:jc w:val="both"/>
        <w:rPr>
          <w:rFonts w:ascii="Times New Roman" w:hAnsi="Times New Roman" w:cs="Times New Roman"/>
          <w:b/>
          <w:sz w:val="24"/>
          <w:szCs w:val="24"/>
        </w:rPr>
      </w:pPr>
      <w:r w:rsidRPr="00943504">
        <w:rPr>
          <w:rFonts w:ascii="Times New Roman" w:hAnsi="Times New Roman" w:cs="Times New Roman"/>
          <w:b/>
          <w:sz w:val="24"/>
          <w:szCs w:val="24"/>
        </w:rPr>
        <w:t>KUDYA AJA</w:t>
      </w:r>
    </w:p>
    <w:p w14:paraId="0E2D1756" w14:textId="77777777" w:rsidR="00A12B27" w:rsidRPr="00943504" w:rsidRDefault="00F563C5" w:rsidP="00943504">
      <w:pPr>
        <w:spacing w:after="0"/>
        <w:jc w:val="both"/>
        <w:rPr>
          <w:rFonts w:ascii="Times New Roman" w:hAnsi="Times New Roman" w:cs="Times New Roman"/>
          <w:b/>
          <w:sz w:val="24"/>
          <w:szCs w:val="24"/>
        </w:rPr>
      </w:pPr>
      <w:r w:rsidRPr="00943504">
        <w:rPr>
          <w:rFonts w:ascii="Times New Roman" w:hAnsi="Times New Roman" w:cs="Times New Roman"/>
          <w:b/>
          <w:sz w:val="24"/>
          <w:szCs w:val="24"/>
        </w:rPr>
        <w:t xml:space="preserve">HARARE </w:t>
      </w:r>
      <w:r w:rsidR="00B62CD6" w:rsidRPr="00943504">
        <w:rPr>
          <w:rFonts w:ascii="Times New Roman" w:hAnsi="Times New Roman" w:cs="Times New Roman"/>
          <w:b/>
          <w:sz w:val="24"/>
          <w:szCs w:val="24"/>
        </w:rPr>
        <w:t>OCTOBER 9</w:t>
      </w:r>
      <w:r w:rsidR="00BC33EA" w:rsidRPr="00943504">
        <w:rPr>
          <w:rFonts w:ascii="Times New Roman" w:hAnsi="Times New Roman" w:cs="Times New Roman"/>
          <w:b/>
          <w:sz w:val="24"/>
          <w:szCs w:val="24"/>
        </w:rPr>
        <w:t xml:space="preserve">, </w:t>
      </w:r>
      <w:r w:rsidR="00A12B27" w:rsidRPr="00943504">
        <w:rPr>
          <w:rFonts w:ascii="Times New Roman" w:hAnsi="Times New Roman" w:cs="Times New Roman"/>
          <w:b/>
          <w:sz w:val="24"/>
          <w:szCs w:val="24"/>
        </w:rPr>
        <w:t xml:space="preserve">2020 </w:t>
      </w:r>
      <w:r w:rsidR="00415FC8" w:rsidRPr="00943504">
        <w:rPr>
          <w:rFonts w:ascii="Times New Roman" w:hAnsi="Times New Roman" w:cs="Times New Roman"/>
          <w:b/>
          <w:sz w:val="24"/>
          <w:szCs w:val="24"/>
        </w:rPr>
        <w:t>&amp; MAY</w:t>
      </w:r>
      <w:r w:rsidR="00943504">
        <w:rPr>
          <w:rFonts w:ascii="Times New Roman" w:hAnsi="Times New Roman" w:cs="Times New Roman"/>
          <w:b/>
          <w:sz w:val="24"/>
          <w:szCs w:val="24"/>
        </w:rPr>
        <w:t xml:space="preserve"> 4</w:t>
      </w:r>
      <w:r w:rsidR="00BC33EA" w:rsidRPr="00943504">
        <w:rPr>
          <w:rFonts w:ascii="Times New Roman" w:hAnsi="Times New Roman" w:cs="Times New Roman"/>
          <w:b/>
          <w:sz w:val="24"/>
          <w:szCs w:val="24"/>
        </w:rPr>
        <w:t>,</w:t>
      </w:r>
      <w:r w:rsidR="00B94277" w:rsidRPr="00943504">
        <w:rPr>
          <w:rFonts w:ascii="Times New Roman" w:hAnsi="Times New Roman" w:cs="Times New Roman"/>
          <w:b/>
          <w:sz w:val="24"/>
          <w:szCs w:val="24"/>
        </w:rPr>
        <w:t xml:space="preserve"> 2021</w:t>
      </w:r>
    </w:p>
    <w:p w14:paraId="72E4E3EE" w14:textId="77777777" w:rsidR="000862D1" w:rsidRDefault="000862D1" w:rsidP="00943504">
      <w:pPr>
        <w:spacing w:after="0"/>
        <w:jc w:val="both"/>
        <w:rPr>
          <w:rFonts w:ascii="Times New Roman" w:hAnsi="Times New Roman" w:cs="Times New Roman"/>
          <w:b/>
          <w:sz w:val="24"/>
          <w:szCs w:val="24"/>
        </w:rPr>
      </w:pPr>
    </w:p>
    <w:p w14:paraId="3FB7129C" w14:textId="77777777" w:rsidR="00943504" w:rsidRPr="00943504" w:rsidRDefault="00943504" w:rsidP="00943504">
      <w:pPr>
        <w:spacing w:after="0"/>
        <w:jc w:val="both"/>
        <w:rPr>
          <w:rFonts w:ascii="Times New Roman" w:hAnsi="Times New Roman" w:cs="Times New Roman"/>
          <w:b/>
          <w:sz w:val="24"/>
          <w:szCs w:val="24"/>
        </w:rPr>
      </w:pPr>
    </w:p>
    <w:p w14:paraId="6D51CEA0" w14:textId="77777777" w:rsidR="00A12B27" w:rsidRPr="00943504" w:rsidRDefault="0077346A" w:rsidP="00943504">
      <w:pPr>
        <w:spacing w:after="0" w:line="480" w:lineRule="auto"/>
        <w:jc w:val="both"/>
        <w:rPr>
          <w:rFonts w:ascii="Times New Roman" w:hAnsi="Times New Roman" w:cs="Times New Roman"/>
          <w:sz w:val="24"/>
          <w:szCs w:val="24"/>
        </w:rPr>
      </w:pPr>
      <w:r w:rsidRPr="00943504">
        <w:rPr>
          <w:rFonts w:ascii="Times New Roman" w:hAnsi="Times New Roman" w:cs="Times New Roman"/>
          <w:i/>
          <w:sz w:val="24"/>
          <w:szCs w:val="24"/>
        </w:rPr>
        <w:t>P</w:t>
      </w:r>
      <w:r w:rsidR="00943504">
        <w:rPr>
          <w:rFonts w:ascii="Times New Roman" w:hAnsi="Times New Roman" w:cs="Times New Roman"/>
          <w:i/>
          <w:sz w:val="24"/>
          <w:szCs w:val="24"/>
        </w:rPr>
        <w:t>.</w:t>
      </w:r>
      <w:r w:rsidRPr="00943504">
        <w:rPr>
          <w:rFonts w:ascii="Times New Roman" w:hAnsi="Times New Roman" w:cs="Times New Roman"/>
          <w:i/>
          <w:sz w:val="24"/>
          <w:szCs w:val="24"/>
        </w:rPr>
        <w:t>C</w:t>
      </w:r>
      <w:r w:rsidR="00943504">
        <w:rPr>
          <w:rFonts w:ascii="Times New Roman" w:hAnsi="Times New Roman" w:cs="Times New Roman"/>
          <w:i/>
          <w:sz w:val="24"/>
          <w:szCs w:val="24"/>
        </w:rPr>
        <w:t>.</w:t>
      </w:r>
      <w:r w:rsidRPr="00943504">
        <w:rPr>
          <w:rFonts w:ascii="Times New Roman" w:hAnsi="Times New Roman" w:cs="Times New Roman"/>
          <w:i/>
          <w:sz w:val="24"/>
          <w:szCs w:val="24"/>
        </w:rPr>
        <w:t xml:space="preserve"> Paul, </w:t>
      </w:r>
      <w:r w:rsidRPr="00943504">
        <w:rPr>
          <w:rFonts w:ascii="Times New Roman" w:hAnsi="Times New Roman" w:cs="Times New Roman"/>
          <w:sz w:val="24"/>
          <w:szCs w:val="24"/>
        </w:rPr>
        <w:t xml:space="preserve">for the applicant </w:t>
      </w:r>
    </w:p>
    <w:p w14:paraId="7670B5CD" w14:textId="77777777" w:rsidR="00A136E7" w:rsidRPr="00943504" w:rsidRDefault="0077346A" w:rsidP="00943504">
      <w:pPr>
        <w:spacing w:after="0"/>
        <w:jc w:val="both"/>
        <w:rPr>
          <w:rFonts w:ascii="Times New Roman" w:hAnsi="Times New Roman" w:cs="Times New Roman"/>
          <w:sz w:val="24"/>
          <w:szCs w:val="24"/>
        </w:rPr>
      </w:pPr>
      <w:r w:rsidRPr="00943504">
        <w:rPr>
          <w:rFonts w:ascii="Times New Roman" w:hAnsi="Times New Roman" w:cs="Times New Roman"/>
          <w:i/>
          <w:sz w:val="24"/>
          <w:szCs w:val="24"/>
        </w:rPr>
        <w:t>G</w:t>
      </w:r>
      <w:r w:rsidR="00943504">
        <w:rPr>
          <w:rFonts w:ascii="Times New Roman" w:hAnsi="Times New Roman" w:cs="Times New Roman"/>
          <w:i/>
          <w:sz w:val="24"/>
          <w:szCs w:val="24"/>
        </w:rPr>
        <w:t>.</w:t>
      </w:r>
      <w:r w:rsidRPr="00943504">
        <w:rPr>
          <w:rFonts w:ascii="Times New Roman" w:hAnsi="Times New Roman" w:cs="Times New Roman"/>
          <w:i/>
          <w:sz w:val="24"/>
          <w:szCs w:val="24"/>
        </w:rPr>
        <w:t xml:space="preserve"> Mhlanga</w:t>
      </w:r>
      <w:r w:rsidRPr="00943504">
        <w:rPr>
          <w:rFonts w:ascii="Times New Roman" w:hAnsi="Times New Roman" w:cs="Times New Roman"/>
          <w:sz w:val="24"/>
          <w:szCs w:val="24"/>
        </w:rPr>
        <w:t xml:space="preserve"> </w:t>
      </w:r>
      <w:r w:rsidR="00D21D93" w:rsidRPr="00943504">
        <w:rPr>
          <w:rFonts w:ascii="Times New Roman" w:hAnsi="Times New Roman" w:cs="Times New Roman"/>
          <w:sz w:val="24"/>
          <w:szCs w:val="24"/>
        </w:rPr>
        <w:t>with</w:t>
      </w:r>
      <w:r w:rsidR="00D21D93" w:rsidRPr="00943504">
        <w:rPr>
          <w:rFonts w:ascii="Times New Roman" w:hAnsi="Times New Roman" w:cs="Times New Roman"/>
          <w:i/>
          <w:sz w:val="24"/>
          <w:szCs w:val="24"/>
        </w:rPr>
        <w:t xml:space="preserve"> T</w:t>
      </w:r>
      <w:r w:rsidR="00943504">
        <w:rPr>
          <w:rFonts w:ascii="Times New Roman" w:hAnsi="Times New Roman" w:cs="Times New Roman"/>
          <w:i/>
          <w:sz w:val="24"/>
          <w:szCs w:val="24"/>
        </w:rPr>
        <w:t>.</w:t>
      </w:r>
      <w:r w:rsidR="00BC33EA" w:rsidRPr="00943504">
        <w:rPr>
          <w:rFonts w:ascii="Times New Roman" w:hAnsi="Times New Roman" w:cs="Times New Roman"/>
          <w:i/>
          <w:sz w:val="24"/>
          <w:szCs w:val="24"/>
        </w:rPr>
        <w:t xml:space="preserve"> </w:t>
      </w:r>
      <w:r w:rsidRPr="00943504">
        <w:rPr>
          <w:rFonts w:ascii="Times New Roman" w:hAnsi="Times New Roman" w:cs="Times New Roman"/>
          <w:i/>
          <w:sz w:val="24"/>
          <w:szCs w:val="24"/>
        </w:rPr>
        <w:t>L</w:t>
      </w:r>
      <w:r w:rsidR="00943504">
        <w:rPr>
          <w:rFonts w:ascii="Times New Roman" w:hAnsi="Times New Roman" w:cs="Times New Roman"/>
          <w:i/>
          <w:sz w:val="24"/>
          <w:szCs w:val="24"/>
        </w:rPr>
        <w:t>.</w:t>
      </w:r>
      <w:r w:rsidRPr="00943504">
        <w:rPr>
          <w:rFonts w:ascii="Times New Roman" w:hAnsi="Times New Roman" w:cs="Times New Roman"/>
          <w:i/>
          <w:sz w:val="24"/>
          <w:szCs w:val="24"/>
        </w:rPr>
        <w:t xml:space="preserve"> Mapuranga</w:t>
      </w:r>
      <w:r w:rsidR="00477415" w:rsidRPr="00943504">
        <w:rPr>
          <w:rFonts w:ascii="Times New Roman" w:hAnsi="Times New Roman" w:cs="Times New Roman"/>
          <w:i/>
          <w:sz w:val="24"/>
          <w:szCs w:val="24"/>
        </w:rPr>
        <w:t>,</w:t>
      </w:r>
      <w:r w:rsidRPr="00943504">
        <w:rPr>
          <w:rFonts w:ascii="Times New Roman" w:hAnsi="Times New Roman" w:cs="Times New Roman"/>
          <w:sz w:val="24"/>
          <w:szCs w:val="24"/>
        </w:rPr>
        <w:t xml:space="preserve"> for the respondent</w:t>
      </w:r>
    </w:p>
    <w:p w14:paraId="5CFB660B" w14:textId="77777777" w:rsidR="000862D1" w:rsidRDefault="000862D1" w:rsidP="00943504">
      <w:pPr>
        <w:spacing w:after="0"/>
        <w:jc w:val="both"/>
        <w:rPr>
          <w:rFonts w:ascii="Times New Roman" w:hAnsi="Times New Roman" w:cs="Times New Roman"/>
          <w:sz w:val="24"/>
          <w:szCs w:val="24"/>
        </w:rPr>
      </w:pPr>
    </w:p>
    <w:p w14:paraId="3386957B" w14:textId="77777777" w:rsidR="00943504" w:rsidRDefault="00943504" w:rsidP="00943504">
      <w:pPr>
        <w:spacing w:after="0"/>
        <w:jc w:val="both"/>
        <w:rPr>
          <w:rFonts w:ascii="Times New Roman" w:hAnsi="Times New Roman" w:cs="Times New Roman"/>
          <w:sz w:val="24"/>
          <w:szCs w:val="24"/>
        </w:rPr>
      </w:pPr>
    </w:p>
    <w:p w14:paraId="11E918BF" w14:textId="77777777" w:rsidR="000862D1" w:rsidRPr="00943504" w:rsidRDefault="000862D1" w:rsidP="00943504">
      <w:pPr>
        <w:spacing w:after="0"/>
        <w:jc w:val="both"/>
        <w:rPr>
          <w:rFonts w:ascii="Times New Roman" w:hAnsi="Times New Roman" w:cs="Times New Roman"/>
          <w:b/>
          <w:sz w:val="24"/>
          <w:szCs w:val="24"/>
        </w:rPr>
      </w:pPr>
      <w:r w:rsidRPr="00943504">
        <w:rPr>
          <w:rFonts w:ascii="Times New Roman" w:hAnsi="Times New Roman" w:cs="Times New Roman"/>
          <w:b/>
          <w:sz w:val="24"/>
          <w:szCs w:val="24"/>
        </w:rPr>
        <w:t>IN CHAMBERS</w:t>
      </w:r>
      <w:r w:rsidRPr="00943504">
        <w:rPr>
          <w:rFonts w:ascii="Times New Roman" w:hAnsi="Times New Roman" w:cs="Times New Roman"/>
          <w:b/>
          <w:sz w:val="24"/>
          <w:szCs w:val="24"/>
        </w:rPr>
        <w:tab/>
      </w:r>
    </w:p>
    <w:p w14:paraId="36672577" w14:textId="77777777" w:rsidR="000862D1" w:rsidRDefault="000862D1" w:rsidP="00943504">
      <w:pPr>
        <w:spacing w:after="0"/>
        <w:jc w:val="both"/>
        <w:rPr>
          <w:rFonts w:ascii="Times New Roman" w:hAnsi="Times New Roman" w:cs="Times New Roman"/>
          <w:b/>
          <w:sz w:val="24"/>
          <w:szCs w:val="24"/>
        </w:rPr>
      </w:pPr>
    </w:p>
    <w:p w14:paraId="2E15040C" w14:textId="77777777" w:rsidR="00943504" w:rsidRDefault="00943504" w:rsidP="00943504">
      <w:pPr>
        <w:spacing w:after="0"/>
        <w:jc w:val="both"/>
        <w:rPr>
          <w:rFonts w:ascii="Times New Roman" w:hAnsi="Times New Roman" w:cs="Times New Roman"/>
          <w:b/>
          <w:sz w:val="24"/>
          <w:szCs w:val="24"/>
        </w:rPr>
      </w:pPr>
    </w:p>
    <w:p w14:paraId="49A751E6" w14:textId="77777777" w:rsidR="00B20D80" w:rsidRPr="00943504" w:rsidRDefault="006D0B1D" w:rsidP="006D0B1D">
      <w:pPr>
        <w:spacing w:after="0" w:line="48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         </w:t>
      </w:r>
      <w:r w:rsidR="00A136E7" w:rsidRPr="00943504">
        <w:rPr>
          <w:rFonts w:ascii="Times New Roman" w:hAnsi="Times New Roman" w:cs="Times New Roman"/>
          <w:b/>
          <w:sz w:val="24"/>
          <w:szCs w:val="24"/>
        </w:rPr>
        <w:t>KUDYA AJA</w:t>
      </w:r>
      <w:r w:rsidR="00A136E7" w:rsidRPr="00943504">
        <w:rPr>
          <w:rFonts w:ascii="Times New Roman" w:hAnsi="Times New Roman" w:cs="Times New Roman"/>
          <w:sz w:val="24"/>
          <w:szCs w:val="24"/>
        </w:rPr>
        <w:t>:</w:t>
      </w:r>
      <w:r w:rsidR="00D21D93" w:rsidRPr="00943504">
        <w:rPr>
          <w:rFonts w:ascii="Times New Roman" w:hAnsi="Times New Roman" w:cs="Times New Roman"/>
          <w:sz w:val="24"/>
          <w:szCs w:val="24"/>
        </w:rPr>
        <w:tab/>
      </w:r>
      <w:r w:rsidR="00A136E7" w:rsidRPr="00943504">
        <w:rPr>
          <w:rFonts w:ascii="Times New Roman" w:hAnsi="Times New Roman" w:cs="Times New Roman"/>
          <w:sz w:val="24"/>
          <w:szCs w:val="24"/>
        </w:rPr>
        <w:t xml:space="preserve"> This is </w:t>
      </w:r>
      <w:r w:rsidR="001405BF" w:rsidRPr="00943504">
        <w:rPr>
          <w:rFonts w:ascii="Times New Roman" w:hAnsi="Times New Roman" w:cs="Times New Roman"/>
          <w:sz w:val="24"/>
          <w:szCs w:val="24"/>
        </w:rPr>
        <w:t xml:space="preserve">a </w:t>
      </w:r>
      <w:r w:rsidR="00A136E7" w:rsidRPr="00943504">
        <w:rPr>
          <w:rFonts w:ascii="Times New Roman" w:hAnsi="Times New Roman" w:cs="Times New Roman"/>
          <w:sz w:val="24"/>
          <w:szCs w:val="24"/>
        </w:rPr>
        <w:t>chamber</w:t>
      </w:r>
      <w:r w:rsidR="001405BF" w:rsidRPr="00943504">
        <w:rPr>
          <w:rFonts w:ascii="Times New Roman" w:hAnsi="Times New Roman" w:cs="Times New Roman"/>
          <w:sz w:val="24"/>
          <w:szCs w:val="24"/>
        </w:rPr>
        <w:t xml:space="preserve"> application for </w:t>
      </w:r>
      <w:r w:rsidR="0015286E" w:rsidRPr="00943504">
        <w:rPr>
          <w:rFonts w:ascii="Times New Roman" w:hAnsi="Times New Roman" w:cs="Times New Roman"/>
          <w:sz w:val="24"/>
          <w:szCs w:val="24"/>
        </w:rPr>
        <w:t xml:space="preserve">condonation of </w:t>
      </w:r>
      <w:r w:rsidR="00A136E7" w:rsidRPr="00943504">
        <w:rPr>
          <w:rFonts w:ascii="Times New Roman" w:hAnsi="Times New Roman" w:cs="Times New Roman"/>
          <w:sz w:val="24"/>
          <w:szCs w:val="24"/>
        </w:rPr>
        <w:t xml:space="preserve">the late filing of an appeal and extension </w:t>
      </w:r>
      <w:r w:rsidR="00CD005A" w:rsidRPr="00943504">
        <w:rPr>
          <w:rFonts w:ascii="Times New Roman" w:hAnsi="Times New Roman" w:cs="Times New Roman"/>
          <w:sz w:val="24"/>
          <w:szCs w:val="24"/>
        </w:rPr>
        <w:t xml:space="preserve">of time within which to </w:t>
      </w:r>
      <w:r w:rsidR="00A136E7" w:rsidRPr="00943504">
        <w:rPr>
          <w:rFonts w:ascii="Times New Roman" w:hAnsi="Times New Roman" w:cs="Times New Roman"/>
          <w:sz w:val="24"/>
          <w:szCs w:val="24"/>
        </w:rPr>
        <w:t xml:space="preserve">appeal </w:t>
      </w:r>
      <w:r w:rsidR="00477415" w:rsidRPr="00943504">
        <w:rPr>
          <w:rFonts w:ascii="Times New Roman" w:hAnsi="Times New Roman" w:cs="Times New Roman"/>
          <w:sz w:val="24"/>
          <w:szCs w:val="24"/>
        </w:rPr>
        <w:t xml:space="preserve">launched </w:t>
      </w:r>
      <w:r w:rsidR="00A136E7" w:rsidRPr="00943504">
        <w:rPr>
          <w:rFonts w:ascii="Times New Roman" w:hAnsi="Times New Roman" w:cs="Times New Roman"/>
          <w:sz w:val="24"/>
          <w:szCs w:val="24"/>
        </w:rPr>
        <w:t>in terms of r 43 (1</w:t>
      </w:r>
      <w:r w:rsidR="00F7521F" w:rsidRPr="00943504">
        <w:rPr>
          <w:rFonts w:ascii="Times New Roman" w:hAnsi="Times New Roman" w:cs="Times New Roman"/>
          <w:sz w:val="24"/>
          <w:szCs w:val="24"/>
        </w:rPr>
        <w:t>) of the Supreme Court Rules, 20</w:t>
      </w:r>
      <w:r w:rsidR="00A136E7" w:rsidRPr="00943504">
        <w:rPr>
          <w:rFonts w:ascii="Times New Roman" w:hAnsi="Times New Roman" w:cs="Times New Roman"/>
          <w:sz w:val="24"/>
          <w:szCs w:val="24"/>
        </w:rPr>
        <w:t>18.</w:t>
      </w:r>
      <w:r w:rsidR="00B20D80" w:rsidRPr="00943504">
        <w:rPr>
          <w:rFonts w:ascii="Times New Roman" w:hAnsi="Times New Roman" w:cs="Times New Roman"/>
          <w:sz w:val="24"/>
          <w:szCs w:val="24"/>
        </w:rPr>
        <w:t xml:space="preserve"> The application is opposed. </w:t>
      </w:r>
    </w:p>
    <w:p w14:paraId="32FDC031" w14:textId="77777777" w:rsidR="00D21D93" w:rsidRPr="00943504" w:rsidRDefault="00D21D93" w:rsidP="00943504">
      <w:pPr>
        <w:spacing w:after="0" w:line="480" w:lineRule="auto"/>
        <w:jc w:val="both"/>
        <w:rPr>
          <w:rFonts w:ascii="Times New Roman" w:hAnsi="Times New Roman" w:cs="Times New Roman"/>
          <w:sz w:val="24"/>
          <w:szCs w:val="24"/>
        </w:rPr>
      </w:pPr>
    </w:p>
    <w:p w14:paraId="4BC2F742" w14:textId="7ABEC371" w:rsidR="002708F5" w:rsidRDefault="006674D6" w:rsidP="00943504">
      <w:pPr>
        <w:spacing w:after="0"/>
        <w:jc w:val="both"/>
        <w:rPr>
          <w:rFonts w:ascii="Times New Roman" w:hAnsi="Times New Roman" w:cs="Times New Roman"/>
          <w:b/>
          <w:sz w:val="24"/>
          <w:szCs w:val="24"/>
        </w:rPr>
      </w:pPr>
      <w:r>
        <w:rPr>
          <w:rFonts w:ascii="Times New Roman" w:hAnsi="Times New Roman" w:cs="Times New Roman"/>
          <w:b/>
          <w:sz w:val="24"/>
          <w:szCs w:val="24"/>
        </w:rPr>
        <w:t>BACKGROUND FACTS</w:t>
      </w:r>
    </w:p>
    <w:p w14:paraId="035CB5D9" w14:textId="77777777" w:rsidR="006674D6" w:rsidRPr="006674D6" w:rsidRDefault="006674D6" w:rsidP="00943504">
      <w:pPr>
        <w:spacing w:after="0"/>
        <w:jc w:val="both"/>
        <w:rPr>
          <w:rFonts w:ascii="Times New Roman" w:hAnsi="Times New Roman" w:cs="Times New Roman"/>
          <w:b/>
          <w:sz w:val="24"/>
          <w:szCs w:val="24"/>
        </w:rPr>
      </w:pPr>
    </w:p>
    <w:p w14:paraId="1194888E" w14:textId="77777777" w:rsidR="002708F5" w:rsidRPr="00943504" w:rsidRDefault="002708F5"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The applicant and the re</w:t>
      </w:r>
      <w:r w:rsidR="00B94277" w:rsidRPr="00943504">
        <w:rPr>
          <w:rFonts w:ascii="Times New Roman" w:hAnsi="Times New Roman" w:cs="Times New Roman"/>
          <w:sz w:val="24"/>
          <w:szCs w:val="24"/>
        </w:rPr>
        <w:t>spondent are joint owners of an</w:t>
      </w:r>
      <w:r w:rsidRPr="00943504">
        <w:rPr>
          <w:rFonts w:ascii="Times New Roman" w:hAnsi="Times New Roman" w:cs="Times New Roman"/>
          <w:sz w:val="24"/>
          <w:szCs w:val="24"/>
        </w:rPr>
        <w:t xml:space="preserve"> immov</w:t>
      </w:r>
      <w:r w:rsidR="00F3031C" w:rsidRPr="00943504">
        <w:rPr>
          <w:rFonts w:ascii="Times New Roman" w:hAnsi="Times New Roman" w:cs="Times New Roman"/>
          <w:sz w:val="24"/>
          <w:szCs w:val="24"/>
        </w:rPr>
        <w:t xml:space="preserve">able property, </w:t>
      </w:r>
      <w:r w:rsidR="000E2776" w:rsidRPr="00943504">
        <w:rPr>
          <w:rFonts w:ascii="Times New Roman" w:hAnsi="Times New Roman" w:cs="Times New Roman"/>
          <w:sz w:val="24"/>
          <w:szCs w:val="24"/>
        </w:rPr>
        <w:t>stand</w:t>
      </w:r>
      <w:r w:rsidR="00F3031C" w:rsidRPr="00943504">
        <w:rPr>
          <w:rFonts w:ascii="Times New Roman" w:hAnsi="Times New Roman" w:cs="Times New Roman"/>
          <w:sz w:val="24"/>
          <w:szCs w:val="24"/>
        </w:rPr>
        <w:t xml:space="preserve"> 24 Philade</w:t>
      </w:r>
      <w:r w:rsidRPr="00943504">
        <w:rPr>
          <w:rFonts w:ascii="Times New Roman" w:hAnsi="Times New Roman" w:cs="Times New Roman"/>
          <w:sz w:val="24"/>
          <w:szCs w:val="24"/>
        </w:rPr>
        <w:t xml:space="preserve">lphia Township of Philadelphia, Harare held under </w:t>
      </w:r>
      <w:r w:rsidR="00AF58C8" w:rsidRPr="00943504">
        <w:rPr>
          <w:rFonts w:ascii="Times New Roman" w:hAnsi="Times New Roman" w:cs="Times New Roman"/>
          <w:sz w:val="24"/>
          <w:szCs w:val="24"/>
        </w:rPr>
        <w:t>deed of transfer 4986/02. On 16 </w:t>
      </w:r>
      <w:r w:rsidRPr="00943504">
        <w:rPr>
          <w:rFonts w:ascii="Times New Roman" w:hAnsi="Times New Roman" w:cs="Times New Roman"/>
          <w:sz w:val="24"/>
          <w:szCs w:val="24"/>
        </w:rPr>
        <w:t>February 2017, they executed a deed of settlement on the disposal of the immovable property in question</w:t>
      </w:r>
      <w:r w:rsidR="00F3031C" w:rsidRPr="00943504">
        <w:rPr>
          <w:rFonts w:ascii="Times New Roman" w:hAnsi="Times New Roman" w:cs="Times New Roman"/>
          <w:sz w:val="24"/>
          <w:szCs w:val="24"/>
        </w:rPr>
        <w:t xml:space="preserve">, whose terms were incorporated in </w:t>
      </w:r>
      <w:r w:rsidR="00BC1954" w:rsidRPr="00943504">
        <w:rPr>
          <w:rFonts w:ascii="Times New Roman" w:hAnsi="Times New Roman" w:cs="Times New Roman"/>
          <w:sz w:val="24"/>
          <w:szCs w:val="24"/>
        </w:rPr>
        <w:t xml:space="preserve">consent </w:t>
      </w:r>
      <w:r w:rsidR="00F3031C" w:rsidRPr="00943504">
        <w:rPr>
          <w:rFonts w:ascii="Times New Roman" w:hAnsi="Times New Roman" w:cs="Times New Roman"/>
          <w:sz w:val="24"/>
          <w:szCs w:val="24"/>
        </w:rPr>
        <w:t>orders granted by the High Co</w:t>
      </w:r>
      <w:r w:rsidR="00B94277" w:rsidRPr="00943504">
        <w:rPr>
          <w:rFonts w:ascii="Times New Roman" w:hAnsi="Times New Roman" w:cs="Times New Roman"/>
          <w:sz w:val="24"/>
          <w:szCs w:val="24"/>
        </w:rPr>
        <w:t>urt in other cases that were pending between</w:t>
      </w:r>
      <w:r w:rsidR="00194947" w:rsidRPr="00943504">
        <w:rPr>
          <w:rFonts w:ascii="Times New Roman" w:hAnsi="Times New Roman" w:cs="Times New Roman"/>
          <w:sz w:val="24"/>
          <w:szCs w:val="24"/>
        </w:rPr>
        <w:t xml:space="preserve"> them</w:t>
      </w:r>
      <w:r w:rsidR="00F3031C" w:rsidRPr="00943504">
        <w:rPr>
          <w:rFonts w:ascii="Times New Roman" w:hAnsi="Times New Roman" w:cs="Times New Roman"/>
          <w:sz w:val="24"/>
          <w:szCs w:val="24"/>
        </w:rPr>
        <w:t>.</w:t>
      </w:r>
    </w:p>
    <w:p w14:paraId="0A476071" w14:textId="77777777" w:rsidR="00D21D93" w:rsidRPr="00943504" w:rsidRDefault="00D21D93" w:rsidP="00943504">
      <w:pPr>
        <w:spacing w:after="0"/>
        <w:jc w:val="both"/>
        <w:rPr>
          <w:rFonts w:ascii="Times New Roman" w:hAnsi="Times New Roman" w:cs="Times New Roman"/>
          <w:sz w:val="24"/>
          <w:szCs w:val="24"/>
        </w:rPr>
      </w:pPr>
    </w:p>
    <w:p w14:paraId="6F4B9302" w14:textId="77777777" w:rsidR="00F3031C" w:rsidRPr="00943504" w:rsidRDefault="00F3031C"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The parties agr</w:t>
      </w:r>
      <w:r w:rsidR="00627268" w:rsidRPr="00943504">
        <w:rPr>
          <w:rFonts w:ascii="Times New Roman" w:hAnsi="Times New Roman" w:cs="Times New Roman"/>
          <w:sz w:val="24"/>
          <w:szCs w:val="24"/>
        </w:rPr>
        <w:t>eed to engage two estate agent</w:t>
      </w:r>
      <w:r w:rsidRPr="00943504">
        <w:rPr>
          <w:rFonts w:ascii="Times New Roman" w:hAnsi="Times New Roman" w:cs="Times New Roman"/>
          <w:sz w:val="24"/>
          <w:szCs w:val="24"/>
        </w:rPr>
        <w:t xml:space="preserve">s, Guest and </w:t>
      </w:r>
      <w:r w:rsidR="00B94277" w:rsidRPr="00943504">
        <w:rPr>
          <w:rFonts w:ascii="Times New Roman" w:hAnsi="Times New Roman" w:cs="Times New Roman"/>
          <w:sz w:val="24"/>
          <w:szCs w:val="24"/>
        </w:rPr>
        <w:t>Tanner and Dawn Properties, to valu</w:t>
      </w:r>
      <w:r w:rsidRPr="00943504">
        <w:rPr>
          <w:rFonts w:ascii="Times New Roman" w:hAnsi="Times New Roman" w:cs="Times New Roman"/>
          <w:sz w:val="24"/>
          <w:szCs w:val="24"/>
        </w:rPr>
        <w:t>e the immovable property. The me</w:t>
      </w:r>
      <w:r w:rsidR="000F368E" w:rsidRPr="00943504">
        <w:rPr>
          <w:rFonts w:ascii="Times New Roman" w:hAnsi="Times New Roman" w:cs="Times New Roman"/>
          <w:sz w:val="24"/>
          <w:szCs w:val="24"/>
        </w:rPr>
        <w:t xml:space="preserve">an of the two valuations was to be the value of the property. If, however, any party was dissatisfied with any of the two valuations, the parties’ legal practitioners would jointly choose a third estate agent, whose valuation </w:t>
      </w:r>
      <w:r w:rsidR="000F368E" w:rsidRPr="00943504">
        <w:rPr>
          <w:rFonts w:ascii="Times New Roman" w:hAnsi="Times New Roman" w:cs="Times New Roman"/>
          <w:sz w:val="24"/>
          <w:szCs w:val="24"/>
        </w:rPr>
        <w:lastRenderedPageBreak/>
        <w:t>would be final. Thereafter</w:t>
      </w:r>
      <w:r w:rsidR="00F0235C" w:rsidRPr="00943504">
        <w:rPr>
          <w:rFonts w:ascii="Times New Roman" w:hAnsi="Times New Roman" w:cs="Times New Roman"/>
          <w:sz w:val="24"/>
          <w:szCs w:val="24"/>
        </w:rPr>
        <w:t>,</w:t>
      </w:r>
      <w:r w:rsidR="000F368E" w:rsidRPr="00943504">
        <w:rPr>
          <w:rFonts w:ascii="Times New Roman" w:hAnsi="Times New Roman" w:cs="Times New Roman"/>
          <w:sz w:val="24"/>
          <w:szCs w:val="24"/>
        </w:rPr>
        <w:t xml:space="preserve"> the applicant </w:t>
      </w:r>
      <w:r w:rsidR="00F0235C" w:rsidRPr="00943504">
        <w:rPr>
          <w:rFonts w:ascii="Times New Roman" w:hAnsi="Times New Roman" w:cs="Times New Roman"/>
          <w:sz w:val="24"/>
          <w:szCs w:val="24"/>
        </w:rPr>
        <w:t xml:space="preserve">had the right to </w:t>
      </w:r>
      <w:r w:rsidR="000F368E" w:rsidRPr="00943504">
        <w:rPr>
          <w:rFonts w:ascii="Times New Roman" w:hAnsi="Times New Roman" w:cs="Times New Roman"/>
          <w:sz w:val="24"/>
          <w:szCs w:val="24"/>
        </w:rPr>
        <w:t>buy</w:t>
      </w:r>
      <w:r w:rsidR="00F0235C" w:rsidRPr="00943504">
        <w:rPr>
          <w:rFonts w:ascii="Times New Roman" w:hAnsi="Times New Roman" w:cs="Times New Roman"/>
          <w:sz w:val="24"/>
          <w:szCs w:val="24"/>
        </w:rPr>
        <w:t xml:space="preserve"> ou</w:t>
      </w:r>
      <w:r w:rsidR="000F368E" w:rsidRPr="00943504">
        <w:rPr>
          <w:rFonts w:ascii="Times New Roman" w:hAnsi="Times New Roman" w:cs="Times New Roman"/>
          <w:sz w:val="24"/>
          <w:szCs w:val="24"/>
        </w:rPr>
        <w:t xml:space="preserve">t the respondent’s one-half share in the property within 6 months of </w:t>
      </w:r>
      <w:r w:rsidR="00F0235C" w:rsidRPr="00943504">
        <w:rPr>
          <w:rFonts w:ascii="Times New Roman" w:hAnsi="Times New Roman" w:cs="Times New Roman"/>
          <w:sz w:val="24"/>
          <w:szCs w:val="24"/>
        </w:rPr>
        <w:t xml:space="preserve">receipt of the acceptable </w:t>
      </w:r>
      <w:r w:rsidR="000F368E" w:rsidRPr="00943504">
        <w:rPr>
          <w:rFonts w:ascii="Times New Roman" w:hAnsi="Times New Roman" w:cs="Times New Roman"/>
          <w:sz w:val="24"/>
          <w:szCs w:val="24"/>
        </w:rPr>
        <w:t xml:space="preserve">valuation, failing which the respondent </w:t>
      </w:r>
      <w:r w:rsidR="00F0235C" w:rsidRPr="00943504">
        <w:rPr>
          <w:rFonts w:ascii="Times New Roman" w:hAnsi="Times New Roman" w:cs="Times New Roman"/>
          <w:sz w:val="24"/>
          <w:szCs w:val="24"/>
        </w:rPr>
        <w:t xml:space="preserve">had the same right to </w:t>
      </w:r>
      <w:r w:rsidR="000F368E" w:rsidRPr="00943504">
        <w:rPr>
          <w:rFonts w:ascii="Times New Roman" w:hAnsi="Times New Roman" w:cs="Times New Roman"/>
          <w:sz w:val="24"/>
          <w:szCs w:val="24"/>
        </w:rPr>
        <w:t xml:space="preserve">buy out the applicant’s one half share within a further period of 6 months. </w:t>
      </w:r>
      <w:r w:rsidR="00F0235C" w:rsidRPr="00943504">
        <w:rPr>
          <w:rFonts w:ascii="Times New Roman" w:hAnsi="Times New Roman" w:cs="Times New Roman"/>
          <w:sz w:val="24"/>
          <w:szCs w:val="24"/>
        </w:rPr>
        <w:t>In the event that the parties failed to exercise their respective rights, the property was to be sold by private treaty with the parties sharing the net proceeds</w:t>
      </w:r>
      <w:r w:rsidR="00F26620" w:rsidRPr="00943504">
        <w:rPr>
          <w:rFonts w:ascii="Times New Roman" w:hAnsi="Times New Roman" w:cs="Times New Roman"/>
          <w:sz w:val="24"/>
          <w:szCs w:val="24"/>
        </w:rPr>
        <w:t>,</w:t>
      </w:r>
      <w:r w:rsidR="00F0235C" w:rsidRPr="00943504">
        <w:rPr>
          <w:rFonts w:ascii="Times New Roman" w:hAnsi="Times New Roman" w:cs="Times New Roman"/>
          <w:sz w:val="24"/>
          <w:szCs w:val="24"/>
        </w:rPr>
        <w:t xml:space="preserve"> equally. </w:t>
      </w:r>
    </w:p>
    <w:p w14:paraId="4153AA43" w14:textId="77777777" w:rsidR="009A2DB6" w:rsidRPr="00943504" w:rsidRDefault="009A2DB6" w:rsidP="00943504">
      <w:pPr>
        <w:spacing w:after="0" w:line="480" w:lineRule="auto"/>
        <w:jc w:val="both"/>
        <w:rPr>
          <w:rFonts w:ascii="Times New Roman" w:hAnsi="Times New Roman" w:cs="Times New Roman"/>
          <w:sz w:val="24"/>
          <w:szCs w:val="24"/>
        </w:rPr>
      </w:pPr>
    </w:p>
    <w:p w14:paraId="41B7B3F7" w14:textId="77777777" w:rsidR="000D227B" w:rsidRPr="00943504" w:rsidRDefault="00F10A8F"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The </w:t>
      </w:r>
      <w:r w:rsidR="00FA7175" w:rsidRPr="00943504">
        <w:rPr>
          <w:rFonts w:ascii="Times New Roman" w:hAnsi="Times New Roman" w:cs="Times New Roman"/>
          <w:sz w:val="24"/>
          <w:szCs w:val="24"/>
        </w:rPr>
        <w:t xml:space="preserve">parties jointly instructed the </w:t>
      </w:r>
      <w:r w:rsidR="00B94277" w:rsidRPr="00943504">
        <w:rPr>
          <w:rFonts w:ascii="Times New Roman" w:hAnsi="Times New Roman" w:cs="Times New Roman"/>
          <w:sz w:val="24"/>
          <w:szCs w:val="24"/>
        </w:rPr>
        <w:t>two estate agent</w:t>
      </w:r>
      <w:r w:rsidRPr="00943504">
        <w:rPr>
          <w:rFonts w:ascii="Times New Roman" w:hAnsi="Times New Roman" w:cs="Times New Roman"/>
          <w:sz w:val="24"/>
          <w:szCs w:val="24"/>
        </w:rPr>
        <w:t xml:space="preserve">s </w:t>
      </w:r>
      <w:r w:rsidR="00B94277" w:rsidRPr="00943504">
        <w:rPr>
          <w:rFonts w:ascii="Times New Roman" w:hAnsi="Times New Roman" w:cs="Times New Roman"/>
          <w:sz w:val="24"/>
          <w:szCs w:val="24"/>
        </w:rPr>
        <w:t>to valu</w:t>
      </w:r>
      <w:r w:rsidR="00FA7175" w:rsidRPr="00943504">
        <w:rPr>
          <w:rFonts w:ascii="Times New Roman" w:hAnsi="Times New Roman" w:cs="Times New Roman"/>
          <w:sz w:val="24"/>
          <w:szCs w:val="24"/>
        </w:rPr>
        <w:t xml:space="preserve">e the property. </w:t>
      </w:r>
      <w:r w:rsidR="00DF3582" w:rsidRPr="00943504">
        <w:rPr>
          <w:rFonts w:ascii="Times New Roman" w:hAnsi="Times New Roman" w:cs="Times New Roman"/>
          <w:sz w:val="24"/>
          <w:szCs w:val="24"/>
        </w:rPr>
        <w:t xml:space="preserve">Dawn Properties valued it at US$250 000 while </w:t>
      </w:r>
      <w:r w:rsidR="00FA7175" w:rsidRPr="00943504">
        <w:rPr>
          <w:rFonts w:ascii="Times New Roman" w:hAnsi="Times New Roman" w:cs="Times New Roman"/>
          <w:sz w:val="24"/>
          <w:szCs w:val="24"/>
        </w:rPr>
        <w:t>Guest and Tanner valu</w:t>
      </w:r>
      <w:r w:rsidR="00B94277" w:rsidRPr="00943504">
        <w:rPr>
          <w:rFonts w:ascii="Times New Roman" w:hAnsi="Times New Roman" w:cs="Times New Roman"/>
          <w:sz w:val="24"/>
          <w:szCs w:val="24"/>
        </w:rPr>
        <w:t xml:space="preserve">ed it at </w:t>
      </w:r>
      <w:r w:rsidR="00DF3582" w:rsidRPr="00943504">
        <w:rPr>
          <w:rFonts w:ascii="Times New Roman" w:hAnsi="Times New Roman" w:cs="Times New Roman"/>
          <w:sz w:val="24"/>
          <w:szCs w:val="24"/>
        </w:rPr>
        <w:t>US$292 000. The two valuators</w:t>
      </w:r>
      <w:r w:rsidR="00FA7175" w:rsidRPr="00943504">
        <w:rPr>
          <w:rFonts w:ascii="Times New Roman" w:hAnsi="Times New Roman" w:cs="Times New Roman"/>
          <w:sz w:val="24"/>
          <w:szCs w:val="24"/>
        </w:rPr>
        <w:t xml:space="preserve"> submitted their respective reports </w:t>
      </w:r>
      <w:r w:rsidR="007A6EC8" w:rsidRPr="00943504">
        <w:rPr>
          <w:rFonts w:ascii="Times New Roman" w:hAnsi="Times New Roman" w:cs="Times New Roman"/>
          <w:sz w:val="24"/>
          <w:szCs w:val="24"/>
        </w:rPr>
        <w:t>on 28</w:t>
      </w:r>
      <w:r w:rsidR="00C72ADC" w:rsidRPr="00943504">
        <w:rPr>
          <w:rFonts w:ascii="Times New Roman" w:hAnsi="Times New Roman" w:cs="Times New Roman"/>
          <w:sz w:val="24"/>
          <w:szCs w:val="24"/>
        </w:rPr>
        <w:t xml:space="preserve"> March 2017 and 30</w:t>
      </w:r>
      <w:r w:rsidR="00237C10" w:rsidRPr="00943504">
        <w:rPr>
          <w:rFonts w:ascii="Times New Roman" w:hAnsi="Times New Roman" w:cs="Times New Roman"/>
          <w:sz w:val="24"/>
          <w:szCs w:val="24"/>
        </w:rPr>
        <w:t> </w:t>
      </w:r>
      <w:r w:rsidR="000C4E0B" w:rsidRPr="00943504">
        <w:rPr>
          <w:rFonts w:ascii="Times New Roman" w:hAnsi="Times New Roman" w:cs="Times New Roman"/>
          <w:sz w:val="24"/>
          <w:szCs w:val="24"/>
        </w:rPr>
        <w:t>March 2017</w:t>
      </w:r>
      <w:r w:rsidR="007A6EC8" w:rsidRPr="00943504">
        <w:rPr>
          <w:rFonts w:ascii="Times New Roman" w:hAnsi="Times New Roman" w:cs="Times New Roman"/>
          <w:sz w:val="24"/>
          <w:szCs w:val="24"/>
        </w:rPr>
        <w:t xml:space="preserve"> </w:t>
      </w:r>
      <w:r w:rsidR="00FA7175" w:rsidRPr="00943504">
        <w:rPr>
          <w:rFonts w:ascii="Times New Roman" w:hAnsi="Times New Roman" w:cs="Times New Roman"/>
          <w:sz w:val="24"/>
          <w:szCs w:val="24"/>
        </w:rPr>
        <w:t>to the parties’ respective</w:t>
      </w:r>
      <w:r w:rsidR="0096211E" w:rsidRPr="00943504">
        <w:rPr>
          <w:rFonts w:ascii="Times New Roman" w:hAnsi="Times New Roman" w:cs="Times New Roman"/>
          <w:sz w:val="24"/>
          <w:szCs w:val="24"/>
        </w:rPr>
        <w:t xml:space="preserve"> legal practitioners. </w:t>
      </w:r>
      <w:r w:rsidR="003A41A6" w:rsidRPr="00943504">
        <w:rPr>
          <w:rFonts w:ascii="Times New Roman" w:hAnsi="Times New Roman" w:cs="Times New Roman"/>
          <w:sz w:val="24"/>
          <w:szCs w:val="24"/>
        </w:rPr>
        <w:t>The applic</w:t>
      </w:r>
      <w:r w:rsidR="00FA7175" w:rsidRPr="00943504">
        <w:rPr>
          <w:rFonts w:ascii="Times New Roman" w:hAnsi="Times New Roman" w:cs="Times New Roman"/>
          <w:sz w:val="24"/>
          <w:szCs w:val="24"/>
        </w:rPr>
        <w:t xml:space="preserve">ant’s legal practitioners </w:t>
      </w:r>
      <w:r w:rsidR="00DF3582" w:rsidRPr="00943504">
        <w:rPr>
          <w:rFonts w:ascii="Times New Roman" w:hAnsi="Times New Roman" w:cs="Times New Roman"/>
          <w:sz w:val="24"/>
          <w:szCs w:val="24"/>
        </w:rPr>
        <w:t>failed to appreciate the valuation methodology applied by</w:t>
      </w:r>
      <w:r w:rsidR="007A6EC8" w:rsidRPr="00943504">
        <w:rPr>
          <w:rFonts w:ascii="Times New Roman" w:hAnsi="Times New Roman" w:cs="Times New Roman"/>
          <w:sz w:val="24"/>
          <w:szCs w:val="24"/>
        </w:rPr>
        <w:t xml:space="preserve"> Guest and Tanner.</w:t>
      </w:r>
      <w:r w:rsidR="00DF3582" w:rsidRPr="00943504">
        <w:rPr>
          <w:rFonts w:ascii="Times New Roman" w:hAnsi="Times New Roman" w:cs="Times New Roman"/>
          <w:sz w:val="24"/>
          <w:szCs w:val="24"/>
        </w:rPr>
        <w:t xml:space="preserve"> </w:t>
      </w:r>
      <w:r w:rsidR="009763D7" w:rsidRPr="00943504">
        <w:rPr>
          <w:rFonts w:ascii="Times New Roman" w:hAnsi="Times New Roman" w:cs="Times New Roman"/>
          <w:sz w:val="24"/>
          <w:szCs w:val="24"/>
        </w:rPr>
        <w:t>C</w:t>
      </w:r>
      <w:r w:rsidR="00772642" w:rsidRPr="00943504">
        <w:rPr>
          <w:rFonts w:ascii="Times New Roman" w:hAnsi="Times New Roman" w:cs="Times New Roman"/>
          <w:sz w:val="24"/>
          <w:szCs w:val="24"/>
        </w:rPr>
        <w:t xml:space="preserve">onsequently, </w:t>
      </w:r>
      <w:r w:rsidR="009763D7" w:rsidRPr="00943504">
        <w:rPr>
          <w:rFonts w:ascii="Times New Roman" w:hAnsi="Times New Roman" w:cs="Times New Roman"/>
          <w:sz w:val="24"/>
          <w:szCs w:val="24"/>
        </w:rPr>
        <w:t xml:space="preserve">on 26 May 2017, they </w:t>
      </w:r>
      <w:r w:rsidR="00772642" w:rsidRPr="00943504">
        <w:rPr>
          <w:rFonts w:ascii="Times New Roman" w:hAnsi="Times New Roman" w:cs="Times New Roman"/>
          <w:sz w:val="24"/>
          <w:szCs w:val="24"/>
        </w:rPr>
        <w:t>sought the estate agent’s comments on these aspects</w:t>
      </w:r>
      <w:r w:rsidR="0096211E" w:rsidRPr="00943504">
        <w:rPr>
          <w:rFonts w:ascii="Times New Roman" w:hAnsi="Times New Roman" w:cs="Times New Roman"/>
          <w:sz w:val="24"/>
          <w:szCs w:val="24"/>
        </w:rPr>
        <w:t xml:space="preserve"> without copying their correspondence to the respondent’s legal practitioners. In response, the estate agent cryptically asserted </w:t>
      </w:r>
      <w:r w:rsidR="00772642" w:rsidRPr="00943504">
        <w:rPr>
          <w:rFonts w:ascii="Times New Roman" w:hAnsi="Times New Roman" w:cs="Times New Roman"/>
          <w:sz w:val="24"/>
          <w:szCs w:val="24"/>
        </w:rPr>
        <w:t>that the valuation amount constituted a typographical error</w:t>
      </w:r>
      <w:r w:rsidR="000D227B" w:rsidRPr="00943504">
        <w:rPr>
          <w:rFonts w:ascii="Times New Roman" w:hAnsi="Times New Roman" w:cs="Times New Roman"/>
          <w:sz w:val="24"/>
          <w:szCs w:val="24"/>
        </w:rPr>
        <w:t xml:space="preserve"> and proceeded to rectify the earlier amount by substituting it with the lower figure of US$192 000. </w:t>
      </w:r>
    </w:p>
    <w:p w14:paraId="3F7FEC96" w14:textId="77777777" w:rsidR="00BD0B33" w:rsidRPr="00943504" w:rsidRDefault="00BD0B33" w:rsidP="00943504">
      <w:pPr>
        <w:spacing w:after="0" w:line="480" w:lineRule="auto"/>
        <w:jc w:val="both"/>
        <w:rPr>
          <w:rFonts w:ascii="Times New Roman" w:hAnsi="Times New Roman" w:cs="Times New Roman"/>
          <w:sz w:val="24"/>
          <w:szCs w:val="24"/>
        </w:rPr>
      </w:pPr>
    </w:p>
    <w:p w14:paraId="29A418E0" w14:textId="77777777" w:rsidR="001602CF" w:rsidRPr="00943504" w:rsidRDefault="000D227B"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w:t>
      </w:r>
      <w:r w:rsidR="00772642" w:rsidRPr="00943504">
        <w:rPr>
          <w:rFonts w:ascii="Times New Roman" w:hAnsi="Times New Roman" w:cs="Times New Roman"/>
          <w:sz w:val="24"/>
          <w:szCs w:val="24"/>
        </w:rPr>
        <w:t>he respondent’s legal practitioner</w:t>
      </w:r>
      <w:r w:rsidR="0096211E" w:rsidRPr="00943504">
        <w:rPr>
          <w:rFonts w:ascii="Times New Roman" w:hAnsi="Times New Roman" w:cs="Times New Roman"/>
          <w:sz w:val="24"/>
          <w:szCs w:val="24"/>
        </w:rPr>
        <w:t xml:space="preserve">s were oblivious of the </w:t>
      </w:r>
      <w:r w:rsidR="009E0E97" w:rsidRPr="00943504">
        <w:rPr>
          <w:rFonts w:ascii="Times New Roman" w:hAnsi="Times New Roman" w:cs="Times New Roman"/>
          <w:sz w:val="24"/>
          <w:szCs w:val="24"/>
        </w:rPr>
        <w:t>co</w:t>
      </w:r>
      <w:r w:rsidR="003A41A6" w:rsidRPr="00943504">
        <w:rPr>
          <w:rFonts w:ascii="Times New Roman" w:hAnsi="Times New Roman" w:cs="Times New Roman"/>
          <w:sz w:val="24"/>
          <w:szCs w:val="24"/>
        </w:rPr>
        <w:t>mmunication between the applica</w:t>
      </w:r>
      <w:r w:rsidR="009E0E97" w:rsidRPr="00943504">
        <w:rPr>
          <w:rFonts w:ascii="Times New Roman" w:hAnsi="Times New Roman" w:cs="Times New Roman"/>
          <w:sz w:val="24"/>
          <w:szCs w:val="24"/>
        </w:rPr>
        <w:t xml:space="preserve">nt’s legal practitioners and Guest and </w:t>
      </w:r>
      <w:r w:rsidR="003C30C5" w:rsidRPr="00943504">
        <w:rPr>
          <w:rFonts w:ascii="Times New Roman" w:hAnsi="Times New Roman" w:cs="Times New Roman"/>
          <w:sz w:val="24"/>
          <w:szCs w:val="24"/>
        </w:rPr>
        <w:t>T</w:t>
      </w:r>
      <w:r w:rsidR="009E0E97" w:rsidRPr="00943504">
        <w:rPr>
          <w:rFonts w:ascii="Times New Roman" w:hAnsi="Times New Roman" w:cs="Times New Roman"/>
          <w:sz w:val="24"/>
          <w:szCs w:val="24"/>
        </w:rPr>
        <w:t xml:space="preserve">anner. </w:t>
      </w:r>
      <w:r w:rsidRPr="00943504">
        <w:rPr>
          <w:rFonts w:ascii="Times New Roman" w:hAnsi="Times New Roman" w:cs="Times New Roman"/>
          <w:sz w:val="24"/>
          <w:szCs w:val="24"/>
        </w:rPr>
        <w:t xml:space="preserve">They simply filed </w:t>
      </w:r>
      <w:r w:rsidR="006C058A" w:rsidRPr="00943504">
        <w:rPr>
          <w:rFonts w:ascii="Times New Roman" w:hAnsi="Times New Roman" w:cs="Times New Roman"/>
          <w:sz w:val="24"/>
          <w:szCs w:val="24"/>
        </w:rPr>
        <w:t xml:space="preserve">away </w:t>
      </w:r>
      <w:r w:rsidRPr="00943504">
        <w:rPr>
          <w:rFonts w:ascii="Times New Roman" w:hAnsi="Times New Roman" w:cs="Times New Roman"/>
          <w:sz w:val="24"/>
          <w:szCs w:val="24"/>
        </w:rPr>
        <w:t>the original valuation report</w:t>
      </w:r>
      <w:r w:rsidR="0096211E" w:rsidRPr="00943504">
        <w:rPr>
          <w:rFonts w:ascii="Times New Roman" w:hAnsi="Times New Roman" w:cs="Times New Roman"/>
          <w:sz w:val="24"/>
          <w:szCs w:val="24"/>
        </w:rPr>
        <w:t xml:space="preserve"> without </w:t>
      </w:r>
      <w:r w:rsidR="006C058A" w:rsidRPr="00943504">
        <w:rPr>
          <w:rFonts w:ascii="Times New Roman" w:hAnsi="Times New Roman" w:cs="Times New Roman"/>
          <w:sz w:val="24"/>
          <w:szCs w:val="24"/>
        </w:rPr>
        <w:t xml:space="preserve">much </w:t>
      </w:r>
      <w:r w:rsidR="0096211E" w:rsidRPr="00943504">
        <w:rPr>
          <w:rFonts w:ascii="Times New Roman" w:hAnsi="Times New Roman" w:cs="Times New Roman"/>
          <w:sz w:val="24"/>
          <w:szCs w:val="24"/>
        </w:rPr>
        <w:t xml:space="preserve">thought. </w:t>
      </w:r>
      <w:r w:rsidR="0000096F" w:rsidRPr="00943504">
        <w:rPr>
          <w:rFonts w:ascii="Times New Roman" w:hAnsi="Times New Roman" w:cs="Times New Roman"/>
          <w:sz w:val="24"/>
          <w:szCs w:val="24"/>
        </w:rPr>
        <w:t>T</w:t>
      </w:r>
      <w:r w:rsidRPr="00943504">
        <w:rPr>
          <w:rFonts w:ascii="Times New Roman" w:hAnsi="Times New Roman" w:cs="Times New Roman"/>
          <w:sz w:val="24"/>
          <w:szCs w:val="24"/>
        </w:rPr>
        <w:t>he respondent</w:t>
      </w:r>
      <w:r w:rsidR="0000096F" w:rsidRPr="00943504">
        <w:rPr>
          <w:rFonts w:ascii="Times New Roman" w:hAnsi="Times New Roman" w:cs="Times New Roman"/>
          <w:sz w:val="24"/>
          <w:szCs w:val="24"/>
        </w:rPr>
        <w:t>’s legal practitioners</w:t>
      </w:r>
      <w:r w:rsidR="006C058A" w:rsidRPr="00943504">
        <w:rPr>
          <w:rFonts w:ascii="Times New Roman" w:hAnsi="Times New Roman" w:cs="Times New Roman"/>
          <w:sz w:val="24"/>
          <w:szCs w:val="24"/>
        </w:rPr>
        <w:t xml:space="preserve"> forwarded the </w:t>
      </w:r>
      <w:r w:rsidR="008909CD" w:rsidRPr="00943504">
        <w:rPr>
          <w:rFonts w:ascii="Times New Roman" w:hAnsi="Times New Roman" w:cs="Times New Roman"/>
          <w:sz w:val="24"/>
          <w:szCs w:val="24"/>
        </w:rPr>
        <w:t>corrected</w:t>
      </w:r>
      <w:r w:rsidR="006C058A" w:rsidRPr="00943504">
        <w:rPr>
          <w:rFonts w:ascii="Times New Roman" w:hAnsi="Times New Roman" w:cs="Times New Roman"/>
          <w:sz w:val="24"/>
          <w:szCs w:val="24"/>
        </w:rPr>
        <w:t xml:space="preserve"> </w:t>
      </w:r>
      <w:r w:rsidR="00364F30" w:rsidRPr="00943504">
        <w:rPr>
          <w:rFonts w:ascii="Times New Roman" w:hAnsi="Times New Roman" w:cs="Times New Roman"/>
          <w:sz w:val="24"/>
          <w:szCs w:val="24"/>
        </w:rPr>
        <w:t>Guest and Tanner</w:t>
      </w:r>
      <w:r w:rsidRPr="00943504">
        <w:rPr>
          <w:rFonts w:ascii="Times New Roman" w:hAnsi="Times New Roman" w:cs="Times New Roman"/>
          <w:sz w:val="24"/>
          <w:szCs w:val="24"/>
        </w:rPr>
        <w:t xml:space="preserve"> </w:t>
      </w:r>
      <w:r w:rsidR="008909CD" w:rsidRPr="00943504">
        <w:rPr>
          <w:rFonts w:ascii="Times New Roman" w:hAnsi="Times New Roman" w:cs="Times New Roman"/>
          <w:sz w:val="24"/>
          <w:szCs w:val="24"/>
        </w:rPr>
        <w:t>valuation report</w:t>
      </w:r>
      <w:r w:rsidRPr="00943504">
        <w:rPr>
          <w:rFonts w:ascii="Times New Roman" w:hAnsi="Times New Roman" w:cs="Times New Roman"/>
          <w:sz w:val="24"/>
          <w:szCs w:val="24"/>
        </w:rPr>
        <w:t xml:space="preserve"> to the</w:t>
      </w:r>
      <w:r w:rsidR="0000096F" w:rsidRPr="00943504">
        <w:rPr>
          <w:rFonts w:ascii="Times New Roman" w:hAnsi="Times New Roman" w:cs="Times New Roman"/>
          <w:sz w:val="24"/>
          <w:szCs w:val="24"/>
        </w:rPr>
        <w:t xml:space="preserve"> applicant’s legal practitioners.</w:t>
      </w:r>
      <w:r w:rsidRPr="00943504">
        <w:rPr>
          <w:rFonts w:ascii="Times New Roman" w:hAnsi="Times New Roman" w:cs="Times New Roman"/>
          <w:sz w:val="24"/>
          <w:szCs w:val="24"/>
        </w:rPr>
        <w:t xml:space="preserve">  </w:t>
      </w:r>
      <w:r w:rsidR="00FF340E" w:rsidRPr="00943504">
        <w:rPr>
          <w:rFonts w:ascii="Times New Roman" w:hAnsi="Times New Roman" w:cs="Times New Roman"/>
          <w:sz w:val="24"/>
          <w:szCs w:val="24"/>
        </w:rPr>
        <w:t>Apparently, the</w:t>
      </w:r>
      <w:r w:rsidR="00CF2B64" w:rsidRPr="00943504">
        <w:rPr>
          <w:rFonts w:ascii="Times New Roman" w:hAnsi="Times New Roman" w:cs="Times New Roman"/>
          <w:sz w:val="24"/>
          <w:szCs w:val="24"/>
        </w:rPr>
        <w:t xml:space="preserve"> respondent’s legal </w:t>
      </w:r>
      <w:r w:rsidR="00194A2C" w:rsidRPr="00943504">
        <w:rPr>
          <w:rFonts w:ascii="Times New Roman" w:hAnsi="Times New Roman" w:cs="Times New Roman"/>
          <w:sz w:val="24"/>
          <w:szCs w:val="24"/>
        </w:rPr>
        <w:t xml:space="preserve">practitioners, again, </w:t>
      </w:r>
      <w:r w:rsidR="00FF340E" w:rsidRPr="00943504">
        <w:rPr>
          <w:rFonts w:ascii="Times New Roman" w:hAnsi="Times New Roman" w:cs="Times New Roman"/>
          <w:sz w:val="24"/>
          <w:szCs w:val="24"/>
        </w:rPr>
        <w:t>simply</w:t>
      </w:r>
      <w:r w:rsidR="00CF2B64" w:rsidRPr="00943504">
        <w:rPr>
          <w:rFonts w:ascii="Times New Roman" w:hAnsi="Times New Roman" w:cs="Times New Roman"/>
          <w:sz w:val="24"/>
          <w:szCs w:val="24"/>
        </w:rPr>
        <w:t xml:space="preserve"> filed </w:t>
      </w:r>
      <w:r w:rsidR="00364F30" w:rsidRPr="00943504">
        <w:rPr>
          <w:rFonts w:ascii="Times New Roman" w:hAnsi="Times New Roman" w:cs="Times New Roman"/>
          <w:sz w:val="24"/>
          <w:szCs w:val="24"/>
        </w:rPr>
        <w:t xml:space="preserve">away </w:t>
      </w:r>
      <w:r w:rsidR="0000096F" w:rsidRPr="00943504">
        <w:rPr>
          <w:rFonts w:ascii="Times New Roman" w:hAnsi="Times New Roman" w:cs="Times New Roman"/>
          <w:sz w:val="24"/>
          <w:szCs w:val="24"/>
        </w:rPr>
        <w:t>the rectified report</w:t>
      </w:r>
      <w:r w:rsidR="00866DBD" w:rsidRPr="00943504">
        <w:rPr>
          <w:rFonts w:ascii="Times New Roman" w:hAnsi="Times New Roman" w:cs="Times New Roman"/>
          <w:sz w:val="24"/>
          <w:szCs w:val="24"/>
        </w:rPr>
        <w:t xml:space="preserve">. Thereafter, the </w:t>
      </w:r>
      <w:r w:rsidR="008909CD" w:rsidRPr="00943504">
        <w:rPr>
          <w:rFonts w:ascii="Times New Roman" w:hAnsi="Times New Roman" w:cs="Times New Roman"/>
          <w:sz w:val="24"/>
          <w:szCs w:val="24"/>
        </w:rPr>
        <w:t xml:space="preserve">respondent’s </w:t>
      </w:r>
      <w:r w:rsidR="00866DBD" w:rsidRPr="00943504">
        <w:rPr>
          <w:rFonts w:ascii="Times New Roman" w:hAnsi="Times New Roman" w:cs="Times New Roman"/>
          <w:sz w:val="24"/>
          <w:szCs w:val="24"/>
        </w:rPr>
        <w:t xml:space="preserve">legal practitioners computed the value of the property at </w:t>
      </w:r>
      <w:r w:rsidR="00035DE3" w:rsidRPr="00943504">
        <w:rPr>
          <w:rFonts w:ascii="Times New Roman" w:hAnsi="Times New Roman" w:cs="Times New Roman"/>
          <w:sz w:val="24"/>
          <w:szCs w:val="24"/>
        </w:rPr>
        <w:t xml:space="preserve">US$221 000, being </w:t>
      </w:r>
      <w:r w:rsidR="00866DBD" w:rsidRPr="00943504">
        <w:rPr>
          <w:rFonts w:ascii="Times New Roman" w:hAnsi="Times New Roman" w:cs="Times New Roman"/>
          <w:sz w:val="24"/>
          <w:szCs w:val="24"/>
        </w:rPr>
        <w:t>the mean of the lower Gu</w:t>
      </w:r>
      <w:r w:rsidR="00364F30" w:rsidRPr="00943504">
        <w:rPr>
          <w:rFonts w:ascii="Times New Roman" w:hAnsi="Times New Roman" w:cs="Times New Roman"/>
          <w:sz w:val="24"/>
          <w:szCs w:val="24"/>
        </w:rPr>
        <w:t>e</w:t>
      </w:r>
      <w:r w:rsidR="00866DBD" w:rsidRPr="00943504">
        <w:rPr>
          <w:rFonts w:ascii="Times New Roman" w:hAnsi="Times New Roman" w:cs="Times New Roman"/>
          <w:sz w:val="24"/>
          <w:szCs w:val="24"/>
        </w:rPr>
        <w:t>st and Tanner figure and the Dawn Properties fig</w:t>
      </w:r>
      <w:r w:rsidR="00364F30" w:rsidRPr="00943504">
        <w:rPr>
          <w:rFonts w:ascii="Times New Roman" w:hAnsi="Times New Roman" w:cs="Times New Roman"/>
          <w:sz w:val="24"/>
          <w:szCs w:val="24"/>
        </w:rPr>
        <w:t>ure. The respondent exercised hi</w:t>
      </w:r>
      <w:r w:rsidR="00866DBD" w:rsidRPr="00943504">
        <w:rPr>
          <w:rFonts w:ascii="Times New Roman" w:hAnsi="Times New Roman" w:cs="Times New Roman"/>
          <w:sz w:val="24"/>
          <w:szCs w:val="24"/>
        </w:rPr>
        <w:t>s right of first refusal and on the directions of the applicant’s legal practitioners deposited</w:t>
      </w:r>
      <w:r w:rsidR="0000096F" w:rsidRPr="00943504">
        <w:rPr>
          <w:rFonts w:ascii="Times New Roman" w:hAnsi="Times New Roman" w:cs="Times New Roman"/>
          <w:sz w:val="24"/>
          <w:szCs w:val="24"/>
        </w:rPr>
        <w:t>, within the prescribed payment period,</w:t>
      </w:r>
      <w:r w:rsidR="00866DBD" w:rsidRPr="00943504">
        <w:rPr>
          <w:rFonts w:ascii="Times New Roman" w:hAnsi="Times New Roman" w:cs="Times New Roman"/>
          <w:sz w:val="24"/>
          <w:szCs w:val="24"/>
        </w:rPr>
        <w:t xml:space="preserve"> </w:t>
      </w:r>
      <w:r w:rsidR="001C104C" w:rsidRPr="00943504">
        <w:rPr>
          <w:rFonts w:ascii="Times New Roman" w:hAnsi="Times New Roman" w:cs="Times New Roman"/>
          <w:sz w:val="24"/>
          <w:szCs w:val="24"/>
        </w:rPr>
        <w:t xml:space="preserve">on 5 </w:t>
      </w:r>
      <w:r w:rsidR="001C104C" w:rsidRPr="00943504">
        <w:rPr>
          <w:rFonts w:ascii="Times New Roman" w:hAnsi="Times New Roman" w:cs="Times New Roman"/>
          <w:sz w:val="24"/>
          <w:szCs w:val="24"/>
        </w:rPr>
        <w:lastRenderedPageBreak/>
        <w:t xml:space="preserve">January 2018, </w:t>
      </w:r>
      <w:r w:rsidR="00866DBD" w:rsidRPr="00943504">
        <w:rPr>
          <w:rFonts w:ascii="Times New Roman" w:hAnsi="Times New Roman" w:cs="Times New Roman"/>
          <w:sz w:val="24"/>
          <w:szCs w:val="24"/>
        </w:rPr>
        <w:t xml:space="preserve">the one-half share due to the applicant </w:t>
      </w:r>
      <w:r w:rsidR="00035DE3" w:rsidRPr="00943504">
        <w:rPr>
          <w:rFonts w:ascii="Times New Roman" w:hAnsi="Times New Roman" w:cs="Times New Roman"/>
          <w:sz w:val="24"/>
          <w:szCs w:val="24"/>
        </w:rPr>
        <w:t xml:space="preserve">in the sum of US$110 500 </w:t>
      </w:r>
      <w:r w:rsidR="00866DBD" w:rsidRPr="00943504">
        <w:rPr>
          <w:rFonts w:ascii="Times New Roman" w:hAnsi="Times New Roman" w:cs="Times New Roman"/>
          <w:sz w:val="24"/>
          <w:szCs w:val="24"/>
        </w:rPr>
        <w:t>in</w:t>
      </w:r>
      <w:r w:rsidR="00364F30" w:rsidRPr="00943504">
        <w:rPr>
          <w:rFonts w:ascii="Times New Roman" w:hAnsi="Times New Roman" w:cs="Times New Roman"/>
          <w:sz w:val="24"/>
          <w:szCs w:val="24"/>
        </w:rPr>
        <w:t>to</w:t>
      </w:r>
      <w:r w:rsidR="00866DBD" w:rsidRPr="00943504">
        <w:rPr>
          <w:rFonts w:ascii="Times New Roman" w:hAnsi="Times New Roman" w:cs="Times New Roman"/>
          <w:sz w:val="24"/>
          <w:szCs w:val="24"/>
        </w:rPr>
        <w:t xml:space="preserve"> her nominated bank account</w:t>
      </w:r>
      <w:r w:rsidR="00E8293D" w:rsidRPr="00943504">
        <w:rPr>
          <w:rFonts w:ascii="Times New Roman" w:hAnsi="Times New Roman" w:cs="Times New Roman"/>
          <w:sz w:val="24"/>
          <w:szCs w:val="24"/>
        </w:rPr>
        <w:t xml:space="preserve"> and transmitted proof of payment</w:t>
      </w:r>
      <w:r w:rsidR="0000096F" w:rsidRPr="00943504">
        <w:rPr>
          <w:rFonts w:ascii="Times New Roman" w:hAnsi="Times New Roman" w:cs="Times New Roman"/>
          <w:sz w:val="24"/>
          <w:szCs w:val="24"/>
        </w:rPr>
        <w:t>.</w:t>
      </w:r>
    </w:p>
    <w:p w14:paraId="175B0FCF" w14:textId="77777777" w:rsidR="00965F38" w:rsidRPr="00943504" w:rsidRDefault="00965F38" w:rsidP="00943504">
      <w:pPr>
        <w:spacing w:after="0"/>
        <w:jc w:val="both"/>
        <w:rPr>
          <w:rFonts w:ascii="Times New Roman" w:hAnsi="Times New Roman" w:cs="Times New Roman"/>
          <w:sz w:val="24"/>
          <w:szCs w:val="24"/>
        </w:rPr>
      </w:pPr>
    </w:p>
    <w:p w14:paraId="1B7A4826" w14:textId="77777777" w:rsidR="001C63C7" w:rsidRPr="00943504" w:rsidRDefault="00BA478E" w:rsidP="00943504">
      <w:pPr>
        <w:tabs>
          <w:tab w:val="left" w:pos="1134"/>
        </w:tabs>
        <w:spacing w:after="0" w:line="480" w:lineRule="auto"/>
        <w:jc w:val="both"/>
        <w:rPr>
          <w:rFonts w:ascii="Times New Roman" w:hAnsi="Times New Roman" w:cs="Times New Roman"/>
          <w:sz w:val="24"/>
          <w:szCs w:val="24"/>
        </w:rPr>
      </w:pPr>
      <w:r w:rsidRPr="00943504">
        <w:rPr>
          <w:rFonts w:ascii="Times New Roman" w:hAnsi="Times New Roman" w:cs="Times New Roman"/>
          <w:sz w:val="24"/>
          <w:szCs w:val="24"/>
        </w:rPr>
        <w:t>`</w:t>
      </w:r>
      <w:r w:rsidRPr="00943504">
        <w:rPr>
          <w:rFonts w:ascii="Times New Roman" w:hAnsi="Times New Roman" w:cs="Times New Roman"/>
          <w:sz w:val="24"/>
          <w:szCs w:val="24"/>
        </w:rPr>
        <w:tab/>
      </w:r>
      <w:r w:rsidR="00364F30" w:rsidRPr="00943504">
        <w:rPr>
          <w:rFonts w:ascii="Times New Roman" w:hAnsi="Times New Roman" w:cs="Times New Roman"/>
          <w:sz w:val="24"/>
          <w:szCs w:val="24"/>
        </w:rPr>
        <w:t>Thereafter</w:t>
      </w:r>
      <w:r w:rsidR="008909CD" w:rsidRPr="00943504">
        <w:rPr>
          <w:rFonts w:ascii="Times New Roman" w:hAnsi="Times New Roman" w:cs="Times New Roman"/>
          <w:sz w:val="24"/>
          <w:szCs w:val="24"/>
        </w:rPr>
        <w:t>,</w:t>
      </w:r>
      <w:r w:rsidR="00364F30" w:rsidRPr="00943504">
        <w:rPr>
          <w:rFonts w:ascii="Times New Roman" w:hAnsi="Times New Roman" w:cs="Times New Roman"/>
          <w:sz w:val="24"/>
          <w:szCs w:val="24"/>
        </w:rPr>
        <w:t xml:space="preserve"> h</w:t>
      </w:r>
      <w:r w:rsidR="009E0FF1" w:rsidRPr="00943504">
        <w:rPr>
          <w:rFonts w:ascii="Times New Roman" w:hAnsi="Times New Roman" w:cs="Times New Roman"/>
          <w:sz w:val="24"/>
          <w:szCs w:val="24"/>
        </w:rPr>
        <w:t>e sought transfer of the property into his name</w:t>
      </w:r>
      <w:r w:rsidR="00364F30" w:rsidRPr="00943504">
        <w:rPr>
          <w:rFonts w:ascii="Times New Roman" w:hAnsi="Times New Roman" w:cs="Times New Roman"/>
          <w:sz w:val="24"/>
          <w:szCs w:val="24"/>
        </w:rPr>
        <w:t xml:space="preserve"> but t</w:t>
      </w:r>
      <w:r w:rsidR="00B026FD" w:rsidRPr="00943504">
        <w:rPr>
          <w:rFonts w:ascii="Times New Roman" w:hAnsi="Times New Roman" w:cs="Times New Roman"/>
          <w:sz w:val="24"/>
          <w:szCs w:val="24"/>
        </w:rPr>
        <w:t>he applicant refused to co</w:t>
      </w:r>
      <w:r w:rsidR="009E0FF1" w:rsidRPr="00943504">
        <w:rPr>
          <w:rFonts w:ascii="Times New Roman" w:hAnsi="Times New Roman" w:cs="Times New Roman"/>
          <w:sz w:val="24"/>
          <w:szCs w:val="24"/>
        </w:rPr>
        <w:t xml:space="preserve">operate. He </w:t>
      </w:r>
      <w:r w:rsidR="00707D31" w:rsidRPr="00943504">
        <w:rPr>
          <w:rFonts w:ascii="Times New Roman" w:hAnsi="Times New Roman" w:cs="Times New Roman"/>
          <w:sz w:val="24"/>
          <w:szCs w:val="24"/>
        </w:rPr>
        <w:t>applied to the High Court for an order compelling the applicant to make transfer. She contested it on the basis that the respondent’s legal practitioners were guilty of mater</w:t>
      </w:r>
      <w:r w:rsidR="00364F30" w:rsidRPr="00943504">
        <w:rPr>
          <w:rFonts w:ascii="Times New Roman" w:hAnsi="Times New Roman" w:cs="Times New Roman"/>
          <w:sz w:val="24"/>
          <w:szCs w:val="24"/>
        </w:rPr>
        <w:t>ial fraudulent non-disclosure of</w:t>
      </w:r>
      <w:r w:rsidR="00707D31" w:rsidRPr="00943504">
        <w:rPr>
          <w:rFonts w:ascii="Times New Roman" w:hAnsi="Times New Roman" w:cs="Times New Roman"/>
          <w:sz w:val="24"/>
          <w:szCs w:val="24"/>
        </w:rPr>
        <w:t xml:space="preserve"> failing to copy the inquiry letter to </w:t>
      </w:r>
      <w:r w:rsidR="008909CD" w:rsidRPr="00943504">
        <w:rPr>
          <w:rFonts w:ascii="Times New Roman" w:hAnsi="Times New Roman" w:cs="Times New Roman"/>
          <w:sz w:val="24"/>
          <w:szCs w:val="24"/>
        </w:rPr>
        <w:t xml:space="preserve">Guest and Tanner to </w:t>
      </w:r>
      <w:r w:rsidR="00707D31" w:rsidRPr="00943504">
        <w:rPr>
          <w:rFonts w:ascii="Times New Roman" w:hAnsi="Times New Roman" w:cs="Times New Roman"/>
          <w:sz w:val="24"/>
          <w:szCs w:val="24"/>
        </w:rPr>
        <w:t>her legal practitioners</w:t>
      </w:r>
      <w:r w:rsidR="00F7706A" w:rsidRPr="00943504">
        <w:rPr>
          <w:rFonts w:ascii="Times New Roman" w:hAnsi="Times New Roman" w:cs="Times New Roman"/>
          <w:sz w:val="24"/>
          <w:szCs w:val="24"/>
        </w:rPr>
        <w:t>, which induced her to accept payment of US$110 500</w:t>
      </w:r>
      <w:r w:rsidR="00707D31" w:rsidRPr="00943504">
        <w:rPr>
          <w:rFonts w:ascii="Times New Roman" w:hAnsi="Times New Roman" w:cs="Times New Roman"/>
          <w:sz w:val="24"/>
          <w:szCs w:val="24"/>
        </w:rPr>
        <w:t xml:space="preserve">. She averred that the </w:t>
      </w:r>
      <w:r w:rsidR="00F7706A" w:rsidRPr="00943504">
        <w:rPr>
          <w:rFonts w:ascii="Times New Roman" w:hAnsi="Times New Roman" w:cs="Times New Roman"/>
          <w:sz w:val="24"/>
          <w:szCs w:val="24"/>
        </w:rPr>
        <w:t>material non-disclosure influenc</w:t>
      </w:r>
      <w:r w:rsidR="008909CD" w:rsidRPr="00943504">
        <w:rPr>
          <w:rFonts w:ascii="Times New Roman" w:hAnsi="Times New Roman" w:cs="Times New Roman"/>
          <w:sz w:val="24"/>
          <w:szCs w:val="24"/>
        </w:rPr>
        <w:t>ed</w:t>
      </w:r>
      <w:r w:rsidR="00707D31" w:rsidRPr="00943504">
        <w:rPr>
          <w:rFonts w:ascii="Times New Roman" w:hAnsi="Times New Roman" w:cs="Times New Roman"/>
          <w:sz w:val="24"/>
          <w:szCs w:val="24"/>
        </w:rPr>
        <w:t xml:space="preserve"> Guest and Tanner to reduce the value of the property to her prejudice. The court </w:t>
      </w:r>
      <w:r w:rsidR="00707D31" w:rsidRPr="00943504">
        <w:rPr>
          <w:rFonts w:ascii="Times New Roman" w:hAnsi="Times New Roman" w:cs="Times New Roman"/>
          <w:i/>
          <w:sz w:val="24"/>
          <w:szCs w:val="24"/>
        </w:rPr>
        <w:t xml:space="preserve">a </w:t>
      </w:r>
      <w:r w:rsidRPr="00943504">
        <w:rPr>
          <w:rFonts w:ascii="Times New Roman" w:hAnsi="Times New Roman" w:cs="Times New Roman"/>
          <w:i/>
          <w:sz w:val="24"/>
          <w:szCs w:val="24"/>
        </w:rPr>
        <w:t>quo</w:t>
      </w:r>
      <w:r w:rsidRPr="00943504">
        <w:rPr>
          <w:rFonts w:ascii="Times New Roman" w:hAnsi="Times New Roman" w:cs="Times New Roman"/>
          <w:sz w:val="24"/>
          <w:szCs w:val="24"/>
        </w:rPr>
        <w:t xml:space="preserve"> accepted</w:t>
      </w:r>
      <w:r w:rsidR="00707D31" w:rsidRPr="00943504">
        <w:rPr>
          <w:rFonts w:ascii="Times New Roman" w:hAnsi="Times New Roman" w:cs="Times New Roman"/>
          <w:sz w:val="24"/>
          <w:szCs w:val="24"/>
        </w:rPr>
        <w:t xml:space="preserve"> that the respondent’s legal practitioners had acted unethically but dismissed the objection and granted the application for the transfer of the applicant’s one-half share in the property</w:t>
      </w:r>
      <w:r w:rsidR="001C63C7" w:rsidRPr="00943504">
        <w:rPr>
          <w:rFonts w:ascii="Times New Roman" w:hAnsi="Times New Roman" w:cs="Times New Roman"/>
          <w:sz w:val="24"/>
          <w:szCs w:val="24"/>
        </w:rPr>
        <w:t xml:space="preserve"> to the respondent</w:t>
      </w:r>
      <w:r w:rsidR="00DC2A7B" w:rsidRPr="00943504">
        <w:rPr>
          <w:rFonts w:ascii="Times New Roman" w:hAnsi="Times New Roman" w:cs="Times New Roman"/>
          <w:sz w:val="24"/>
          <w:szCs w:val="24"/>
        </w:rPr>
        <w:t xml:space="preserve">. </w:t>
      </w:r>
    </w:p>
    <w:p w14:paraId="3D2EAC60" w14:textId="77777777" w:rsidR="00BA478E" w:rsidRPr="00943504" w:rsidRDefault="00BA478E" w:rsidP="00943504">
      <w:pPr>
        <w:spacing w:after="0" w:line="480" w:lineRule="auto"/>
        <w:jc w:val="both"/>
        <w:rPr>
          <w:rFonts w:ascii="Times New Roman" w:hAnsi="Times New Roman" w:cs="Times New Roman"/>
          <w:sz w:val="24"/>
          <w:szCs w:val="24"/>
        </w:rPr>
      </w:pPr>
    </w:p>
    <w:p w14:paraId="4297BF28" w14:textId="77777777" w:rsidR="00CE72A1" w:rsidRPr="00943504" w:rsidRDefault="0060201F" w:rsidP="00943504">
      <w:pPr>
        <w:spacing w:after="0" w:line="480" w:lineRule="auto"/>
        <w:ind w:firstLine="993"/>
        <w:jc w:val="both"/>
        <w:rPr>
          <w:rFonts w:ascii="Times New Roman" w:hAnsi="Times New Roman" w:cs="Times New Roman"/>
          <w:sz w:val="24"/>
          <w:szCs w:val="24"/>
        </w:rPr>
      </w:pPr>
      <w:r w:rsidRPr="00943504">
        <w:rPr>
          <w:rFonts w:ascii="Times New Roman" w:hAnsi="Times New Roman" w:cs="Times New Roman"/>
          <w:sz w:val="24"/>
          <w:szCs w:val="24"/>
        </w:rPr>
        <w:t>The applic</w:t>
      </w:r>
      <w:r w:rsidR="00364F30" w:rsidRPr="00943504">
        <w:rPr>
          <w:rFonts w:ascii="Times New Roman" w:hAnsi="Times New Roman" w:cs="Times New Roman"/>
          <w:sz w:val="24"/>
          <w:szCs w:val="24"/>
        </w:rPr>
        <w:t>ant</w:t>
      </w:r>
      <w:r w:rsidR="00DD47E2" w:rsidRPr="00943504">
        <w:rPr>
          <w:rFonts w:ascii="Times New Roman" w:hAnsi="Times New Roman" w:cs="Times New Roman"/>
          <w:sz w:val="24"/>
          <w:szCs w:val="24"/>
        </w:rPr>
        <w:t xml:space="preserve"> appealed to this C</w:t>
      </w:r>
      <w:r w:rsidR="00DC2A7B" w:rsidRPr="00943504">
        <w:rPr>
          <w:rFonts w:ascii="Times New Roman" w:hAnsi="Times New Roman" w:cs="Times New Roman"/>
          <w:sz w:val="24"/>
          <w:szCs w:val="24"/>
        </w:rPr>
        <w:t xml:space="preserve">ourt </w:t>
      </w:r>
      <w:r w:rsidR="008909CD" w:rsidRPr="00943504">
        <w:rPr>
          <w:rFonts w:ascii="Times New Roman" w:hAnsi="Times New Roman" w:cs="Times New Roman"/>
          <w:sz w:val="24"/>
          <w:szCs w:val="24"/>
        </w:rPr>
        <w:t>on</w:t>
      </w:r>
      <w:r w:rsidR="005D16B3" w:rsidRPr="00943504">
        <w:rPr>
          <w:rFonts w:ascii="Times New Roman" w:hAnsi="Times New Roman" w:cs="Times New Roman"/>
          <w:sz w:val="24"/>
          <w:szCs w:val="24"/>
        </w:rPr>
        <w:t xml:space="preserve"> two grounds of appeal </w:t>
      </w:r>
      <w:r w:rsidR="006D0B1D">
        <w:rPr>
          <w:rFonts w:ascii="Times New Roman" w:hAnsi="Times New Roman" w:cs="Times New Roman"/>
          <w:sz w:val="24"/>
          <w:szCs w:val="24"/>
        </w:rPr>
        <w:t>in case number SC </w:t>
      </w:r>
      <w:r w:rsidR="00DC2A7B" w:rsidRPr="00943504">
        <w:rPr>
          <w:rFonts w:ascii="Times New Roman" w:hAnsi="Times New Roman" w:cs="Times New Roman"/>
          <w:sz w:val="24"/>
          <w:szCs w:val="24"/>
        </w:rPr>
        <w:t xml:space="preserve">909/2018. The appeal was heard </w:t>
      </w:r>
      <w:r w:rsidR="001C63C7" w:rsidRPr="00943504">
        <w:rPr>
          <w:rFonts w:ascii="Times New Roman" w:hAnsi="Times New Roman" w:cs="Times New Roman"/>
          <w:sz w:val="24"/>
          <w:szCs w:val="24"/>
        </w:rPr>
        <w:t xml:space="preserve">on both the preliminary point raised by the respondent and on the merits </w:t>
      </w:r>
      <w:r w:rsidR="00DC2A7B" w:rsidRPr="00943504">
        <w:rPr>
          <w:rFonts w:ascii="Times New Roman" w:hAnsi="Times New Roman" w:cs="Times New Roman"/>
          <w:sz w:val="24"/>
          <w:szCs w:val="24"/>
        </w:rPr>
        <w:t xml:space="preserve">on 30 June 2019. </w:t>
      </w:r>
      <w:r w:rsidR="00364F30" w:rsidRPr="00943504">
        <w:rPr>
          <w:rFonts w:ascii="Times New Roman" w:hAnsi="Times New Roman" w:cs="Times New Roman"/>
          <w:sz w:val="24"/>
          <w:szCs w:val="24"/>
        </w:rPr>
        <w:t xml:space="preserve">The preliminary point raised was that the two grounds of appeal were prolix and argumentative. </w:t>
      </w:r>
      <w:r w:rsidR="001C63C7" w:rsidRPr="00943504">
        <w:rPr>
          <w:rFonts w:ascii="Times New Roman" w:hAnsi="Times New Roman" w:cs="Times New Roman"/>
          <w:sz w:val="24"/>
          <w:szCs w:val="24"/>
        </w:rPr>
        <w:t>Judgment w</w:t>
      </w:r>
      <w:r w:rsidR="005D16B3" w:rsidRPr="00943504">
        <w:rPr>
          <w:rFonts w:ascii="Times New Roman" w:hAnsi="Times New Roman" w:cs="Times New Roman"/>
          <w:sz w:val="24"/>
          <w:szCs w:val="24"/>
        </w:rPr>
        <w:t>as reserved and handed down on 24</w:t>
      </w:r>
      <w:r w:rsidR="001C63C7" w:rsidRPr="00943504">
        <w:rPr>
          <w:rFonts w:ascii="Times New Roman" w:hAnsi="Times New Roman" w:cs="Times New Roman"/>
          <w:sz w:val="24"/>
          <w:szCs w:val="24"/>
        </w:rPr>
        <w:t xml:space="preserve"> October 2019</w:t>
      </w:r>
      <w:r w:rsidR="00DD47E2" w:rsidRPr="00943504">
        <w:rPr>
          <w:rFonts w:ascii="Times New Roman" w:hAnsi="Times New Roman" w:cs="Times New Roman"/>
          <w:sz w:val="24"/>
          <w:szCs w:val="24"/>
        </w:rPr>
        <w:t>, as Judgment No. SC </w:t>
      </w:r>
      <w:r w:rsidR="00482438" w:rsidRPr="00943504">
        <w:rPr>
          <w:rFonts w:ascii="Times New Roman" w:hAnsi="Times New Roman" w:cs="Times New Roman"/>
          <w:sz w:val="24"/>
          <w:szCs w:val="24"/>
        </w:rPr>
        <w:t>85/19</w:t>
      </w:r>
      <w:r w:rsidR="001C63C7" w:rsidRPr="00943504">
        <w:rPr>
          <w:rFonts w:ascii="Times New Roman" w:hAnsi="Times New Roman" w:cs="Times New Roman"/>
          <w:sz w:val="24"/>
          <w:szCs w:val="24"/>
        </w:rPr>
        <w:t xml:space="preserve">.  The appeal was determined on the preliminary point. </w:t>
      </w:r>
      <w:r w:rsidR="005D16B3" w:rsidRPr="00943504">
        <w:rPr>
          <w:rFonts w:ascii="Times New Roman" w:hAnsi="Times New Roman" w:cs="Times New Roman"/>
          <w:sz w:val="24"/>
          <w:szCs w:val="24"/>
        </w:rPr>
        <w:t xml:space="preserve">The two grounds of appeal were found </w:t>
      </w:r>
      <w:r w:rsidR="00CE72A1" w:rsidRPr="00943504">
        <w:rPr>
          <w:rFonts w:ascii="Times New Roman" w:hAnsi="Times New Roman" w:cs="Times New Roman"/>
          <w:sz w:val="24"/>
          <w:szCs w:val="24"/>
        </w:rPr>
        <w:t xml:space="preserve">to be “prolix and argumentative”. The appeal was </w:t>
      </w:r>
      <w:r w:rsidR="008909CD" w:rsidRPr="00943504">
        <w:rPr>
          <w:rFonts w:ascii="Times New Roman" w:hAnsi="Times New Roman" w:cs="Times New Roman"/>
          <w:sz w:val="24"/>
          <w:szCs w:val="24"/>
        </w:rPr>
        <w:t xml:space="preserve">accordingly </w:t>
      </w:r>
      <w:r w:rsidR="00CE72A1" w:rsidRPr="00943504">
        <w:rPr>
          <w:rFonts w:ascii="Times New Roman" w:hAnsi="Times New Roman" w:cs="Times New Roman"/>
          <w:sz w:val="24"/>
          <w:szCs w:val="24"/>
        </w:rPr>
        <w:t xml:space="preserve">struck off the roll on the basis that the notice of appeal was fatally defective. </w:t>
      </w:r>
    </w:p>
    <w:p w14:paraId="528D4B08" w14:textId="77777777" w:rsidR="00DD47E2" w:rsidRPr="00943504" w:rsidRDefault="00DD47E2" w:rsidP="00943504">
      <w:pPr>
        <w:spacing w:after="0"/>
        <w:jc w:val="both"/>
        <w:rPr>
          <w:rFonts w:ascii="Times New Roman" w:hAnsi="Times New Roman" w:cs="Times New Roman"/>
          <w:sz w:val="24"/>
          <w:szCs w:val="24"/>
        </w:rPr>
      </w:pPr>
    </w:p>
    <w:p w14:paraId="11844228" w14:textId="77777777" w:rsidR="00943504" w:rsidRDefault="00943504" w:rsidP="00943504">
      <w:pPr>
        <w:spacing w:after="0" w:line="240" w:lineRule="auto"/>
        <w:jc w:val="both"/>
        <w:rPr>
          <w:rFonts w:ascii="Times New Roman" w:hAnsi="Times New Roman" w:cs="Times New Roman"/>
          <w:sz w:val="24"/>
          <w:szCs w:val="24"/>
        </w:rPr>
      </w:pPr>
    </w:p>
    <w:p w14:paraId="19EAC09D" w14:textId="50BA46B3" w:rsidR="00B736B6" w:rsidRPr="00943504" w:rsidRDefault="001B06BC"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On 13 November 2019, the app</w:t>
      </w:r>
      <w:r w:rsidR="00CE72A1" w:rsidRPr="00943504">
        <w:rPr>
          <w:rFonts w:ascii="Times New Roman" w:hAnsi="Times New Roman" w:cs="Times New Roman"/>
          <w:sz w:val="24"/>
          <w:szCs w:val="24"/>
        </w:rPr>
        <w:t>l</w:t>
      </w:r>
      <w:r w:rsidRPr="00943504">
        <w:rPr>
          <w:rFonts w:ascii="Times New Roman" w:hAnsi="Times New Roman" w:cs="Times New Roman"/>
          <w:sz w:val="24"/>
          <w:szCs w:val="24"/>
        </w:rPr>
        <w:t>ic</w:t>
      </w:r>
      <w:r w:rsidR="00CE72A1" w:rsidRPr="00943504">
        <w:rPr>
          <w:rFonts w:ascii="Times New Roman" w:hAnsi="Times New Roman" w:cs="Times New Roman"/>
          <w:sz w:val="24"/>
          <w:szCs w:val="24"/>
        </w:rPr>
        <w:t>ant’s legal practitioners of record wrote to the Registrar of this Court seeking the correction of the judgment in terms of r 73 of the Supreme Court rules as read with r</w:t>
      </w:r>
      <w:r w:rsidR="009744B5" w:rsidRPr="00943504">
        <w:rPr>
          <w:rFonts w:ascii="Times New Roman" w:hAnsi="Times New Roman" w:cs="Times New Roman"/>
          <w:sz w:val="24"/>
          <w:szCs w:val="24"/>
        </w:rPr>
        <w:t xml:space="preserve"> </w:t>
      </w:r>
      <w:r w:rsidR="00CE72A1" w:rsidRPr="00943504">
        <w:rPr>
          <w:rFonts w:ascii="Times New Roman" w:hAnsi="Times New Roman" w:cs="Times New Roman"/>
          <w:sz w:val="24"/>
          <w:szCs w:val="24"/>
        </w:rPr>
        <w:t xml:space="preserve">449 (1) (b) of the High Court rules. </w:t>
      </w:r>
      <w:r w:rsidR="009744B5" w:rsidRPr="00943504">
        <w:rPr>
          <w:rFonts w:ascii="Times New Roman" w:hAnsi="Times New Roman" w:cs="Times New Roman"/>
          <w:sz w:val="24"/>
          <w:szCs w:val="24"/>
        </w:rPr>
        <w:t>Out of an abundance of caution the applicant filed the present application on 21 November 2019. It was opposed on 28</w:t>
      </w:r>
      <w:r w:rsidR="00092BD6" w:rsidRPr="00943504">
        <w:rPr>
          <w:rFonts w:ascii="Times New Roman" w:hAnsi="Times New Roman" w:cs="Times New Roman"/>
          <w:sz w:val="24"/>
          <w:szCs w:val="24"/>
        </w:rPr>
        <w:t> November </w:t>
      </w:r>
      <w:r w:rsidR="009744B5" w:rsidRPr="00943504">
        <w:rPr>
          <w:rFonts w:ascii="Times New Roman" w:hAnsi="Times New Roman" w:cs="Times New Roman"/>
          <w:sz w:val="24"/>
          <w:szCs w:val="24"/>
        </w:rPr>
        <w:t xml:space="preserve">2019. The answering affidavit was </w:t>
      </w:r>
      <w:r w:rsidR="00452352" w:rsidRPr="00943504">
        <w:rPr>
          <w:rFonts w:ascii="Times New Roman" w:hAnsi="Times New Roman" w:cs="Times New Roman"/>
          <w:sz w:val="24"/>
          <w:szCs w:val="24"/>
        </w:rPr>
        <w:t xml:space="preserve">irregularly </w:t>
      </w:r>
      <w:r w:rsidR="009744B5" w:rsidRPr="00943504">
        <w:rPr>
          <w:rFonts w:ascii="Times New Roman" w:hAnsi="Times New Roman" w:cs="Times New Roman"/>
          <w:sz w:val="24"/>
          <w:szCs w:val="24"/>
        </w:rPr>
        <w:t>filed on 6 December 2019</w:t>
      </w:r>
      <w:r w:rsidR="00452352" w:rsidRPr="00943504">
        <w:rPr>
          <w:rFonts w:ascii="Times New Roman" w:hAnsi="Times New Roman" w:cs="Times New Roman"/>
          <w:sz w:val="24"/>
          <w:szCs w:val="24"/>
        </w:rPr>
        <w:t xml:space="preserve">, </w:t>
      </w:r>
      <w:r w:rsidR="00452352" w:rsidRPr="00943504">
        <w:rPr>
          <w:rFonts w:ascii="Times New Roman" w:hAnsi="Times New Roman" w:cs="Times New Roman"/>
          <w:sz w:val="24"/>
          <w:szCs w:val="24"/>
        </w:rPr>
        <w:lastRenderedPageBreak/>
        <w:t xml:space="preserve">outside the period prescribed in r </w:t>
      </w:r>
      <w:r w:rsidR="00782A40" w:rsidRPr="00943504">
        <w:rPr>
          <w:rFonts w:ascii="Times New Roman" w:hAnsi="Times New Roman" w:cs="Times New Roman"/>
          <w:sz w:val="24"/>
          <w:szCs w:val="24"/>
        </w:rPr>
        <w:t>43</w:t>
      </w:r>
      <w:r w:rsidR="00634724" w:rsidRPr="00943504">
        <w:rPr>
          <w:rFonts w:ascii="Times New Roman" w:hAnsi="Times New Roman" w:cs="Times New Roman"/>
          <w:sz w:val="24"/>
          <w:szCs w:val="24"/>
        </w:rPr>
        <w:t xml:space="preserve"> (</w:t>
      </w:r>
      <w:r w:rsidR="00782A40" w:rsidRPr="00943504">
        <w:rPr>
          <w:rFonts w:ascii="Times New Roman" w:hAnsi="Times New Roman" w:cs="Times New Roman"/>
          <w:sz w:val="24"/>
          <w:szCs w:val="24"/>
        </w:rPr>
        <w:t>5</w:t>
      </w:r>
      <w:r w:rsidR="00634724" w:rsidRPr="00943504">
        <w:rPr>
          <w:rFonts w:ascii="Times New Roman" w:hAnsi="Times New Roman" w:cs="Times New Roman"/>
          <w:sz w:val="24"/>
          <w:szCs w:val="24"/>
        </w:rPr>
        <w:t xml:space="preserve">) </w:t>
      </w:r>
      <w:r w:rsidR="00452352" w:rsidRPr="00943504">
        <w:rPr>
          <w:rFonts w:ascii="Times New Roman" w:hAnsi="Times New Roman" w:cs="Times New Roman"/>
          <w:sz w:val="24"/>
          <w:szCs w:val="24"/>
        </w:rPr>
        <w:t>of the Supreme Court Rules, 2018</w:t>
      </w:r>
      <w:r w:rsidR="009744B5" w:rsidRPr="00943504">
        <w:rPr>
          <w:rFonts w:ascii="Times New Roman" w:hAnsi="Times New Roman" w:cs="Times New Roman"/>
          <w:sz w:val="24"/>
          <w:szCs w:val="24"/>
        </w:rPr>
        <w:t>. The matter was set down in chambers on 20 December 2019</w:t>
      </w:r>
      <w:r w:rsidR="00CB6410" w:rsidRPr="00943504">
        <w:rPr>
          <w:rFonts w:ascii="Times New Roman" w:hAnsi="Times New Roman" w:cs="Times New Roman"/>
          <w:sz w:val="24"/>
          <w:szCs w:val="24"/>
        </w:rPr>
        <w:t>,</w:t>
      </w:r>
      <w:r w:rsidR="009744B5" w:rsidRPr="00943504">
        <w:rPr>
          <w:rFonts w:ascii="Times New Roman" w:hAnsi="Times New Roman" w:cs="Times New Roman"/>
          <w:sz w:val="24"/>
          <w:szCs w:val="24"/>
        </w:rPr>
        <w:t xml:space="preserve"> and removed from the roll for the reason that the letter of 13 November 2013</w:t>
      </w:r>
      <w:r w:rsidR="004D1D8E" w:rsidRPr="00943504">
        <w:rPr>
          <w:rFonts w:ascii="Times New Roman" w:hAnsi="Times New Roman" w:cs="Times New Roman"/>
          <w:sz w:val="24"/>
          <w:szCs w:val="24"/>
        </w:rPr>
        <w:t>,</w:t>
      </w:r>
      <w:r w:rsidR="009744B5" w:rsidRPr="00943504">
        <w:rPr>
          <w:rFonts w:ascii="Times New Roman" w:hAnsi="Times New Roman" w:cs="Times New Roman"/>
          <w:sz w:val="24"/>
          <w:szCs w:val="24"/>
        </w:rPr>
        <w:t xml:space="preserve"> </w:t>
      </w:r>
      <w:r w:rsidR="007F2D1D" w:rsidRPr="00943504">
        <w:rPr>
          <w:rFonts w:ascii="Times New Roman" w:hAnsi="Times New Roman" w:cs="Times New Roman"/>
          <w:sz w:val="24"/>
          <w:szCs w:val="24"/>
        </w:rPr>
        <w:t xml:space="preserve">seeking correction of the judgment of this Court </w:t>
      </w:r>
      <w:r w:rsidR="009744B5" w:rsidRPr="00943504">
        <w:rPr>
          <w:rFonts w:ascii="Times New Roman" w:hAnsi="Times New Roman" w:cs="Times New Roman"/>
          <w:sz w:val="24"/>
          <w:szCs w:val="24"/>
        </w:rPr>
        <w:t xml:space="preserve">constituted </w:t>
      </w:r>
      <w:r w:rsidR="009744B5" w:rsidRPr="00943504">
        <w:rPr>
          <w:rFonts w:ascii="Times New Roman" w:hAnsi="Times New Roman" w:cs="Times New Roman"/>
          <w:i/>
          <w:sz w:val="24"/>
          <w:szCs w:val="24"/>
        </w:rPr>
        <w:t>lis pendens</w:t>
      </w:r>
      <w:r w:rsidR="009744B5" w:rsidRPr="00943504">
        <w:rPr>
          <w:rFonts w:ascii="Times New Roman" w:hAnsi="Times New Roman" w:cs="Times New Roman"/>
          <w:sz w:val="24"/>
          <w:szCs w:val="24"/>
        </w:rPr>
        <w:t>. The applicant managed to save her application by withdrawing the letter of</w:t>
      </w:r>
      <w:r w:rsidR="00804849">
        <w:rPr>
          <w:rFonts w:ascii="Times New Roman" w:hAnsi="Times New Roman" w:cs="Times New Roman"/>
          <w:sz w:val="24"/>
          <w:szCs w:val="24"/>
        </w:rPr>
        <w:t xml:space="preserve"> 13 </w:t>
      </w:r>
      <w:r w:rsidR="00B736B6" w:rsidRPr="00943504">
        <w:rPr>
          <w:rFonts w:ascii="Times New Roman" w:hAnsi="Times New Roman" w:cs="Times New Roman"/>
          <w:sz w:val="24"/>
          <w:szCs w:val="24"/>
        </w:rPr>
        <w:t>November 2019</w:t>
      </w:r>
      <w:r w:rsidR="004D1D8E" w:rsidRPr="00943504">
        <w:rPr>
          <w:rFonts w:ascii="Times New Roman" w:hAnsi="Times New Roman" w:cs="Times New Roman"/>
          <w:sz w:val="24"/>
          <w:szCs w:val="24"/>
        </w:rPr>
        <w:t>,</w:t>
      </w:r>
      <w:r w:rsidR="00B736B6" w:rsidRPr="00943504">
        <w:rPr>
          <w:rFonts w:ascii="Times New Roman" w:hAnsi="Times New Roman" w:cs="Times New Roman"/>
          <w:sz w:val="24"/>
          <w:szCs w:val="24"/>
        </w:rPr>
        <w:t xml:space="preserve"> on 27 January 2020. </w:t>
      </w:r>
    </w:p>
    <w:p w14:paraId="5DEC16D5" w14:textId="77777777" w:rsidR="00DD47E2" w:rsidRPr="00943504" w:rsidRDefault="00DD47E2" w:rsidP="00943504">
      <w:pPr>
        <w:spacing w:after="0" w:line="480" w:lineRule="auto"/>
        <w:jc w:val="both"/>
        <w:rPr>
          <w:rFonts w:ascii="Times New Roman" w:hAnsi="Times New Roman" w:cs="Times New Roman"/>
          <w:sz w:val="24"/>
          <w:szCs w:val="24"/>
        </w:rPr>
      </w:pPr>
    </w:p>
    <w:p w14:paraId="4534D460" w14:textId="77777777" w:rsidR="00B736B6" w:rsidRPr="00943504" w:rsidRDefault="00B736B6"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Consequently, the respondent filed his</w:t>
      </w:r>
      <w:r w:rsidR="00F75133" w:rsidRPr="00943504">
        <w:rPr>
          <w:rFonts w:ascii="Times New Roman" w:hAnsi="Times New Roman" w:cs="Times New Roman"/>
          <w:sz w:val="24"/>
          <w:szCs w:val="24"/>
        </w:rPr>
        <w:t xml:space="preserve"> heads of argument on 30</w:t>
      </w:r>
      <w:r w:rsidR="009744B5" w:rsidRPr="00943504">
        <w:rPr>
          <w:rFonts w:ascii="Times New Roman" w:hAnsi="Times New Roman" w:cs="Times New Roman"/>
          <w:sz w:val="24"/>
          <w:szCs w:val="24"/>
        </w:rPr>
        <w:t xml:space="preserve"> January 2020</w:t>
      </w:r>
      <w:r w:rsidR="00CB6410" w:rsidRPr="00943504">
        <w:rPr>
          <w:rFonts w:ascii="Times New Roman" w:hAnsi="Times New Roman" w:cs="Times New Roman"/>
          <w:sz w:val="24"/>
          <w:szCs w:val="24"/>
        </w:rPr>
        <w:t>,</w:t>
      </w:r>
      <w:r w:rsidR="009744B5" w:rsidRPr="00943504">
        <w:rPr>
          <w:rFonts w:ascii="Times New Roman" w:hAnsi="Times New Roman" w:cs="Times New Roman"/>
          <w:sz w:val="24"/>
          <w:szCs w:val="24"/>
        </w:rPr>
        <w:t xml:space="preserve"> while the</w:t>
      </w:r>
      <w:r w:rsidR="00AC0C97" w:rsidRPr="00943504">
        <w:rPr>
          <w:rFonts w:ascii="Times New Roman" w:hAnsi="Times New Roman" w:cs="Times New Roman"/>
          <w:sz w:val="24"/>
          <w:szCs w:val="24"/>
        </w:rPr>
        <w:t xml:space="preserve"> applicant did so on 4 February </w:t>
      </w:r>
      <w:r w:rsidR="00757532" w:rsidRPr="00943504">
        <w:rPr>
          <w:rFonts w:ascii="Times New Roman" w:hAnsi="Times New Roman" w:cs="Times New Roman"/>
          <w:sz w:val="24"/>
          <w:szCs w:val="24"/>
        </w:rPr>
        <w:t>202</w:t>
      </w:r>
      <w:r w:rsidR="009744B5" w:rsidRPr="00943504">
        <w:rPr>
          <w:rFonts w:ascii="Times New Roman" w:hAnsi="Times New Roman" w:cs="Times New Roman"/>
          <w:sz w:val="24"/>
          <w:szCs w:val="24"/>
        </w:rPr>
        <w:t>0.</w:t>
      </w:r>
      <w:r w:rsidRPr="00943504">
        <w:rPr>
          <w:rFonts w:ascii="Times New Roman" w:hAnsi="Times New Roman" w:cs="Times New Roman"/>
          <w:sz w:val="24"/>
          <w:szCs w:val="24"/>
        </w:rPr>
        <w:t xml:space="preserve"> The application is silent on the events between that date and 2 October 2020, when </w:t>
      </w:r>
      <w:r w:rsidR="007F2D1D" w:rsidRPr="00943504">
        <w:rPr>
          <w:rFonts w:ascii="Times New Roman" w:hAnsi="Times New Roman" w:cs="Times New Roman"/>
          <w:sz w:val="24"/>
          <w:szCs w:val="24"/>
        </w:rPr>
        <w:t>the matter was placed before me</w:t>
      </w:r>
      <w:r w:rsidR="00CB6410" w:rsidRPr="00943504">
        <w:rPr>
          <w:rFonts w:ascii="Times New Roman" w:hAnsi="Times New Roman" w:cs="Times New Roman"/>
          <w:sz w:val="24"/>
          <w:szCs w:val="24"/>
        </w:rPr>
        <w:t>, without the heads of argument</w:t>
      </w:r>
      <w:r w:rsidR="007F2D1D" w:rsidRPr="00943504">
        <w:rPr>
          <w:rFonts w:ascii="Times New Roman" w:hAnsi="Times New Roman" w:cs="Times New Roman"/>
          <w:sz w:val="24"/>
          <w:szCs w:val="24"/>
        </w:rPr>
        <w:t xml:space="preserve">. </w:t>
      </w:r>
      <w:r w:rsidRPr="00943504">
        <w:rPr>
          <w:rFonts w:ascii="Times New Roman" w:hAnsi="Times New Roman" w:cs="Times New Roman"/>
          <w:sz w:val="24"/>
          <w:szCs w:val="24"/>
        </w:rPr>
        <w:t xml:space="preserve">I set </w:t>
      </w:r>
      <w:r w:rsidR="007F2D1D" w:rsidRPr="00943504">
        <w:rPr>
          <w:rFonts w:ascii="Times New Roman" w:hAnsi="Times New Roman" w:cs="Times New Roman"/>
          <w:sz w:val="24"/>
          <w:szCs w:val="24"/>
        </w:rPr>
        <w:t>it down</w:t>
      </w:r>
      <w:r w:rsidRPr="00943504">
        <w:rPr>
          <w:rFonts w:ascii="Times New Roman" w:hAnsi="Times New Roman" w:cs="Times New Roman"/>
          <w:sz w:val="24"/>
          <w:szCs w:val="24"/>
        </w:rPr>
        <w:t xml:space="preserve"> for hearing on 9 October 2020</w:t>
      </w:r>
      <w:r w:rsidR="00CB6410" w:rsidRPr="00943504">
        <w:rPr>
          <w:rFonts w:ascii="Times New Roman" w:hAnsi="Times New Roman" w:cs="Times New Roman"/>
          <w:sz w:val="24"/>
          <w:szCs w:val="24"/>
        </w:rPr>
        <w:t xml:space="preserve">, on which date the parties handed copies of their heads of argument </w:t>
      </w:r>
      <w:r w:rsidR="00DB7666" w:rsidRPr="00943504">
        <w:rPr>
          <w:rFonts w:ascii="Times New Roman" w:hAnsi="Times New Roman" w:cs="Times New Roman"/>
          <w:sz w:val="24"/>
          <w:szCs w:val="24"/>
        </w:rPr>
        <w:t>from the bar</w:t>
      </w:r>
      <w:r w:rsidRPr="00943504">
        <w:rPr>
          <w:rFonts w:ascii="Times New Roman" w:hAnsi="Times New Roman" w:cs="Times New Roman"/>
          <w:sz w:val="24"/>
          <w:szCs w:val="24"/>
        </w:rPr>
        <w:t xml:space="preserve">. </w:t>
      </w:r>
    </w:p>
    <w:p w14:paraId="16C44F67" w14:textId="77777777" w:rsidR="00092BD6" w:rsidRPr="00943504" w:rsidRDefault="00092BD6" w:rsidP="00943504">
      <w:pPr>
        <w:spacing w:after="0" w:line="240" w:lineRule="auto"/>
        <w:jc w:val="both"/>
        <w:rPr>
          <w:rFonts w:ascii="Times New Roman" w:hAnsi="Times New Roman" w:cs="Times New Roman"/>
          <w:sz w:val="24"/>
          <w:szCs w:val="24"/>
        </w:rPr>
      </w:pPr>
    </w:p>
    <w:p w14:paraId="0426E4CF" w14:textId="77777777" w:rsidR="00AC0C97" w:rsidRPr="00943504" w:rsidRDefault="00AC0C97" w:rsidP="00943504">
      <w:pPr>
        <w:spacing w:after="0"/>
        <w:jc w:val="both"/>
        <w:rPr>
          <w:rFonts w:ascii="Times New Roman" w:hAnsi="Times New Roman" w:cs="Times New Roman"/>
          <w:sz w:val="24"/>
          <w:szCs w:val="24"/>
        </w:rPr>
      </w:pPr>
    </w:p>
    <w:p w14:paraId="63248A20" w14:textId="77777777" w:rsidR="00A624C9" w:rsidRPr="00943504" w:rsidRDefault="007F2D1D" w:rsidP="00943504">
      <w:pPr>
        <w:spacing w:after="0" w:line="480" w:lineRule="auto"/>
        <w:ind w:firstLine="993"/>
        <w:jc w:val="both"/>
        <w:rPr>
          <w:rFonts w:ascii="Times New Roman" w:hAnsi="Times New Roman" w:cs="Times New Roman"/>
          <w:sz w:val="24"/>
          <w:szCs w:val="24"/>
        </w:rPr>
      </w:pPr>
      <w:r w:rsidRPr="00943504">
        <w:rPr>
          <w:rFonts w:ascii="Times New Roman" w:hAnsi="Times New Roman" w:cs="Times New Roman"/>
          <w:sz w:val="24"/>
          <w:szCs w:val="24"/>
        </w:rPr>
        <w:t>At the hearing, t</w:t>
      </w:r>
      <w:r w:rsidR="00B736B6" w:rsidRPr="00943504">
        <w:rPr>
          <w:rFonts w:ascii="Times New Roman" w:hAnsi="Times New Roman" w:cs="Times New Roman"/>
          <w:sz w:val="24"/>
          <w:szCs w:val="24"/>
        </w:rPr>
        <w:t>he</w:t>
      </w:r>
      <w:r w:rsidR="000D227B" w:rsidRPr="00943504">
        <w:rPr>
          <w:rFonts w:ascii="Times New Roman" w:hAnsi="Times New Roman" w:cs="Times New Roman"/>
          <w:sz w:val="24"/>
          <w:szCs w:val="24"/>
        </w:rPr>
        <w:t xml:space="preserve"> re</w:t>
      </w:r>
      <w:r w:rsidR="00B20D80" w:rsidRPr="00943504">
        <w:rPr>
          <w:rFonts w:ascii="Times New Roman" w:hAnsi="Times New Roman" w:cs="Times New Roman"/>
          <w:sz w:val="24"/>
          <w:szCs w:val="24"/>
        </w:rPr>
        <w:t>spondent rai</w:t>
      </w:r>
      <w:r w:rsidRPr="00943504">
        <w:rPr>
          <w:rFonts w:ascii="Times New Roman" w:hAnsi="Times New Roman" w:cs="Times New Roman"/>
          <w:sz w:val="24"/>
          <w:szCs w:val="24"/>
        </w:rPr>
        <w:t>sed</w:t>
      </w:r>
      <w:r w:rsidR="001405BF" w:rsidRPr="00943504">
        <w:rPr>
          <w:rFonts w:ascii="Times New Roman" w:hAnsi="Times New Roman" w:cs="Times New Roman"/>
          <w:sz w:val="24"/>
          <w:szCs w:val="24"/>
        </w:rPr>
        <w:t xml:space="preserve"> five</w:t>
      </w:r>
      <w:r w:rsidRPr="00943504">
        <w:rPr>
          <w:rFonts w:ascii="Times New Roman" w:hAnsi="Times New Roman" w:cs="Times New Roman"/>
          <w:sz w:val="24"/>
          <w:szCs w:val="24"/>
        </w:rPr>
        <w:t xml:space="preserve"> preliminary points. These concerned</w:t>
      </w:r>
      <w:r w:rsidR="00B20D80" w:rsidRPr="00943504">
        <w:rPr>
          <w:rFonts w:ascii="Times New Roman" w:hAnsi="Times New Roman" w:cs="Times New Roman"/>
          <w:sz w:val="24"/>
          <w:szCs w:val="24"/>
        </w:rPr>
        <w:t xml:space="preserve"> the use of the wrong for</w:t>
      </w:r>
      <w:r w:rsidR="00B736B6" w:rsidRPr="00943504">
        <w:rPr>
          <w:rFonts w:ascii="Times New Roman" w:hAnsi="Times New Roman" w:cs="Times New Roman"/>
          <w:sz w:val="24"/>
          <w:szCs w:val="24"/>
        </w:rPr>
        <w:t>m</w:t>
      </w:r>
      <w:r w:rsidR="00B20D80" w:rsidRPr="00943504">
        <w:rPr>
          <w:rFonts w:ascii="Times New Roman" w:hAnsi="Times New Roman" w:cs="Times New Roman"/>
          <w:sz w:val="24"/>
          <w:szCs w:val="24"/>
        </w:rPr>
        <w:t>, the lack of authority by the deponent to the founding affidavit</w:t>
      </w:r>
      <w:r w:rsidRPr="00943504">
        <w:rPr>
          <w:rFonts w:ascii="Times New Roman" w:hAnsi="Times New Roman" w:cs="Times New Roman"/>
          <w:sz w:val="24"/>
          <w:szCs w:val="24"/>
        </w:rPr>
        <w:t xml:space="preserve"> to depose to it</w:t>
      </w:r>
      <w:r w:rsidR="00B20D80" w:rsidRPr="00943504">
        <w:rPr>
          <w:rFonts w:ascii="Times New Roman" w:hAnsi="Times New Roman" w:cs="Times New Roman"/>
          <w:sz w:val="24"/>
          <w:szCs w:val="24"/>
        </w:rPr>
        <w:t xml:space="preserve">, </w:t>
      </w:r>
      <w:r w:rsidR="00B20D80" w:rsidRPr="00943504">
        <w:rPr>
          <w:rFonts w:ascii="Times New Roman" w:hAnsi="Times New Roman" w:cs="Times New Roman"/>
          <w:i/>
          <w:sz w:val="24"/>
          <w:szCs w:val="24"/>
        </w:rPr>
        <w:t>lis pendens</w:t>
      </w:r>
      <w:r w:rsidR="00B20D80" w:rsidRPr="00943504">
        <w:rPr>
          <w:rFonts w:ascii="Times New Roman" w:hAnsi="Times New Roman" w:cs="Times New Roman"/>
          <w:sz w:val="24"/>
          <w:szCs w:val="24"/>
        </w:rPr>
        <w:t>, defective ground</w:t>
      </w:r>
      <w:r w:rsidRPr="00943504">
        <w:rPr>
          <w:rFonts w:ascii="Times New Roman" w:hAnsi="Times New Roman" w:cs="Times New Roman"/>
          <w:sz w:val="24"/>
          <w:szCs w:val="24"/>
        </w:rPr>
        <w:t>s</w:t>
      </w:r>
      <w:r w:rsidR="00B20D80" w:rsidRPr="00943504">
        <w:rPr>
          <w:rFonts w:ascii="Times New Roman" w:hAnsi="Times New Roman" w:cs="Times New Roman"/>
          <w:sz w:val="24"/>
          <w:szCs w:val="24"/>
        </w:rPr>
        <w:t xml:space="preserve"> of appeal in the draft notice of appeal and an invalid draft order. </w:t>
      </w:r>
      <w:r w:rsidR="00C3540D" w:rsidRPr="00943504">
        <w:rPr>
          <w:rFonts w:ascii="Times New Roman" w:hAnsi="Times New Roman" w:cs="Times New Roman"/>
          <w:sz w:val="24"/>
          <w:szCs w:val="24"/>
        </w:rPr>
        <w:t>I</w:t>
      </w:r>
      <w:r w:rsidR="00A624C9" w:rsidRPr="00943504">
        <w:rPr>
          <w:rFonts w:ascii="Times New Roman" w:hAnsi="Times New Roman" w:cs="Times New Roman"/>
          <w:sz w:val="24"/>
          <w:szCs w:val="24"/>
        </w:rPr>
        <w:t xml:space="preserve"> heard argument on both the preliminary points and on the merits. I indicated to the parties that I would not proceed to determine the matter on the merits if I upheld any of the preliminary points raised and reserved judgment. I deal with each preliminary point in turn.</w:t>
      </w:r>
    </w:p>
    <w:p w14:paraId="0BD3DEEC" w14:textId="77777777" w:rsidR="009C0922" w:rsidRPr="00943504" w:rsidRDefault="009C0922" w:rsidP="00943504">
      <w:pPr>
        <w:spacing w:after="0"/>
        <w:jc w:val="both"/>
        <w:rPr>
          <w:rFonts w:ascii="Times New Roman" w:hAnsi="Times New Roman" w:cs="Times New Roman"/>
          <w:sz w:val="24"/>
          <w:szCs w:val="24"/>
        </w:rPr>
      </w:pPr>
    </w:p>
    <w:p w14:paraId="5A1BA96C" w14:textId="77777777" w:rsidR="00892012" w:rsidRPr="006D0B1D" w:rsidRDefault="006D0B1D" w:rsidP="00943504">
      <w:pPr>
        <w:spacing w:after="0"/>
        <w:jc w:val="both"/>
        <w:rPr>
          <w:rFonts w:ascii="Times New Roman" w:hAnsi="Times New Roman" w:cs="Times New Roman"/>
          <w:b/>
          <w:sz w:val="24"/>
          <w:szCs w:val="24"/>
        </w:rPr>
      </w:pPr>
      <w:r w:rsidRPr="006D0B1D">
        <w:rPr>
          <w:rFonts w:ascii="Times New Roman" w:hAnsi="Times New Roman" w:cs="Times New Roman"/>
          <w:b/>
          <w:sz w:val="24"/>
          <w:szCs w:val="24"/>
        </w:rPr>
        <w:t>THE PRELIMINARY POINTS</w:t>
      </w:r>
    </w:p>
    <w:p w14:paraId="723F7C15" w14:textId="77777777" w:rsidR="006D0B1D" w:rsidRDefault="006D0B1D" w:rsidP="00943504">
      <w:pPr>
        <w:spacing w:after="0"/>
        <w:jc w:val="both"/>
        <w:rPr>
          <w:rFonts w:ascii="Times New Roman" w:hAnsi="Times New Roman" w:cs="Times New Roman"/>
          <w:b/>
          <w:sz w:val="24"/>
          <w:szCs w:val="24"/>
        </w:rPr>
      </w:pPr>
    </w:p>
    <w:p w14:paraId="08882865" w14:textId="77777777" w:rsidR="00C3540D" w:rsidRPr="006D0B1D" w:rsidRDefault="006D0B1D" w:rsidP="00943504">
      <w:pPr>
        <w:spacing w:after="0"/>
        <w:jc w:val="both"/>
        <w:rPr>
          <w:rFonts w:ascii="Times New Roman" w:hAnsi="Times New Roman" w:cs="Times New Roman"/>
          <w:b/>
          <w:sz w:val="24"/>
          <w:szCs w:val="24"/>
        </w:rPr>
      </w:pPr>
      <w:r w:rsidRPr="006D0B1D">
        <w:rPr>
          <w:rFonts w:ascii="Times New Roman" w:hAnsi="Times New Roman" w:cs="Times New Roman"/>
          <w:b/>
          <w:sz w:val="24"/>
          <w:szCs w:val="24"/>
        </w:rPr>
        <w:t>THE USE OF THE WRONG FORM</w:t>
      </w:r>
    </w:p>
    <w:p w14:paraId="6A825A6B" w14:textId="77777777" w:rsidR="00943504" w:rsidRDefault="00943504" w:rsidP="00943504">
      <w:pPr>
        <w:spacing w:after="0" w:line="480" w:lineRule="auto"/>
        <w:jc w:val="both"/>
        <w:rPr>
          <w:rFonts w:ascii="Times New Roman" w:hAnsi="Times New Roman" w:cs="Times New Roman"/>
          <w:sz w:val="24"/>
          <w:szCs w:val="24"/>
        </w:rPr>
      </w:pPr>
    </w:p>
    <w:p w14:paraId="25D3AFC3" w14:textId="77777777" w:rsidR="00C3540D" w:rsidRPr="00943504" w:rsidRDefault="00C3540D"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The respondent contended that, in the absence of a specified form prescribed for use by the rules of this Court in respect of the present application, the appl</w:t>
      </w:r>
      <w:r w:rsidR="009C0922" w:rsidRPr="00943504">
        <w:rPr>
          <w:rFonts w:ascii="Times New Roman" w:hAnsi="Times New Roman" w:cs="Times New Roman"/>
          <w:sz w:val="24"/>
          <w:szCs w:val="24"/>
        </w:rPr>
        <w:t>icant should, in terms of r </w:t>
      </w:r>
      <w:r w:rsidR="0086486F" w:rsidRPr="00943504">
        <w:rPr>
          <w:rFonts w:ascii="Times New Roman" w:hAnsi="Times New Roman" w:cs="Times New Roman"/>
          <w:sz w:val="24"/>
          <w:szCs w:val="24"/>
        </w:rPr>
        <w:t>73 of the Supreme Court rules,</w:t>
      </w:r>
      <w:r w:rsidRPr="00943504">
        <w:rPr>
          <w:rFonts w:ascii="Times New Roman" w:hAnsi="Times New Roman" w:cs="Times New Roman"/>
          <w:sz w:val="24"/>
          <w:szCs w:val="24"/>
        </w:rPr>
        <w:t xml:space="preserve"> </w:t>
      </w:r>
      <w:r w:rsidR="0086486F" w:rsidRPr="00943504">
        <w:rPr>
          <w:rFonts w:ascii="Times New Roman" w:hAnsi="Times New Roman" w:cs="Times New Roman"/>
          <w:sz w:val="24"/>
          <w:szCs w:val="24"/>
        </w:rPr>
        <w:t>have resorted to r</w:t>
      </w:r>
      <w:r w:rsidR="004D1D8E" w:rsidRPr="00943504">
        <w:rPr>
          <w:rFonts w:ascii="Times New Roman" w:hAnsi="Times New Roman" w:cs="Times New Roman"/>
          <w:sz w:val="24"/>
          <w:szCs w:val="24"/>
        </w:rPr>
        <w:t xml:space="preserve"> </w:t>
      </w:r>
      <w:r w:rsidR="0086486F" w:rsidRPr="00943504">
        <w:rPr>
          <w:rFonts w:ascii="Times New Roman" w:hAnsi="Times New Roman" w:cs="Times New Roman"/>
          <w:sz w:val="24"/>
          <w:szCs w:val="24"/>
        </w:rPr>
        <w:t>241</w:t>
      </w:r>
      <w:r w:rsidRPr="00943504">
        <w:rPr>
          <w:rFonts w:ascii="Times New Roman" w:hAnsi="Times New Roman" w:cs="Times New Roman"/>
          <w:sz w:val="24"/>
          <w:szCs w:val="24"/>
        </w:rPr>
        <w:t xml:space="preserve"> of the High Court Rules, </w:t>
      </w:r>
      <w:r w:rsidRPr="00943504">
        <w:rPr>
          <w:rFonts w:ascii="Times New Roman" w:hAnsi="Times New Roman" w:cs="Times New Roman"/>
          <w:sz w:val="24"/>
          <w:szCs w:val="24"/>
        </w:rPr>
        <w:lastRenderedPageBreak/>
        <w:t>1971</w:t>
      </w:r>
      <w:r w:rsidR="0086486F" w:rsidRPr="00943504">
        <w:rPr>
          <w:rFonts w:ascii="Times New Roman" w:hAnsi="Times New Roman" w:cs="Times New Roman"/>
          <w:sz w:val="24"/>
          <w:szCs w:val="24"/>
        </w:rPr>
        <w:t xml:space="preserve">, which prescribes the use of Form 29, with appropriate modifications, in a chamber application such as this one. </w:t>
      </w:r>
    </w:p>
    <w:p w14:paraId="450A8D1A" w14:textId="77777777" w:rsidR="00B600EE" w:rsidRPr="00943504" w:rsidRDefault="00B600EE" w:rsidP="00943504">
      <w:pPr>
        <w:spacing w:after="0" w:line="480" w:lineRule="auto"/>
        <w:jc w:val="both"/>
        <w:rPr>
          <w:rFonts w:ascii="Times New Roman" w:hAnsi="Times New Roman" w:cs="Times New Roman"/>
          <w:sz w:val="24"/>
          <w:szCs w:val="24"/>
        </w:rPr>
      </w:pPr>
    </w:p>
    <w:p w14:paraId="40D4004D" w14:textId="77777777" w:rsidR="0086486F" w:rsidRPr="00943504" w:rsidRDefault="0086486F" w:rsidP="00943504">
      <w:pPr>
        <w:spacing w:after="0"/>
        <w:jc w:val="both"/>
        <w:rPr>
          <w:rFonts w:ascii="Times New Roman" w:hAnsi="Times New Roman" w:cs="Times New Roman"/>
          <w:sz w:val="24"/>
          <w:szCs w:val="24"/>
        </w:rPr>
      </w:pPr>
      <w:r w:rsidRPr="00943504">
        <w:rPr>
          <w:rFonts w:ascii="Times New Roman" w:hAnsi="Times New Roman" w:cs="Times New Roman"/>
          <w:sz w:val="24"/>
          <w:szCs w:val="24"/>
        </w:rPr>
        <w:t>Rule 73 provides that:</w:t>
      </w:r>
    </w:p>
    <w:p w14:paraId="201C6C5B" w14:textId="77777777" w:rsidR="007F2D1D" w:rsidRPr="00943504" w:rsidRDefault="007F2D1D" w:rsidP="00943504">
      <w:pPr>
        <w:spacing w:after="0"/>
        <w:ind w:left="720"/>
        <w:jc w:val="both"/>
        <w:rPr>
          <w:rFonts w:ascii="Times New Roman" w:hAnsi="Times New Roman" w:cs="Times New Roman"/>
          <w:sz w:val="24"/>
          <w:szCs w:val="24"/>
        </w:rPr>
      </w:pPr>
      <w:r w:rsidRPr="00943504">
        <w:rPr>
          <w:rFonts w:ascii="Times New Roman" w:hAnsi="Times New Roman" w:cs="Times New Roman"/>
          <w:sz w:val="24"/>
          <w:szCs w:val="24"/>
        </w:rPr>
        <w:t xml:space="preserve">“In any matter not dealt in these rules, the practice and procedure of the </w:t>
      </w:r>
      <w:r w:rsidR="00A33755" w:rsidRPr="00943504">
        <w:rPr>
          <w:rFonts w:ascii="Times New Roman" w:hAnsi="Times New Roman" w:cs="Times New Roman"/>
          <w:sz w:val="24"/>
          <w:szCs w:val="24"/>
        </w:rPr>
        <w:t xml:space="preserve">Supreme Court shall, subject to any direction to the contrary by the court or a judge, follow as closely as may be, the practice and procedure of the High Court in terms of the High Court Act </w:t>
      </w:r>
      <w:r w:rsidR="00A33755" w:rsidRPr="00943504">
        <w:rPr>
          <w:rFonts w:ascii="Times New Roman" w:hAnsi="Times New Roman" w:cs="Times New Roman"/>
          <w:i/>
          <w:sz w:val="24"/>
          <w:szCs w:val="24"/>
        </w:rPr>
        <w:t>[Chapter 7:06]</w:t>
      </w:r>
      <w:r w:rsidR="00A33755" w:rsidRPr="00943504">
        <w:rPr>
          <w:rFonts w:ascii="Times New Roman" w:hAnsi="Times New Roman" w:cs="Times New Roman"/>
          <w:sz w:val="24"/>
          <w:szCs w:val="24"/>
        </w:rPr>
        <w:t xml:space="preserve"> and the High Court Rules.”</w:t>
      </w:r>
    </w:p>
    <w:p w14:paraId="7D75A57D" w14:textId="77777777" w:rsidR="00B600EE" w:rsidRPr="00943504" w:rsidRDefault="00B600EE" w:rsidP="00943504">
      <w:pPr>
        <w:spacing w:after="0" w:line="480" w:lineRule="auto"/>
        <w:ind w:left="720"/>
        <w:jc w:val="both"/>
        <w:rPr>
          <w:rFonts w:ascii="Times New Roman" w:hAnsi="Times New Roman" w:cs="Times New Roman"/>
          <w:sz w:val="24"/>
          <w:szCs w:val="24"/>
        </w:rPr>
      </w:pPr>
    </w:p>
    <w:p w14:paraId="255AA2B9" w14:textId="77777777" w:rsidR="00FD2804" w:rsidRPr="00943504" w:rsidRDefault="00FD2804" w:rsidP="00943504">
      <w:pPr>
        <w:spacing w:after="0"/>
        <w:jc w:val="both"/>
        <w:rPr>
          <w:rFonts w:ascii="Times New Roman" w:hAnsi="Times New Roman" w:cs="Times New Roman"/>
          <w:sz w:val="24"/>
          <w:szCs w:val="24"/>
        </w:rPr>
      </w:pPr>
      <w:r w:rsidRPr="00943504">
        <w:rPr>
          <w:rFonts w:ascii="Times New Roman" w:hAnsi="Times New Roman" w:cs="Times New Roman"/>
          <w:sz w:val="24"/>
          <w:szCs w:val="24"/>
        </w:rPr>
        <w:t xml:space="preserve">And r 241 </w:t>
      </w:r>
      <w:r w:rsidR="004D1D8E" w:rsidRPr="00943504">
        <w:rPr>
          <w:rFonts w:ascii="Times New Roman" w:hAnsi="Times New Roman" w:cs="Times New Roman"/>
          <w:sz w:val="24"/>
          <w:szCs w:val="24"/>
        </w:rPr>
        <w:t xml:space="preserve">of the High Court rules </w:t>
      </w:r>
      <w:r w:rsidRPr="00943504">
        <w:rPr>
          <w:rFonts w:ascii="Times New Roman" w:hAnsi="Times New Roman" w:cs="Times New Roman"/>
          <w:sz w:val="24"/>
          <w:szCs w:val="24"/>
        </w:rPr>
        <w:t>states that:</w:t>
      </w:r>
    </w:p>
    <w:p w14:paraId="212165DB" w14:textId="77777777" w:rsidR="00FD2804" w:rsidRPr="00943504" w:rsidRDefault="00805EC8" w:rsidP="00943504">
      <w:pPr>
        <w:autoSpaceDE w:val="0"/>
        <w:autoSpaceDN w:val="0"/>
        <w:adjustRightInd w:val="0"/>
        <w:spacing w:after="0" w:line="240" w:lineRule="auto"/>
        <w:jc w:val="both"/>
        <w:rPr>
          <w:rFonts w:ascii="Times New Roman" w:hAnsi="Times New Roman" w:cs="Times New Roman"/>
          <w:b/>
          <w:bCs/>
          <w:i/>
          <w:iCs/>
          <w:sz w:val="24"/>
          <w:szCs w:val="24"/>
        </w:rPr>
      </w:pPr>
      <w:r w:rsidRPr="00943504">
        <w:rPr>
          <w:rFonts w:ascii="Times New Roman" w:hAnsi="Times New Roman" w:cs="Times New Roman"/>
          <w:sz w:val="24"/>
          <w:szCs w:val="24"/>
        </w:rPr>
        <w:tab/>
        <w:t xml:space="preserve">   </w:t>
      </w:r>
      <w:r w:rsidR="00FD2804" w:rsidRPr="00943504">
        <w:rPr>
          <w:rFonts w:ascii="Times New Roman" w:hAnsi="Times New Roman" w:cs="Times New Roman"/>
          <w:sz w:val="24"/>
          <w:szCs w:val="24"/>
        </w:rPr>
        <w:t>“</w:t>
      </w:r>
      <w:r w:rsidR="00FD2804" w:rsidRPr="00943504">
        <w:rPr>
          <w:rFonts w:ascii="Times New Roman" w:hAnsi="Times New Roman" w:cs="Times New Roman"/>
          <w:b/>
          <w:bCs/>
          <w:i/>
          <w:iCs/>
          <w:sz w:val="24"/>
          <w:szCs w:val="24"/>
        </w:rPr>
        <w:t>241. Form of chamber applications</w:t>
      </w:r>
    </w:p>
    <w:p w14:paraId="194D4373" w14:textId="77777777" w:rsidR="00FD2804" w:rsidRPr="00943504" w:rsidRDefault="00FD2804" w:rsidP="00943504">
      <w:pPr>
        <w:pStyle w:val="ListParagraph"/>
        <w:numPr>
          <w:ilvl w:val="0"/>
          <w:numId w:val="1"/>
        </w:numPr>
        <w:autoSpaceDE w:val="0"/>
        <w:autoSpaceDN w:val="0"/>
        <w:adjustRightInd w:val="0"/>
        <w:spacing w:after="0" w:line="240" w:lineRule="auto"/>
        <w:ind w:left="1134" w:hanging="850"/>
        <w:jc w:val="both"/>
        <w:rPr>
          <w:rFonts w:ascii="Times New Roman" w:hAnsi="Times New Roman" w:cs="Times New Roman"/>
          <w:sz w:val="24"/>
          <w:szCs w:val="24"/>
        </w:rPr>
      </w:pPr>
      <w:r w:rsidRPr="00943504">
        <w:rPr>
          <w:rFonts w:ascii="Times New Roman" w:hAnsi="Times New Roman" w:cs="Times New Roman"/>
          <w:sz w:val="24"/>
          <w:szCs w:val="24"/>
        </w:rPr>
        <w:t>A chamber application shall be made by means of an entry in the chamber book and shall be</w:t>
      </w:r>
      <w:r w:rsidR="00B63105" w:rsidRPr="00943504">
        <w:rPr>
          <w:rFonts w:ascii="Times New Roman" w:hAnsi="Times New Roman" w:cs="Times New Roman"/>
          <w:sz w:val="24"/>
          <w:szCs w:val="24"/>
        </w:rPr>
        <w:t xml:space="preserve"> </w:t>
      </w:r>
      <w:r w:rsidRPr="00943504">
        <w:rPr>
          <w:rFonts w:ascii="Times New Roman" w:hAnsi="Times New Roman" w:cs="Times New Roman"/>
          <w:sz w:val="24"/>
          <w:szCs w:val="24"/>
        </w:rPr>
        <w:t>accompanied by Form 29B duly completed and, except as is provided in subrule (2), shall be supported by one or more affidavits setting out the facts upon which the applicant relies.</w:t>
      </w:r>
    </w:p>
    <w:p w14:paraId="442151CB" w14:textId="77777777" w:rsidR="0086486F" w:rsidRPr="00943504" w:rsidRDefault="00FD2804" w:rsidP="00943504">
      <w:pPr>
        <w:autoSpaceDE w:val="0"/>
        <w:autoSpaceDN w:val="0"/>
        <w:adjustRightInd w:val="0"/>
        <w:spacing w:after="0" w:line="240" w:lineRule="auto"/>
        <w:ind w:left="1080"/>
        <w:jc w:val="both"/>
        <w:rPr>
          <w:rFonts w:ascii="Times New Roman" w:hAnsi="Times New Roman" w:cs="Times New Roman"/>
          <w:sz w:val="24"/>
          <w:szCs w:val="24"/>
        </w:rPr>
      </w:pPr>
      <w:r w:rsidRPr="00943504">
        <w:rPr>
          <w:rFonts w:ascii="Times New Roman" w:hAnsi="Times New Roman" w:cs="Times New Roman"/>
          <w:sz w:val="24"/>
          <w:szCs w:val="24"/>
        </w:rPr>
        <w:t>Provided that, where a chamber application is to be served on an interested party, it shall be in Form No. 29 with appropriate modifications.”</w:t>
      </w:r>
    </w:p>
    <w:p w14:paraId="4D4BA95E" w14:textId="77777777" w:rsidR="00B600EE" w:rsidRPr="00943504" w:rsidRDefault="00B600EE" w:rsidP="00943504">
      <w:pPr>
        <w:autoSpaceDE w:val="0"/>
        <w:autoSpaceDN w:val="0"/>
        <w:adjustRightInd w:val="0"/>
        <w:spacing w:after="0" w:line="240" w:lineRule="auto"/>
        <w:ind w:left="1080" w:firstLine="360"/>
        <w:jc w:val="both"/>
        <w:rPr>
          <w:rFonts w:ascii="Times New Roman" w:hAnsi="Times New Roman" w:cs="Times New Roman"/>
          <w:sz w:val="24"/>
          <w:szCs w:val="24"/>
        </w:rPr>
      </w:pPr>
    </w:p>
    <w:p w14:paraId="6AAD6612" w14:textId="77777777" w:rsidR="00777F9D" w:rsidRPr="00943504" w:rsidRDefault="00777F9D" w:rsidP="00943504">
      <w:pPr>
        <w:autoSpaceDE w:val="0"/>
        <w:autoSpaceDN w:val="0"/>
        <w:adjustRightInd w:val="0"/>
        <w:spacing w:after="0" w:line="240" w:lineRule="auto"/>
        <w:ind w:left="1077" w:firstLine="57"/>
        <w:jc w:val="both"/>
        <w:rPr>
          <w:rFonts w:ascii="Times New Roman" w:hAnsi="Times New Roman" w:cs="Times New Roman"/>
          <w:sz w:val="24"/>
          <w:szCs w:val="24"/>
        </w:rPr>
      </w:pPr>
    </w:p>
    <w:p w14:paraId="1931A219" w14:textId="77777777" w:rsidR="00B600EE" w:rsidRPr="00943504" w:rsidRDefault="00B600EE" w:rsidP="00943504">
      <w:pPr>
        <w:autoSpaceDE w:val="0"/>
        <w:autoSpaceDN w:val="0"/>
        <w:adjustRightInd w:val="0"/>
        <w:spacing w:after="0" w:line="240" w:lineRule="auto"/>
        <w:ind w:left="1080" w:firstLine="360"/>
        <w:jc w:val="both"/>
        <w:rPr>
          <w:rFonts w:ascii="Times New Roman" w:hAnsi="Times New Roman" w:cs="Times New Roman"/>
          <w:sz w:val="24"/>
          <w:szCs w:val="24"/>
        </w:rPr>
      </w:pPr>
    </w:p>
    <w:p w14:paraId="20245F98" w14:textId="77777777" w:rsidR="003916C5" w:rsidRPr="00943504" w:rsidRDefault="006C47CF"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Mr </w:t>
      </w:r>
      <w:r w:rsidR="00EF5F26" w:rsidRPr="00943504">
        <w:rPr>
          <w:rFonts w:ascii="Times New Roman" w:hAnsi="Times New Roman" w:cs="Times New Roman"/>
          <w:i/>
          <w:sz w:val="24"/>
          <w:szCs w:val="24"/>
        </w:rPr>
        <w:t>Mhlanga</w:t>
      </w:r>
      <w:r w:rsidR="00EF5F26" w:rsidRPr="00943504">
        <w:rPr>
          <w:rFonts w:ascii="Times New Roman" w:hAnsi="Times New Roman" w:cs="Times New Roman"/>
          <w:sz w:val="24"/>
          <w:szCs w:val="24"/>
        </w:rPr>
        <w:t>, for the respondent, submitted that the form used in the present application was defective for want of compliance with Form 29 with appropriate modification</w:t>
      </w:r>
      <w:r w:rsidR="00B63105" w:rsidRPr="00943504">
        <w:rPr>
          <w:rFonts w:ascii="Times New Roman" w:hAnsi="Times New Roman" w:cs="Times New Roman"/>
          <w:sz w:val="24"/>
          <w:szCs w:val="24"/>
        </w:rPr>
        <w:t>s</w:t>
      </w:r>
      <w:r w:rsidR="00EF5F26" w:rsidRPr="00943504">
        <w:rPr>
          <w:rFonts w:ascii="Times New Roman" w:hAnsi="Times New Roman" w:cs="Times New Roman"/>
          <w:sz w:val="24"/>
          <w:szCs w:val="24"/>
        </w:rPr>
        <w:t xml:space="preserve">. Mr </w:t>
      </w:r>
      <w:r w:rsidR="00EF5F26" w:rsidRPr="00943504">
        <w:rPr>
          <w:rFonts w:ascii="Times New Roman" w:hAnsi="Times New Roman" w:cs="Times New Roman"/>
          <w:i/>
          <w:sz w:val="24"/>
          <w:szCs w:val="24"/>
        </w:rPr>
        <w:t>Paul,</w:t>
      </w:r>
      <w:r w:rsidR="00EF5F26" w:rsidRPr="00943504">
        <w:rPr>
          <w:rFonts w:ascii="Times New Roman" w:hAnsi="Times New Roman" w:cs="Times New Roman"/>
          <w:sz w:val="24"/>
          <w:szCs w:val="24"/>
        </w:rPr>
        <w:t xml:space="preserve"> for the appellant, made the </w:t>
      </w:r>
      <w:r w:rsidR="004C073E" w:rsidRPr="00943504">
        <w:rPr>
          <w:rFonts w:ascii="Times New Roman" w:hAnsi="Times New Roman" w:cs="Times New Roman"/>
          <w:sz w:val="24"/>
          <w:szCs w:val="24"/>
        </w:rPr>
        <w:t>contrary</w:t>
      </w:r>
      <w:r w:rsidR="00EF5F26" w:rsidRPr="00943504">
        <w:rPr>
          <w:rFonts w:ascii="Times New Roman" w:hAnsi="Times New Roman" w:cs="Times New Roman"/>
          <w:sz w:val="24"/>
          <w:szCs w:val="24"/>
        </w:rPr>
        <w:t xml:space="preserve"> submission that the form used by the applicant </w:t>
      </w:r>
      <w:r w:rsidR="00283A46" w:rsidRPr="00943504">
        <w:rPr>
          <w:rFonts w:ascii="Times New Roman" w:hAnsi="Times New Roman" w:cs="Times New Roman"/>
          <w:sz w:val="24"/>
          <w:szCs w:val="24"/>
        </w:rPr>
        <w:t xml:space="preserve">fully complied </w:t>
      </w:r>
      <w:r w:rsidR="004C073E" w:rsidRPr="00943504">
        <w:rPr>
          <w:rFonts w:ascii="Times New Roman" w:hAnsi="Times New Roman" w:cs="Times New Roman"/>
          <w:sz w:val="24"/>
          <w:szCs w:val="24"/>
        </w:rPr>
        <w:t xml:space="preserve">with the requirements stipulated in the proviso to r 241. </w:t>
      </w:r>
      <w:r w:rsidR="00BC65FA" w:rsidRPr="00943504">
        <w:rPr>
          <w:rFonts w:ascii="Times New Roman" w:hAnsi="Times New Roman" w:cs="Times New Roman"/>
          <w:sz w:val="24"/>
          <w:szCs w:val="24"/>
        </w:rPr>
        <w:t xml:space="preserve">While </w:t>
      </w:r>
      <w:r w:rsidR="00283A46" w:rsidRPr="00943504">
        <w:rPr>
          <w:rFonts w:ascii="Times New Roman" w:hAnsi="Times New Roman" w:cs="Times New Roman"/>
          <w:sz w:val="24"/>
          <w:szCs w:val="24"/>
        </w:rPr>
        <w:t xml:space="preserve">Mr </w:t>
      </w:r>
      <w:r w:rsidR="00283A46" w:rsidRPr="00943504">
        <w:rPr>
          <w:rFonts w:ascii="Times New Roman" w:hAnsi="Times New Roman" w:cs="Times New Roman"/>
          <w:i/>
          <w:sz w:val="24"/>
          <w:szCs w:val="24"/>
        </w:rPr>
        <w:t xml:space="preserve">Mhlanga </w:t>
      </w:r>
      <w:r w:rsidR="00283A46" w:rsidRPr="00943504">
        <w:rPr>
          <w:rFonts w:ascii="Times New Roman" w:hAnsi="Times New Roman" w:cs="Times New Roman"/>
          <w:sz w:val="24"/>
          <w:szCs w:val="24"/>
        </w:rPr>
        <w:t>conceded that t</w:t>
      </w:r>
      <w:r w:rsidR="004C073E" w:rsidRPr="00943504">
        <w:rPr>
          <w:rFonts w:ascii="Times New Roman" w:hAnsi="Times New Roman" w:cs="Times New Roman"/>
          <w:sz w:val="24"/>
          <w:szCs w:val="24"/>
        </w:rPr>
        <w:t>he form</w:t>
      </w:r>
      <w:r w:rsidR="00283A46" w:rsidRPr="00943504">
        <w:rPr>
          <w:rFonts w:ascii="Times New Roman" w:hAnsi="Times New Roman" w:cs="Times New Roman"/>
          <w:sz w:val="24"/>
          <w:szCs w:val="24"/>
        </w:rPr>
        <w:t>at</w:t>
      </w:r>
      <w:r w:rsidR="004C073E" w:rsidRPr="00943504">
        <w:rPr>
          <w:rFonts w:ascii="Times New Roman" w:hAnsi="Times New Roman" w:cs="Times New Roman"/>
          <w:sz w:val="24"/>
          <w:szCs w:val="24"/>
        </w:rPr>
        <w:t xml:space="preserve"> </w:t>
      </w:r>
      <w:r w:rsidR="00283A46" w:rsidRPr="00943504">
        <w:rPr>
          <w:rFonts w:ascii="Times New Roman" w:hAnsi="Times New Roman" w:cs="Times New Roman"/>
          <w:sz w:val="24"/>
          <w:szCs w:val="24"/>
        </w:rPr>
        <w:t xml:space="preserve">used by the applicant </w:t>
      </w:r>
      <w:r w:rsidR="00BC65FA" w:rsidRPr="00943504">
        <w:rPr>
          <w:rFonts w:ascii="Times New Roman" w:hAnsi="Times New Roman" w:cs="Times New Roman"/>
          <w:sz w:val="24"/>
          <w:szCs w:val="24"/>
        </w:rPr>
        <w:t xml:space="preserve">is the one that </w:t>
      </w:r>
      <w:r w:rsidR="00283A46" w:rsidRPr="00943504">
        <w:rPr>
          <w:rFonts w:ascii="Times New Roman" w:hAnsi="Times New Roman" w:cs="Times New Roman"/>
          <w:sz w:val="24"/>
          <w:szCs w:val="24"/>
        </w:rPr>
        <w:t xml:space="preserve">has always been </w:t>
      </w:r>
      <w:r w:rsidR="0044438B" w:rsidRPr="00943504">
        <w:rPr>
          <w:rFonts w:ascii="Times New Roman" w:hAnsi="Times New Roman" w:cs="Times New Roman"/>
          <w:sz w:val="24"/>
          <w:szCs w:val="24"/>
        </w:rPr>
        <w:t>used before this Court in</w:t>
      </w:r>
      <w:r w:rsidR="00283A46" w:rsidRPr="00943504">
        <w:rPr>
          <w:rFonts w:ascii="Times New Roman" w:hAnsi="Times New Roman" w:cs="Times New Roman"/>
          <w:sz w:val="24"/>
          <w:szCs w:val="24"/>
        </w:rPr>
        <w:t xml:space="preserve"> this kind of application</w:t>
      </w:r>
      <w:r w:rsidR="00BC65FA" w:rsidRPr="00943504">
        <w:rPr>
          <w:rFonts w:ascii="Times New Roman" w:hAnsi="Times New Roman" w:cs="Times New Roman"/>
          <w:sz w:val="24"/>
          <w:szCs w:val="24"/>
        </w:rPr>
        <w:t xml:space="preserve">, he contended that the format fell short of the requirements prescribed by MAFUSIRE J in </w:t>
      </w:r>
      <w:r w:rsidR="00BC65FA" w:rsidRPr="00943504">
        <w:rPr>
          <w:rFonts w:ascii="Times New Roman" w:hAnsi="Times New Roman" w:cs="Times New Roman"/>
          <w:i/>
          <w:sz w:val="24"/>
          <w:szCs w:val="24"/>
        </w:rPr>
        <w:t xml:space="preserve">Base Mineral Zimbabwe (Pvt) Ltd &amp; Anor v Chiroswa Minerals (Pvt) Ltd &amp; Ors </w:t>
      </w:r>
      <w:r w:rsidR="00BC65FA" w:rsidRPr="00943504">
        <w:rPr>
          <w:rFonts w:ascii="Times New Roman" w:hAnsi="Times New Roman" w:cs="Times New Roman"/>
          <w:sz w:val="24"/>
          <w:szCs w:val="24"/>
        </w:rPr>
        <w:t xml:space="preserve">HH 559/14 </w:t>
      </w:r>
      <w:r w:rsidR="00EF7FDA" w:rsidRPr="00943504">
        <w:rPr>
          <w:rFonts w:ascii="Times New Roman" w:hAnsi="Times New Roman" w:cs="Times New Roman"/>
          <w:sz w:val="24"/>
          <w:szCs w:val="24"/>
        </w:rPr>
        <w:t>at p7</w:t>
      </w:r>
      <w:r w:rsidR="00BC65FA" w:rsidRPr="00943504">
        <w:rPr>
          <w:rFonts w:ascii="Times New Roman" w:hAnsi="Times New Roman" w:cs="Times New Roman"/>
          <w:sz w:val="24"/>
          <w:szCs w:val="24"/>
        </w:rPr>
        <w:t xml:space="preserve">-8 of the cyclostyled judgment. </w:t>
      </w:r>
      <w:r w:rsidR="00543B75" w:rsidRPr="00943504">
        <w:rPr>
          <w:rFonts w:ascii="Times New Roman" w:hAnsi="Times New Roman" w:cs="Times New Roman"/>
          <w:sz w:val="24"/>
          <w:szCs w:val="24"/>
        </w:rPr>
        <w:t>The learned</w:t>
      </w:r>
      <w:r w:rsidR="003916C5" w:rsidRPr="00943504">
        <w:rPr>
          <w:rFonts w:ascii="Times New Roman" w:hAnsi="Times New Roman" w:cs="Times New Roman"/>
          <w:sz w:val="24"/>
          <w:szCs w:val="24"/>
        </w:rPr>
        <w:t xml:space="preserve"> judge said that:</w:t>
      </w:r>
    </w:p>
    <w:p w14:paraId="2E73FAC6" w14:textId="77777777" w:rsidR="003916C5" w:rsidRPr="00943504" w:rsidRDefault="003916C5" w:rsidP="006D0B1D">
      <w:pPr>
        <w:autoSpaceDE w:val="0"/>
        <w:autoSpaceDN w:val="0"/>
        <w:adjustRightInd w:val="0"/>
        <w:spacing w:after="0" w:line="240" w:lineRule="auto"/>
        <w:ind w:left="567"/>
        <w:jc w:val="both"/>
        <w:rPr>
          <w:rFonts w:ascii="Times New Roman" w:hAnsi="Times New Roman" w:cs="Times New Roman"/>
          <w:sz w:val="24"/>
          <w:szCs w:val="24"/>
        </w:rPr>
      </w:pPr>
      <w:r w:rsidRPr="00943504">
        <w:rPr>
          <w:rFonts w:ascii="Times New Roman" w:hAnsi="Times New Roman" w:cs="Times New Roman"/>
          <w:sz w:val="24"/>
          <w:szCs w:val="24"/>
        </w:rPr>
        <w:t>“The proviso to r 241(1) permits the modification of Form 29 where the chamber application has to be served. What would constitute “</w:t>
      </w:r>
      <w:r w:rsidRPr="00943504">
        <w:rPr>
          <w:rFonts w:ascii="Times New Roman" w:hAnsi="Times New Roman" w:cs="Times New Roman"/>
          <w:b/>
          <w:i/>
          <w:sz w:val="24"/>
          <w:szCs w:val="24"/>
        </w:rPr>
        <w:t>appropriate modifications</w:t>
      </w:r>
      <w:r w:rsidRPr="00943504">
        <w:rPr>
          <w:rFonts w:ascii="Times New Roman" w:hAnsi="Times New Roman" w:cs="Times New Roman"/>
          <w:sz w:val="24"/>
          <w:szCs w:val="24"/>
        </w:rPr>
        <w:t>” is not stated. Why then does it become important that every time a chamber application has to be served, the applicant should abandon Form 29B and switch over to Form 29? In my view, once the chamber application becomes one that must be served then the respondent is entitled to a period within which to file opposing papers. The “</w:t>
      </w:r>
      <w:r w:rsidRPr="00943504">
        <w:rPr>
          <w:rFonts w:ascii="Times New Roman" w:hAnsi="Times New Roman" w:cs="Times New Roman"/>
          <w:b/>
          <w:i/>
          <w:sz w:val="24"/>
          <w:szCs w:val="24"/>
        </w:rPr>
        <w:t>appropriate modifications</w:t>
      </w:r>
      <w:r w:rsidRPr="00943504">
        <w:rPr>
          <w:rFonts w:ascii="Times New Roman" w:hAnsi="Times New Roman" w:cs="Times New Roman"/>
          <w:sz w:val="24"/>
          <w:szCs w:val="24"/>
        </w:rPr>
        <w:t xml:space="preserve">” would include, in my view, a fusion of the contents of Form 29 and those of Form 29B. In other words, it becomes a hybrid, containing both </w:t>
      </w:r>
      <w:r w:rsidRPr="00943504">
        <w:rPr>
          <w:rFonts w:ascii="Times New Roman" w:hAnsi="Times New Roman" w:cs="Times New Roman"/>
          <w:sz w:val="24"/>
          <w:szCs w:val="24"/>
        </w:rPr>
        <w:lastRenderedPageBreak/>
        <w:t>“</w:t>
      </w:r>
      <w:r w:rsidRPr="00943504">
        <w:rPr>
          <w:rFonts w:ascii="Times New Roman" w:hAnsi="Times New Roman" w:cs="Times New Roman"/>
          <w:b/>
          <w:i/>
          <w:sz w:val="24"/>
          <w:szCs w:val="24"/>
        </w:rPr>
        <w:t>…. the plethora of procedural rights…..</w:t>
      </w:r>
      <w:r w:rsidRPr="00943504">
        <w:rPr>
          <w:rFonts w:ascii="Times New Roman" w:hAnsi="Times New Roman" w:cs="Times New Roman"/>
          <w:sz w:val="24"/>
          <w:szCs w:val="24"/>
        </w:rPr>
        <w:t xml:space="preserve">” of Form No. 29, including the </w:t>
      </w:r>
      <w:r w:rsidRPr="00943504">
        <w:rPr>
          <w:rFonts w:ascii="Times New Roman" w:hAnsi="Times New Roman" w:cs="Times New Roman"/>
          <w:i/>
          <w:sz w:val="24"/>
          <w:szCs w:val="24"/>
        </w:rPr>
        <w:t>dies induciae</w:t>
      </w:r>
      <w:r w:rsidRPr="00943504">
        <w:rPr>
          <w:rFonts w:ascii="Times New Roman" w:hAnsi="Times New Roman" w:cs="Times New Roman"/>
          <w:sz w:val="24"/>
          <w:szCs w:val="24"/>
        </w:rPr>
        <w:t>, and a summary of the grounds of application of Form No. 29B.</w:t>
      </w:r>
    </w:p>
    <w:p w14:paraId="32684C61" w14:textId="77777777" w:rsidR="009075B1" w:rsidRPr="00943504" w:rsidRDefault="009075B1" w:rsidP="00943504">
      <w:pPr>
        <w:autoSpaceDE w:val="0"/>
        <w:autoSpaceDN w:val="0"/>
        <w:adjustRightInd w:val="0"/>
        <w:spacing w:after="0" w:line="240" w:lineRule="auto"/>
        <w:ind w:left="720"/>
        <w:jc w:val="both"/>
        <w:rPr>
          <w:rFonts w:ascii="Times New Roman" w:hAnsi="Times New Roman" w:cs="Times New Roman"/>
          <w:sz w:val="24"/>
          <w:szCs w:val="24"/>
        </w:rPr>
      </w:pPr>
    </w:p>
    <w:p w14:paraId="664705E5" w14:textId="77777777" w:rsidR="009075B1" w:rsidRPr="00943504" w:rsidRDefault="009075B1" w:rsidP="00943504">
      <w:pPr>
        <w:autoSpaceDE w:val="0"/>
        <w:autoSpaceDN w:val="0"/>
        <w:adjustRightInd w:val="0"/>
        <w:spacing w:after="0" w:line="240" w:lineRule="auto"/>
        <w:ind w:left="720"/>
        <w:jc w:val="both"/>
        <w:rPr>
          <w:rFonts w:ascii="Times New Roman" w:hAnsi="Times New Roman" w:cs="Times New Roman"/>
          <w:sz w:val="24"/>
          <w:szCs w:val="24"/>
        </w:rPr>
      </w:pPr>
    </w:p>
    <w:p w14:paraId="4DBA082B" w14:textId="77777777" w:rsidR="009075B1" w:rsidRPr="00943504" w:rsidRDefault="009075B1" w:rsidP="00943504">
      <w:pPr>
        <w:autoSpaceDE w:val="0"/>
        <w:autoSpaceDN w:val="0"/>
        <w:adjustRightInd w:val="0"/>
        <w:spacing w:after="0" w:line="240" w:lineRule="auto"/>
        <w:ind w:left="720"/>
        <w:jc w:val="both"/>
        <w:rPr>
          <w:rFonts w:ascii="Times New Roman" w:hAnsi="Times New Roman" w:cs="Times New Roman"/>
          <w:sz w:val="24"/>
          <w:szCs w:val="24"/>
        </w:rPr>
      </w:pPr>
    </w:p>
    <w:p w14:paraId="74D83BA0" w14:textId="77777777" w:rsidR="00AB4CD3" w:rsidRPr="00943504" w:rsidRDefault="00AB4CD3"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The difference between Form 29B and Form 29 is that the former specially prescribes the insertion of a summary of the grounds of the application </w:t>
      </w:r>
      <w:r w:rsidRPr="00943504">
        <w:rPr>
          <w:rFonts w:ascii="Times New Roman" w:hAnsi="Times New Roman" w:cs="Times New Roman"/>
          <w:i/>
          <w:sz w:val="24"/>
          <w:szCs w:val="24"/>
        </w:rPr>
        <w:t>ex facie</w:t>
      </w:r>
      <w:r w:rsidRPr="00943504">
        <w:rPr>
          <w:rFonts w:ascii="Times New Roman" w:hAnsi="Times New Roman" w:cs="Times New Roman"/>
          <w:sz w:val="24"/>
          <w:szCs w:val="24"/>
        </w:rPr>
        <w:t xml:space="preserve"> the application and predicates the application on a draft order</w:t>
      </w:r>
      <w:r w:rsidR="002A4673" w:rsidRPr="00943504">
        <w:rPr>
          <w:rFonts w:ascii="Times New Roman" w:hAnsi="Times New Roman" w:cs="Times New Roman"/>
          <w:sz w:val="24"/>
          <w:szCs w:val="24"/>
        </w:rPr>
        <w:t xml:space="preserve">. </w:t>
      </w:r>
      <w:r w:rsidRPr="00943504">
        <w:rPr>
          <w:rFonts w:ascii="Times New Roman" w:hAnsi="Times New Roman" w:cs="Times New Roman"/>
          <w:sz w:val="24"/>
          <w:szCs w:val="24"/>
        </w:rPr>
        <w:t>The latter</w:t>
      </w:r>
      <w:r w:rsidR="002A4673" w:rsidRPr="00943504">
        <w:rPr>
          <w:rFonts w:ascii="Times New Roman" w:hAnsi="Times New Roman" w:cs="Times New Roman"/>
          <w:sz w:val="24"/>
          <w:szCs w:val="24"/>
        </w:rPr>
        <w:t>, unlike the former,</w:t>
      </w:r>
      <w:r w:rsidRPr="00943504">
        <w:rPr>
          <w:rFonts w:ascii="Times New Roman" w:hAnsi="Times New Roman" w:cs="Times New Roman"/>
          <w:sz w:val="24"/>
          <w:szCs w:val="24"/>
        </w:rPr>
        <w:t xml:space="preserve"> is </w:t>
      </w:r>
      <w:r w:rsidR="00951C89" w:rsidRPr="00943504">
        <w:rPr>
          <w:rFonts w:ascii="Times New Roman" w:hAnsi="Times New Roman" w:cs="Times New Roman"/>
          <w:sz w:val="24"/>
          <w:szCs w:val="24"/>
        </w:rPr>
        <w:t>a “Take Notice” form pr</w:t>
      </w:r>
      <w:r w:rsidR="002A4673" w:rsidRPr="00943504">
        <w:rPr>
          <w:rFonts w:ascii="Times New Roman" w:hAnsi="Times New Roman" w:cs="Times New Roman"/>
          <w:sz w:val="24"/>
          <w:szCs w:val="24"/>
        </w:rPr>
        <w:t>edicated upon a draft order specifically premised on</w:t>
      </w:r>
      <w:r w:rsidR="00495511" w:rsidRPr="00943504">
        <w:rPr>
          <w:rFonts w:ascii="Times New Roman" w:hAnsi="Times New Roman" w:cs="Times New Roman"/>
          <w:sz w:val="24"/>
          <w:szCs w:val="24"/>
        </w:rPr>
        <w:t xml:space="preserve"> a</w:t>
      </w:r>
      <w:r w:rsidR="00951C89" w:rsidRPr="00943504">
        <w:rPr>
          <w:rFonts w:ascii="Times New Roman" w:hAnsi="Times New Roman" w:cs="Times New Roman"/>
          <w:sz w:val="24"/>
          <w:szCs w:val="24"/>
        </w:rPr>
        <w:t xml:space="preserve"> </w:t>
      </w:r>
      <w:r w:rsidR="00495511" w:rsidRPr="00943504">
        <w:rPr>
          <w:rFonts w:ascii="Times New Roman" w:hAnsi="Times New Roman" w:cs="Times New Roman"/>
          <w:sz w:val="24"/>
          <w:szCs w:val="24"/>
        </w:rPr>
        <w:t>“</w:t>
      </w:r>
      <w:r w:rsidR="00951C89" w:rsidRPr="00943504">
        <w:rPr>
          <w:rFonts w:ascii="Times New Roman" w:hAnsi="Times New Roman" w:cs="Times New Roman"/>
          <w:sz w:val="24"/>
          <w:szCs w:val="24"/>
        </w:rPr>
        <w:t>plethora of procedural rights</w:t>
      </w:r>
      <w:r w:rsidR="00495511" w:rsidRPr="00943504">
        <w:rPr>
          <w:rFonts w:ascii="Times New Roman" w:hAnsi="Times New Roman" w:cs="Times New Roman"/>
          <w:sz w:val="24"/>
          <w:szCs w:val="24"/>
        </w:rPr>
        <w:t>”</w:t>
      </w:r>
      <w:r w:rsidR="00951C89" w:rsidRPr="00943504">
        <w:rPr>
          <w:rStyle w:val="FootnoteReference"/>
          <w:rFonts w:ascii="Times New Roman" w:hAnsi="Times New Roman" w:cs="Times New Roman"/>
          <w:sz w:val="24"/>
          <w:szCs w:val="24"/>
        </w:rPr>
        <w:footnoteReference w:id="1"/>
      </w:r>
      <w:r w:rsidR="00495511" w:rsidRPr="00943504">
        <w:rPr>
          <w:rFonts w:ascii="Times New Roman" w:hAnsi="Times New Roman" w:cs="Times New Roman"/>
          <w:sz w:val="24"/>
          <w:szCs w:val="24"/>
        </w:rPr>
        <w:t xml:space="preserve"> alerting a respondent of the time frame within which to </w:t>
      </w:r>
      <w:r w:rsidR="00E95C1B" w:rsidRPr="00943504">
        <w:rPr>
          <w:rFonts w:ascii="Times New Roman" w:hAnsi="Times New Roman" w:cs="Times New Roman"/>
          <w:sz w:val="24"/>
          <w:szCs w:val="24"/>
        </w:rPr>
        <w:t>take action</w:t>
      </w:r>
      <w:r w:rsidR="002A4673" w:rsidRPr="00943504">
        <w:rPr>
          <w:rFonts w:ascii="Times New Roman" w:hAnsi="Times New Roman" w:cs="Times New Roman"/>
          <w:sz w:val="24"/>
          <w:szCs w:val="24"/>
        </w:rPr>
        <w:t xml:space="preserve"> and the appropriate documentation.</w:t>
      </w:r>
      <w:r w:rsidRPr="00943504">
        <w:rPr>
          <w:rFonts w:ascii="Times New Roman" w:hAnsi="Times New Roman" w:cs="Times New Roman"/>
          <w:sz w:val="24"/>
          <w:szCs w:val="24"/>
        </w:rPr>
        <w:t xml:space="preserve"> </w:t>
      </w:r>
    </w:p>
    <w:p w14:paraId="26745972" w14:textId="77777777" w:rsidR="009075B1" w:rsidRPr="00943504" w:rsidRDefault="009075B1" w:rsidP="00943504">
      <w:pPr>
        <w:autoSpaceDE w:val="0"/>
        <w:autoSpaceDN w:val="0"/>
        <w:adjustRightInd w:val="0"/>
        <w:spacing w:after="0" w:line="240" w:lineRule="auto"/>
        <w:jc w:val="both"/>
        <w:rPr>
          <w:rFonts w:ascii="Times New Roman" w:hAnsi="Times New Roman" w:cs="Times New Roman"/>
          <w:sz w:val="24"/>
          <w:szCs w:val="24"/>
        </w:rPr>
      </w:pPr>
    </w:p>
    <w:p w14:paraId="589828AE" w14:textId="77777777" w:rsidR="001B795D" w:rsidRPr="00943504" w:rsidRDefault="001B795D" w:rsidP="00943504">
      <w:pPr>
        <w:autoSpaceDE w:val="0"/>
        <w:autoSpaceDN w:val="0"/>
        <w:adjustRightInd w:val="0"/>
        <w:spacing w:after="0" w:line="240" w:lineRule="auto"/>
        <w:jc w:val="both"/>
        <w:rPr>
          <w:rFonts w:ascii="Times New Roman" w:hAnsi="Times New Roman" w:cs="Times New Roman"/>
          <w:sz w:val="24"/>
          <w:szCs w:val="24"/>
        </w:rPr>
      </w:pPr>
    </w:p>
    <w:p w14:paraId="605D72E0" w14:textId="77777777" w:rsidR="00206C26" w:rsidRPr="00943504" w:rsidRDefault="001B795D"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The distinction between the main provision and the proviso in r 241 (1) is that the main provision supplies the documentation that is missing </w:t>
      </w:r>
      <w:r w:rsidRPr="00943504">
        <w:rPr>
          <w:rFonts w:ascii="Times New Roman" w:hAnsi="Times New Roman" w:cs="Times New Roman"/>
          <w:i/>
          <w:sz w:val="24"/>
          <w:szCs w:val="24"/>
        </w:rPr>
        <w:t>ex facie</w:t>
      </w:r>
      <w:r w:rsidRPr="00943504">
        <w:rPr>
          <w:rFonts w:ascii="Times New Roman" w:hAnsi="Times New Roman" w:cs="Times New Roman"/>
          <w:sz w:val="24"/>
          <w:szCs w:val="24"/>
        </w:rPr>
        <w:t xml:space="preserve"> Form 29B while the proviso supplies that information </w:t>
      </w:r>
      <w:r w:rsidRPr="00943504">
        <w:rPr>
          <w:rFonts w:ascii="Times New Roman" w:hAnsi="Times New Roman" w:cs="Times New Roman"/>
          <w:i/>
          <w:sz w:val="24"/>
          <w:szCs w:val="24"/>
        </w:rPr>
        <w:t>ex facie</w:t>
      </w:r>
      <w:r w:rsidRPr="00943504">
        <w:rPr>
          <w:rFonts w:ascii="Times New Roman" w:hAnsi="Times New Roman" w:cs="Times New Roman"/>
          <w:sz w:val="24"/>
          <w:szCs w:val="24"/>
        </w:rPr>
        <w:t xml:space="preserve"> Form 29.  </w:t>
      </w:r>
      <w:r w:rsidR="0028115E" w:rsidRPr="00943504">
        <w:rPr>
          <w:rFonts w:ascii="Times New Roman" w:hAnsi="Times New Roman" w:cs="Times New Roman"/>
          <w:sz w:val="24"/>
          <w:szCs w:val="24"/>
        </w:rPr>
        <w:t xml:space="preserve">It is significant that the proviso designates the use of Form 29 and not Form 29B in peremptory language for chamber applications to be served on interested parties.  In my view, this specific designation “ousts” the </w:t>
      </w:r>
      <w:r w:rsidR="00D15E0C" w:rsidRPr="00943504">
        <w:rPr>
          <w:rFonts w:ascii="Times New Roman" w:hAnsi="Times New Roman" w:cs="Times New Roman"/>
          <w:sz w:val="24"/>
          <w:szCs w:val="24"/>
        </w:rPr>
        <w:t xml:space="preserve">inclusion of “the summary of the grounds of the application” required on the face of Form </w:t>
      </w:r>
      <w:r w:rsidR="00F63513" w:rsidRPr="00943504">
        <w:rPr>
          <w:rFonts w:ascii="Times New Roman" w:hAnsi="Times New Roman" w:cs="Times New Roman"/>
          <w:sz w:val="24"/>
          <w:szCs w:val="24"/>
        </w:rPr>
        <w:t>29</w:t>
      </w:r>
      <w:r w:rsidR="00D15E0C" w:rsidRPr="00943504">
        <w:rPr>
          <w:rFonts w:ascii="Times New Roman" w:hAnsi="Times New Roman" w:cs="Times New Roman"/>
          <w:sz w:val="24"/>
          <w:szCs w:val="24"/>
        </w:rPr>
        <w:t xml:space="preserve">B.  The appropriate modifications contemplated in the proviso have nothing to do with the </w:t>
      </w:r>
      <w:r w:rsidR="00D15E0C" w:rsidRPr="00943504">
        <w:rPr>
          <w:rFonts w:ascii="Times New Roman" w:hAnsi="Times New Roman" w:cs="Times New Roman"/>
          <w:i/>
          <w:sz w:val="24"/>
          <w:szCs w:val="24"/>
        </w:rPr>
        <w:t>ex facie</w:t>
      </w:r>
      <w:r w:rsidR="00D15E0C" w:rsidRPr="00943504">
        <w:rPr>
          <w:rFonts w:ascii="Times New Roman" w:hAnsi="Times New Roman" w:cs="Times New Roman"/>
          <w:sz w:val="24"/>
          <w:szCs w:val="24"/>
        </w:rPr>
        <w:t xml:space="preserve"> contents required by Form 2</w:t>
      </w:r>
      <w:r w:rsidR="00757532" w:rsidRPr="00943504">
        <w:rPr>
          <w:rFonts w:ascii="Times New Roman" w:hAnsi="Times New Roman" w:cs="Times New Roman"/>
          <w:sz w:val="24"/>
          <w:szCs w:val="24"/>
        </w:rPr>
        <w:t>9</w:t>
      </w:r>
      <w:r w:rsidR="00D15E0C" w:rsidRPr="00943504">
        <w:rPr>
          <w:rFonts w:ascii="Times New Roman" w:hAnsi="Times New Roman" w:cs="Times New Roman"/>
          <w:sz w:val="24"/>
          <w:szCs w:val="24"/>
        </w:rPr>
        <w:t xml:space="preserve">B but have everything to do with the different time frames or </w:t>
      </w:r>
      <w:r w:rsidR="00D15E0C" w:rsidRPr="00943504">
        <w:rPr>
          <w:rFonts w:ascii="Times New Roman" w:hAnsi="Times New Roman" w:cs="Times New Roman"/>
          <w:i/>
          <w:sz w:val="24"/>
          <w:szCs w:val="24"/>
        </w:rPr>
        <w:t>dies induciae</w:t>
      </w:r>
      <w:r w:rsidR="00D15E0C" w:rsidRPr="00943504">
        <w:rPr>
          <w:rFonts w:ascii="Times New Roman" w:hAnsi="Times New Roman" w:cs="Times New Roman"/>
          <w:sz w:val="24"/>
          <w:szCs w:val="24"/>
        </w:rPr>
        <w:t xml:space="preserve"> within which the notices of opposition are required to be filed.  </w:t>
      </w:r>
      <w:r w:rsidR="00F63513" w:rsidRPr="00943504">
        <w:rPr>
          <w:rFonts w:ascii="Times New Roman" w:hAnsi="Times New Roman" w:cs="Times New Roman"/>
          <w:sz w:val="24"/>
          <w:szCs w:val="24"/>
        </w:rPr>
        <w:t>The appropriate</w:t>
      </w:r>
      <w:r w:rsidR="00CB575C" w:rsidRPr="00943504">
        <w:rPr>
          <w:rFonts w:ascii="Times New Roman" w:hAnsi="Times New Roman" w:cs="Times New Roman"/>
          <w:sz w:val="24"/>
          <w:szCs w:val="24"/>
        </w:rPr>
        <w:t xml:space="preserve"> </w:t>
      </w:r>
      <w:r w:rsidR="00F63513" w:rsidRPr="00943504">
        <w:rPr>
          <w:rFonts w:ascii="Times New Roman" w:hAnsi="Times New Roman" w:cs="Times New Roman"/>
          <w:sz w:val="24"/>
          <w:szCs w:val="24"/>
        </w:rPr>
        <w:t xml:space="preserve">modifications </w:t>
      </w:r>
      <w:r w:rsidR="00CB575C" w:rsidRPr="00943504">
        <w:rPr>
          <w:rFonts w:ascii="Times New Roman" w:hAnsi="Times New Roman" w:cs="Times New Roman"/>
          <w:sz w:val="24"/>
          <w:szCs w:val="24"/>
        </w:rPr>
        <w:t>are not a requirement for applications predicated on Form 29. Their absence or</w:t>
      </w:r>
      <w:r w:rsidR="00D15E0C" w:rsidRPr="00943504">
        <w:rPr>
          <w:rFonts w:ascii="Times New Roman" w:hAnsi="Times New Roman" w:cs="Times New Roman"/>
          <w:sz w:val="24"/>
          <w:szCs w:val="24"/>
        </w:rPr>
        <w:t xml:space="preserve"> omission would not render the application for condonation and extension of time within which to file an appeal defective let alone fatally defective. </w:t>
      </w:r>
    </w:p>
    <w:p w14:paraId="7C0CE924" w14:textId="77777777" w:rsidR="00206C26" w:rsidRPr="00943504" w:rsidRDefault="00206C26" w:rsidP="00943504">
      <w:pPr>
        <w:autoSpaceDE w:val="0"/>
        <w:autoSpaceDN w:val="0"/>
        <w:adjustRightInd w:val="0"/>
        <w:spacing w:after="0" w:line="480" w:lineRule="auto"/>
        <w:ind w:firstLine="1134"/>
        <w:jc w:val="both"/>
        <w:rPr>
          <w:rFonts w:ascii="Times New Roman" w:hAnsi="Times New Roman" w:cs="Times New Roman"/>
          <w:sz w:val="24"/>
          <w:szCs w:val="24"/>
        </w:rPr>
      </w:pPr>
    </w:p>
    <w:p w14:paraId="16590E41" w14:textId="77777777" w:rsidR="001B795D" w:rsidRPr="00943504" w:rsidRDefault="00D15E0C"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lastRenderedPageBreak/>
        <w:t>I am satisfied that while the notice does not comply with the requirements of Fo</w:t>
      </w:r>
      <w:r w:rsidR="006D0B1D">
        <w:rPr>
          <w:rFonts w:ascii="Times New Roman" w:hAnsi="Times New Roman" w:cs="Times New Roman"/>
          <w:sz w:val="24"/>
          <w:szCs w:val="24"/>
        </w:rPr>
        <w:t>rm </w:t>
      </w:r>
      <w:r w:rsidRPr="00943504">
        <w:rPr>
          <w:rFonts w:ascii="Times New Roman" w:hAnsi="Times New Roman" w:cs="Times New Roman"/>
          <w:sz w:val="24"/>
          <w:szCs w:val="24"/>
        </w:rPr>
        <w:t xml:space="preserve">29B, it faithfully </w:t>
      </w:r>
      <w:r w:rsidR="00CB575C" w:rsidRPr="00943504">
        <w:rPr>
          <w:rFonts w:ascii="Times New Roman" w:hAnsi="Times New Roman" w:cs="Times New Roman"/>
          <w:sz w:val="24"/>
          <w:szCs w:val="24"/>
        </w:rPr>
        <w:t xml:space="preserve">follows the prescript </w:t>
      </w:r>
      <w:r w:rsidR="00EE156C" w:rsidRPr="00943504">
        <w:rPr>
          <w:rFonts w:ascii="Times New Roman" w:hAnsi="Times New Roman" w:cs="Times New Roman"/>
          <w:sz w:val="24"/>
          <w:szCs w:val="24"/>
        </w:rPr>
        <w:t>of Form 29</w:t>
      </w:r>
      <w:r w:rsidR="00DC52B1" w:rsidRPr="00943504">
        <w:rPr>
          <w:rFonts w:ascii="Times New Roman" w:hAnsi="Times New Roman" w:cs="Times New Roman"/>
          <w:sz w:val="24"/>
          <w:szCs w:val="24"/>
        </w:rPr>
        <w:t xml:space="preserve"> and fully complies with </w:t>
      </w:r>
      <w:r w:rsidR="00EE156C" w:rsidRPr="00943504">
        <w:rPr>
          <w:rFonts w:ascii="Times New Roman" w:hAnsi="Times New Roman" w:cs="Times New Roman"/>
          <w:sz w:val="24"/>
          <w:szCs w:val="24"/>
        </w:rPr>
        <w:t xml:space="preserve">the practice generally prevailing in this Court. The first preliminary point </w:t>
      </w:r>
      <w:r w:rsidR="00141915" w:rsidRPr="00943504">
        <w:rPr>
          <w:rFonts w:ascii="Times New Roman" w:hAnsi="Times New Roman" w:cs="Times New Roman"/>
          <w:sz w:val="24"/>
          <w:szCs w:val="24"/>
        </w:rPr>
        <w:t>is</w:t>
      </w:r>
      <w:r w:rsidR="00373D7B" w:rsidRPr="00943504">
        <w:rPr>
          <w:rFonts w:ascii="Times New Roman" w:hAnsi="Times New Roman" w:cs="Times New Roman"/>
          <w:sz w:val="24"/>
          <w:szCs w:val="24"/>
        </w:rPr>
        <w:t xml:space="preserve"> dismissed for lack of merit.</w:t>
      </w:r>
    </w:p>
    <w:p w14:paraId="718496F9" w14:textId="77777777" w:rsidR="003916C5" w:rsidRDefault="003916C5" w:rsidP="00943504">
      <w:pPr>
        <w:autoSpaceDE w:val="0"/>
        <w:autoSpaceDN w:val="0"/>
        <w:adjustRightInd w:val="0"/>
        <w:spacing w:after="0" w:line="240" w:lineRule="auto"/>
        <w:jc w:val="both"/>
        <w:rPr>
          <w:rFonts w:ascii="Times New Roman" w:hAnsi="Times New Roman" w:cs="Times New Roman"/>
          <w:sz w:val="24"/>
          <w:szCs w:val="24"/>
        </w:rPr>
      </w:pPr>
    </w:p>
    <w:p w14:paraId="06A0B39D" w14:textId="77777777" w:rsidR="00943504" w:rsidRPr="00943504" w:rsidRDefault="00943504" w:rsidP="00943504">
      <w:pPr>
        <w:autoSpaceDE w:val="0"/>
        <w:autoSpaceDN w:val="0"/>
        <w:adjustRightInd w:val="0"/>
        <w:spacing w:after="0" w:line="240" w:lineRule="auto"/>
        <w:jc w:val="both"/>
        <w:rPr>
          <w:rFonts w:ascii="Times New Roman" w:hAnsi="Times New Roman" w:cs="Times New Roman"/>
          <w:sz w:val="24"/>
          <w:szCs w:val="24"/>
        </w:rPr>
      </w:pPr>
    </w:p>
    <w:p w14:paraId="5E1749E7" w14:textId="77777777" w:rsidR="00C05561" w:rsidRPr="006D0B1D" w:rsidRDefault="006D0B1D" w:rsidP="00943504">
      <w:pPr>
        <w:autoSpaceDE w:val="0"/>
        <w:autoSpaceDN w:val="0"/>
        <w:adjustRightInd w:val="0"/>
        <w:spacing w:after="0" w:line="240" w:lineRule="auto"/>
        <w:jc w:val="both"/>
        <w:rPr>
          <w:rFonts w:ascii="Times New Roman" w:hAnsi="Times New Roman" w:cs="Times New Roman"/>
          <w:b/>
          <w:sz w:val="24"/>
          <w:szCs w:val="24"/>
        </w:rPr>
      </w:pPr>
      <w:r w:rsidRPr="006D0B1D">
        <w:rPr>
          <w:rFonts w:ascii="Times New Roman" w:hAnsi="Times New Roman" w:cs="Times New Roman"/>
          <w:b/>
          <w:sz w:val="24"/>
          <w:szCs w:val="24"/>
        </w:rPr>
        <w:t>WHETHER THE APPLICANT’S LEGAL PRACTITIONER HAS AUTHORITY TO DEPOSE TO THE FOUNDING AFFIDAVIT</w:t>
      </w:r>
    </w:p>
    <w:p w14:paraId="3E7B01C7" w14:textId="77777777" w:rsidR="00962EB6" w:rsidRPr="00943504" w:rsidRDefault="00C05561" w:rsidP="00943504">
      <w:pPr>
        <w:autoSpaceDE w:val="0"/>
        <w:autoSpaceDN w:val="0"/>
        <w:adjustRightInd w:val="0"/>
        <w:spacing w:after="0" w:line="240" w:lineRule="auto"/>
        <w:jc w:val="both"/>
        <w:rPr>
          <w:rFonts w:ascii="Times New Roman" w:hAnsi="Times New Roman" w:cs="Times New Roman"/>
          <w:sz w:val="24"/>
          <w:szCs w:val="24"/>
        </w:rPr>
      </w:pPr>
      <w:r w:rsidRPr="00943504">
        <w:rPr>
          <w:rFonts w:ascii="Times New Roman" w:hAnsi="Times New Roman" w:cs="Times New Roman"/>
          <w:sz w:val="24"/>
          <w:szCs w:val="24"/>
        </w:rPr>
        <w:t xml:space="preserve"> </w:t>
      </w:r>
    </w:p>
    <w:p w14:paraId="1000077D" w14:textId="77777777" w:rsidR="00C15D89" w:rsidRPr="00943504" w:rsidRDefault="003554CD"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It was common cause that both the applicant </w:t>
      </w:r>
      <w:r w:rsidR="00D51764" w:rsidRPr="00943504">
        <w:rPr>
          <w:rFonts w:ascii="Times New Roman" w:hAnsi="Times New Roman" w:cs="Times New Roman"/>
          <w:sz w:val="24"/>
          <w:szCs w:val="24"/>
        </w:rPr>
        <w:t xml:space="preserve">and the respondent resided </w:t>
      </w:r>
      <w:r w:rsidRPr="00943504">
        <w:rPr>
          <w:rFonts w:ascii="Times New Roman" w:hAnsi="Times New Roman" w:cs="Times New Roman"/>
          <w:sz w:val="24"/>
          <w:szCs w:val="24"/>
        </w:rPr>
        <w:t xml:space="preserve">in the United Kingdom at the time the present application was instituted. </w:t>
      </w:r>
      <w:r w:rsidR="00373D7B" w:rsidRPr="00943504">
        <w:rPr>
          <w:rFonts w:ascii="Times New Roman" w:hAnsi="Times New Roman" w:cs="Times New Roman"/>
          <w:sz w:val="24"/>
          <w:szCs w:val="24"/>
        </w:rPr>
        <w:t xml:space="preserve">It was common </w:t>
      </w:r>
      <w:r w:rsidR="00CD494A" w:rsidRPr="00943504">
        <w:rPr>
          <w:rFonts w:ascii="Times New Roman" w:hAnsi="Times New Roman" w:cs="Times New Roman"/>
          <w:sz w:val="24"/>
          <w:szCs w:val="24"/>
        </w:rPr>
        <w:t>g</w:t>
      </w:r>
      <w:r w:rsidR="00373D7B" w:rsidRPr="00943504">
        <w:rPr>
          <w:rFonts w:ascii="Times New Roman" w:hAnsi="Times New Roman" w:cs="Times New Roman"/>
          <w:sz w:val="24"/>
          <w:szCs w:val="24"/>
        </w:rPr>
        <w:t xml:space="preserve">round that the applicant’s legal practitioner of record, Mr </w:t>
      </w:r>
      <w:r w:rsidR="00373D7B" w:rsidRPr="00943504">
        <w:rPr>
          <w:rFonts w:ascii="Times New Roman" w:hAnsi="Times New Roman" w:cs="Times New Roman"/>
          <w:i/>
          <w:sz w:val="24"/>
          <w:szCs w:val="24"/>
        </w:rPr>
        <w:t>Paul</w:t>
      </w:r>
      <w:r w:rsidR="00373D7B" w:rsidRPr="00943504">
        <w:rPr>
          <w:rFonts w:ascii="Times New Roman" w:hAnsi="Times New Roman" w:cs="Times New Roman"/>
          <w:sz w:val="24"/>
          <w:szCs w:val="24"/>
        </w:rPr>
        <w:t xml:space="preserve"> deposed to the founding affidavit. </w:t>
      </w:r>
      <w:r w:rsidR="004B138F" w:rsidRPr="00943504">
        <w:rPr>
          <w:rFonts w:ascii="Times New Roman" w:hAnsi="Times New Roman" w:cs="Times New Roman"/>
          <w:sz w:val="24"/>
          <w:szCs w:val="24"/>
        </w:rPr>
        <w:t xml:space="preserve">It was further common cause that he could do so in terms of r </w:t>
      </w:r>
      <w:r w:rsidR="008B6118" w:rsidRPr="00943504">
        <w:rPr>
          <w:rFonts w:ascii="Times New Roman" w:hAnsi="Times New Roman" w:cs="Times New Roman"/>
          <w:sz w:val="24"/>
          <w:szCs w:val="24"/>
        </w:rPr>
        <w:t xml:space="preserve">227 (4) </w:t>
      </w:r>
      <w:r w:rsidR="004B138F" w:rsidRPr="00943504">
        <w:rPr>
          <w:rFonts w:ascii="Times New Roman" w:hAnsi="Times New Roman" w:cs="Times New Roman"/>
          <w:sz w:val="24"/>
          <w:szCs w:val="24"/>
        </w:rPr>
        <w:t xml:space="preserve">of the High </w:t>
      </w:r>
      <w:r w:rsidR="004D7989" w:rsidRPr="00943504">
        <w:rPr>
          <w:rFonts w:ascii="Times New Roman" w:hAnsi="Times New Roman" w:cs="Times New Roman"/>
          <w:sz w:val="24"/>
          <w:szCs w:val="24"/>
        </w:rPr>
        <w:t xml:space="preserve">Court </w:t>
      </w:r>
      <w:r w:rsidR="004B138F" w:rsidRPr="00943504">
        <w:rPr>
          <w:rFonts w:ascii="Times New Roman" w:hAnsi="Times New Roman" w:cs="Times New Roman"/>
          <w:sz w:val="24"/>
          <w:szCs w:val="24"/>
        </w:rPr>
        <w:t>Rules as he could positively swear to the procedural facts upon which the application was premised</w:t>
      </w:r>
      <w:r w:rsidR="005701BB" w:rsidRPr="00943504">
        <w:rPr>
          <w:rFonts w:ascii="Times New Roman" w:hAnsi="Times New Roman" w:cs="Times New Roman"/>
          <w:sz w:val="24"/>
          <w:szCs w:val="24"/>
        </w:rPr>
        <w:t xml:space="preserve"> and to which he confined himself. </w:t>
      </w:r>
      <w:r w:rsidR="004B138F" w:rsidRPr="00943504">
        <w:rPr>
          <w:rFonts w:ascii="Times New Roman" w:hAnsi="Times New Roman" w:cs="Times New Roman"/>
          <w:sz w:val="24"/>
          <w:szCs w:val="24"/>
        </w:rPr>
        <w:t xml:space="preserve"> </w:t>
      </w:r>
    </w:p>
    <w:p w14:paraId="6C2BF1DE" w14:textId="77777777" w:rsidR="00C15D89" w:rsidRPr="00943504" w:rsidRDefault="00C15D89" w:rsidP="00943504">
      <w:pPr>
        <w:autoSpaceDE w:val="0"/>
        <w:autoSpaceDN w:val="0"/>
        <w:adjustRightInd w:val="0"/>
        <w:spacing w:after="0" w:line="480" w:lineRule="auto"/>
        <w:ind w:firstLine="1134"/>
        <w:jc w:val="both"/>
        <w:rPr>
          <w:rFonts w:ascii="Times New Roman" w:hAnsi="Times New Roman" w:cs="Times New Roman"/>
          <w:sz w:val="24"/>
          <w:szCs w:val="24"/>
        </w:rPr>
      </w:pPr>
    </w:p>
    <w:p w14:paraId="6CEAB8F9" w14:textId="77777777" w:rsidR="00DA2425" w:rsidRPr="00943504" w:rsidRDefault="00373D7B"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The respondent</w:t>
      </w:r>
      <w:r w:rsidR="004B138F" w:rsidRPr="00943504">
        <w:rPr>
          <w:rFonts w:ascii="Times New Roman" w:hAnsi="Times New Roman" w:cs="Times New Roman"/>
          <w:sz w:val="24"/>
          <w:szCs w:val="24"/>
        </w:rPr>
        <w:t>, however, took issue with Mr Paul’s</w:t>
      </w:r>
      <w:r w:rsidR="004B138F" w:rsidRPr="00943504">
        <w:rPr>
          <w:rFonts w:ascii="Times New Roman" w:hAnsi="Times New Roman" w:cs="Times New Roman"/>
          <w:i/>
          <w:sz w:val="24"/>
          <w:szCs w:val="24"/>
        </w:rPr>
        <w:t xml:space="preserve"> </w:t>
      </w:r>
      <w:r w:rsidR="004B138F" w:rsidRPr="00943504">
        <w:rPr>
          <w:rFonts w:ascii="Times New Roman" w:hAnsi="Times New Roman" w:cs="Times New Roman"/>
          <w:sz w:val="24"/>
          <w:szCs w:val="24"/>
        </w:rPr>
        <w:t>avowed</w:t>
      </w:r>
      <w:r w:rsidRPr="00943504">
        <w:rPr>
          <w:rFonts w:ascii="Times New Roman" w:hAnsi="Times New Roman" w:cs="Times New Roman"/>
          <w:sz w:val="24"/>
          <w:szCs w:val="24"/>
        </w:rPr>
        <w:t xml:space="preserve"> authority to institute the application for and on behalf of the </w:t>
      </w:r>
      <w:r w:rsidR="003554CD" w:rsidRPr="00943504">
        <w:rPr>
          <w:rFonts w:ascii="Times New Roman" w:hAnsi="Times New Roman" w:cs="Times New Roman"/>
          <w:sz w:val="24"/>
          <w:szCs w:val="24"/>
        </w:rPr>
        <w:t xml:space="preserve">applicant. He did not appreciate </w:t>
      </w:r>
      <w:r w:rsidR="004D7989" w:rsidRPr="00943504">
        <w:rPr>
          <w:rFonts w:ascii="Times New Roman" w:hAnsi="Times New Roman" w:cs="Times New Roman"/>
          <w:sz w:val="24"/>
          <w:szCs w:val="24"/>
        </w:rPr>
        <w:t>why the</w:t>
      </w:r>
      <w:r w:rsidR="003554CD" w:rsidRPr="00943504">
        <w:rPr>
          <w:rFonts w:ascii="Times New Roman" w:hAnsi="Times New Roman" w:cs="Times New Roman"/>
          <w:sz w:val="24"/>
          <w:szCs w:val="24"/>
        </w:rPr>
        <w:t xml:space="preserve"> </w:t>
      </w:r>
      <w:r w:rsidR="004D7989" w:rsidRPr="00943504">
        <w:rPr>
          <w:rFonts w:ascii="Times New Roman" w:hAnsi="Times New Roman" w:cs="Times New Roman"/>
          <w:sz w:val="24"/>
          <w:szCs w:val="24"/>
        </w:rPr>
        <w:t xml:space="preserve">respondent could not personally </w:t>
      </w:r>
      <w:r w:rsidR="003554CD" w:rsidRPr="00943504">
        <w:rPr>
          <w:rFonts w:ascii="Times New Roman" w:hAnsi="Times New Roman" w:cs="Times New Roman"/>
          <w:sz w:val="24"/>
          <w:szCs w:val="24"/>
        </w:rPr>
        <w:t xml:space="preserve">depose to the founding affidavit in her own name or </w:t>
      </w:r>
      <w:r w:rsidR="004D561F" w:rsidRPr="00943504">
        <w:rPr>
          <w:rFonts w:ascii="Times New Roman" w:hAnsi="Times New Roman" w:cs="Times New Roman"/>
          <w:sz w:val="24"/>
          <w:szCs w:val="24"/>
        </w:rPr>
        <w:t>alternatively</w:t>
      </w:r>
      <w:r w:rsidR="00CD494A" w:rsidRPr="00943504">
        <w:rPr>
          <w:rFonts w:ascii="Times New Roman" w:hAnsi="Times New Roman" w:cs="Times New Roman"/>
          <w:sz w:val="24"/>
          <w:szCs w:val="24"/>
        </w:rPr>
        <w:t xml:space="preserve"> file</w:t>
      </w:r>
      <w:r w:rsidR="003554CD" w:rsidRPr="00943504">
        <w:rPr>
          <w:rFonts w:ascii="Times New Roman" w:hAnsi="Times New Roman" w:cs="Times New Roman"/>
          <w:sz w:val="24"/>
          <w:szCs w:val="24"/>
        </w:rPr>
        <w:t xml:space="preserve"> a supporting affidavit of her instructions </w:t>
      </w:r>
      <w:r w:rsidR="00D51764" w:rsidRPr="00943504">
        <w:rPr>
          <w:rFonts w:ascii="Times New Roman" w:hAnsi="Times New Roman" w:cs="Times New Roman"/>
          <w:sz w:val="24"/>
          <w:szCs w:val="24"/>
        </w:rPr>
        <w:t xml:space="preserve">to Mr Paul, since, as the </w:t>
      </w:r>
      <w:r w:rsidR="00D51764" w:rsidRPr="00943504">
        <w:rPr>
          <w:rFonts w:ascii="Times New Roman" w:hAnsi="Times New Roman" w:cs="Times New Roman"/>
          <w:i/>
          <w:sz w:val="24"/>
          <w:szCs w:val="24"/>
        </w:rPr>
        <w:t>dominu</w:t>
      </w:r>
      <w:r w:rsidR="003554CD" w:rsidRPr="00943504">
        <w:rPr>
          <w:rFonts w:ascii="Times New Roman" w:hAnsi="Times New Roman" w:cs="Times New Roman"/>
          <w:i/>
          <w:sz w:val="24"/>
          <w:szCs w:val="24"/>
        </w:rPr>
        <w:t>s litis</w:t>
      </w:r>
      <w:r w:rsidR="003554CD" w:rsidRPr="00943504">
        <w:rPr>
          <w:rFonts w:ascii="Times New Roman" w:hAnsi="Times New Roman" w:cs="Times New Roman"/>
          <w:sz w:val="24"/>
          <w:szCs w:val="24"/>
        </w:rPr>
        <w:t xml:space="preserve">, she had </w:t>
      </w:r>
      <w:r w:rsidR="00D51764" w:rsidRPr="00943504">
        <w:rPr>
          <w:rFonts w:ascii="Times New Roman" w:hAnsi="Times New Roman" w:cs="Times New Roman"/>
          <w:sz w:val="24"/>
          <w:szCs w:val="24"/>
        </w:rPr>
        <w:t>ample time</w:t>
      </w:r>
      <w:r w:rsidR="003554CD" w:rsidRPr="00943504">
        <w:rPr>
          <w:rFonts w:ascii="Times New Roman" w:hAnsi="Times New Roman" w:cs="Times New Roman"/>
          <w:sz w:val="24"/>
          <w:szCs w:val="24"/>
        </w:rPr>
        <w:t xml:space="preserve"> to institute the present proceedings</w:t>
      </w:r>
      <w:r w:rsidR="00D51764" w:rsidRPr="00943504">
        <w:rPr>
          <w:rFonts w:ascii="Times New Roman" w:hAnsi="Times New Roman" w:cs="Times New Roman"/>
          <w:sz w:val="24"/>
          <w:szCs w:val="24"/>
        </w:rPr>
        <w:t xml:space="preserve"> u</w:t>
      </w:r>
      <w:r w:rsidR="00CD494A" w:rsidRPr="00943504">
        <w:rPr>
          <w:rFonts w:ascii="Times New Roman" w:hAnsi="Times New Roman" w:cs="Times New Roman"/>
          <w:sz w:val="24"/>
          <w:szCs w:val="24"/>
        </w:rPr>
        <w:t>nlike the respondent who had</w:t>
      </w:r>
      <w:r w:rsidR="004D561F" w:rsidRPr="00943504">
        <w:rPr>
          <w:rFonts w:ascii="Times New Roman" w:hAnsi="Times New Roman" w:cs="Times New Roman"/>
          <w:sz w:val="24"/>
          <w:szCs w:val="24"/>
        </w:rPr>
        <w:t xml:space="preserve"> the </w:t>
      </w:r>
      <w:r w:rsidR="00A221A2" w:rsidRPr="00943504">
        <w:rPr>
          <w:rFonts w:ascii="Times New Roman" w:hAnsi="Times New Roman" w:cs="Times New Roman"/>
          <w:sz w:val="24"/>
          <w:szCs w:val="24"/>
        </w:rPr>
        <w:t>invidious position of filing</w:t>
      </w:r>
      <w:r w:rsidR="004D561F" w:rsidRPr="00943504">
        <w:rPr>
          <w:rFonts w:ascii="Times New Roman" w:hAnsi="Times New Roman" w:cs="Times New Roman"/>
          <w:sz w:val="24"/>
          <w:szCs w:val="24"/>
        </w:rPr>
        <w:t xml:space="preserve"> his opposing affidavit within the prescribed </w:t>
      </w:r>
      <w:r w:rsidR="00962EB6" w:rsidRPr="00943504">
        <w:rPr>
          <w:rFonts w:ascii="Times New Roman" w:hAnsi="Times New Roman" w:cs="Times New Roman"/>
          <w:sz w:val="24"/>
          <w:szCs w:val="24"/>
        </w:rPr>
        <w:t>3-day</w:t>
      </w:r>
      <w:r w:rsidR="00A221A2" w:rsidRPr="00943504">
        <w:rPr>
          <w:rFonts w:ascii="Times New Roman" w:hAnsi="Times New Roman" w:cs="Times New Roman"/>
          <w:sz w:val="24"/>
          <w:szCs w:val="24"/>
        </w:rPr>
        <w:t xml:space="preserve"> period from the United Kingdom;</w:t>
      </w:r>
      <w:r w:rsidR="004D561F" w:rsidRPr="00943504">
        <w:rPr>
          <w:rFonts w:ascii="Times New Roman" w:hAnsi="Times New Roman" w:cs="Times New Roman"/>
          <w:sz w:val="24"/>
          <w:szCs w:val="24"/>
        </w:rPr>
        <w:t xml:space="preserve"> </w:t>
      </w:r>
      <w:r w:rsidR="00A221A2" w:rsidRPr="00943504">
        <w:rPr>
          <w:rFonts w:ascii="Times New Roman" w:hAnsi="Times New Roman" w:cs="Times New Roman"/>
          <w:sz w:val="24"/>
          <w:szCs w:val="24"/>
        </w:rPr>
        <w:t xml:space="preserve">a feat </w:t>
      </w:r>
      <w:r w:rsidR="004D561F" w:rsidRPr="00943504">
        <w:rPr>
          <w:rFonts w:ascii="Times New Roman" w:hAnsi="Times New Roman" w:cs="Times New Roman"/>
          <w:sz w:val="24"/>
          <w:szCs w:val="24"/>
        </w:rPr>
        <w:t xml:space="preserve">which he still </w:t>
      </w:r>
      <w:r w:rsidR="003554CD" w:rsidRPr="00943504">
        <w:rPr>
          <w:rFonts w:ascii="Times New Roman" w:hAnsi="Times New Roman" w:cs="Times New Roman"/>
          <w:sz w:val="24"/>
          <w:szCs w:val="24"/>
        </w:rPr>
        <w:t xml:space="preserve">managed to </w:t>
      </w:r>
      <w:r w:rsidR="004D561F" w:rsidRPr="00943504">
        <w:rPr>
          <w:rFonts w:ascii="Times New Roman" w:hAnsi="Times New Roman" w:cs="Times New Roman"/>
          <w:sz w:val="24"/>
          <w:szCs w:val="24"/>
        </w:rPr>
        <w:t>do</w:t>
      </w:r>
      <w:r w:rsidR="003554CD" w:rsidRPr="00943504">
        <w:rPr>
          <w:rFonts w:ascii="Times New Roman" w:hAnsi="Times New Roman" w:cs="Times New Roman"/>
          <w:sz w:val="24"/>
          <w:szCs w:val="24"/>
        </w:rPr>
        <w:t xml:space="preserve">. </w:t>
      </w:r>
      <w:r w:rsidRPr="00943504">
        <w:rPr>
          <w:rFonts w:ascii="Times New Roman" w:hAnsi="Times New Roman" w:cs="Times New Roman"/>
          <w:sz w:val="24"/>
          <w:szCs w:val="24"/>
        </w:rPr>
        <w:t xml:space="preserve"> </w:t>
      </w:r>
    </w:p>
    <w:p w14:paraId="03C714E2" w14:textId="77777777" w:rsidR="00DA2425" w:rsidRPr="00943504" w:rsidRDefault="00DA2425" w:rsidP="00943504">
      <w:pPr>
        <w:autoSpaceDE w:val="0"/>
        <w:autoSpaceDN w:val="0"/>
        <w:adjustRightInd w:val="0"/>
        <w:spacing w:after="0" w:line="480" w:lineRule="auto"/>
        <w:ind w:firstLine="1134"/>
        <w:jc w:val="both"/>
        <w:rPr>
          <w:rFonts w:ascii="Times New Roman" w:hAnsi="Times New Roman" w:cs="Times New Roman"/>
          <w:sz w:val="24"/>
          <w:szCs w:val="24"/>
        </w:rPr>
      </w:pPr>
    </w:p>
    <w:p w14:paraId="0778CF49" w14:textId="77777777" w:rsidR="00116174" w:rsidRPr="00943504" w:rsidRDefault="006A22D2"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Mr </w:t>
      </w:r>
      <w:r w:rsidR="00D51764" w:rsidRPr="00943504">
        <w:rPr>
          <w:rFonts w:ascii="Times New Roman" w:hAnsi="Times New Roman" w:cs="Times New Roman"/>
          <w:i/>
          <w:sz w:val="24"/>
          <w:szCs w:val="24"/>
        </w:rPr>
        <w:t xml:space="preserve">Mhlanga </w:t>
      </w:r>
      <w:r w:rsidR="00D51764" w:rsidRPr="00943504">
        <w:rPr>
          <w:rFonts w:ascii="Times New Roman" w:hAnsi="Times New Roman" w:cs="Times New Roman"/>
          <w:sz w:val="24"/>
          <w:szCs w:val="24"/>
        </w:rPr>
        <w:t xml:space="preserve">contended that Mr </w:t>
      </w:r>
      <w:r w:rsidR="00D51764" w:rsidRPr="00943504">
        <w:rPr>
          <w:rFonts w:ascii="Times New Roman" w:hAnsi="Times New Roman" w:cs="Times New Roman"/>
          <w:i/>
          <w:sz w:val="24"/>
          <w:szCs w:val="24"/>
        </w:rPr>
        <w:t>Paul</w:t>
      </w:r>
      <w:r w:rsidR="00D51764" w:rsidRPr="00943504">
        <w:rPr>
          <w:rFonts w:ascii="Times New Roman" w:hAnsi="Times New Roman" w:cs="Times New Roman"/>
          <w:sz w:val="24"/>
          <w:szCs w:val="24"/>
        </w:rPr>
        <w:t xml:space="preserve"> failed to substantiate the bald averment of authorisation deposed to in para 2 of the founding affidavit once that deposition had been contested in the opposing affidavit. He did not file any answering affidavit and therefore deprived himself of the opportunity to demonstrate his agency.  At the hearing, </w:t>
      </w:r>
      <w:r w:rsidR="004B138F" w:rsidRPr="00943504">
        <w:rPr>
          <w:rFonts w:ascii="Times New Roman" w:hAnsi="Times New Roman" w:cs="Times New Roman"/>
          <w:sz w:val="24"/>
          <w:szCs w:val="24"/>
        </w:rPr>
        <w:t xml:space="preserve">Mr </w:t>
      </w:r>
      <w:r w:rsidR="004B138F" w:rsidRPr="00943504">
        <w:rPr>
          <w:rFonts w:ascii="Times New Roman" w:hAnsi="Times New Roman" w:cs="Times New Roman"/>
          <w:i/>
          <w:sz w:val="24"/>
          <w:szCs w:val="24"/>
        </w:rPr>
        <w:t>Mhlanga</w:t>
      </w:r>
      <w:r w:rsidR="004B138F" w:rsidRPr="00943504">
        <w:rPr>
          <w:rFonts w:ascii="Times New Roman" w:hAnsi="Times New Roman" w:cs="Times New Roman"/>
          <w:sz w:val="24"/>
          <w:szCs w:val="24"/>
        </w:rPr>
        <w:t xml:space="preserve"> </w:t>
      </w:r>
      <w:r w:rsidR="004B138F" w:rsidRPr="00943504">
        <w:rPr>
          <w:rFonts w:ascii="Times New Roman" w:hAnsi="Times New Roman" w:cs="Times New Roman"/>
          <w:sz w:val="24"/>
          <w:szCs w:val="24"/>
        </w:rPr>
        <w:lastRenderedPageBreak/>
        <w:t>op</w:t>
      </w:r>
      <w:r w:rsidR="00331C9B" w:rsidRPr="00943504">
        <w:rPr>
          <w:rFonts w:ascii="Times New Roman" w:hAnsi="Times New Roman" w:cs="Times New Roman"/>
          <w:sz w:val="24"/>
          <w:szCs w:val="24"/>
        </w:rPr>
        <w:t>posed Mr </w:t>
      </w:r>
      <w:r w:rsidR="004B138F" w:rsidRPr="00943504">
        <w:rPr>
          <w:rFonts w:ascii="Times New Roman" w:hAnsi="Times New Roman" w:cs="Times New Roman"/>
          <w:i/>
          <w:sz w:val="24"/>
          <w:szCs w:val="24"/>
        </w:rPr>
        <w:t>Paul’s</w:t>
      </w:r>
      <w:r w:rsidR="000F7F74" w:rsidRPr="00943504">
        <w:rPr>
          <w:rFonts w:ascii="Times New Roman" w:hAnsi="Times New Roman" w:cs="Times New Roman"/>
          <w:sz w:val="24"/>
          <w:szCs w:val="24"/>
        </w:rPr>
        <w:t xml:space="preserve"> attempt to tender</w:t>
      </w:r>
      <w:r w:rsidR="00D51764" w:rsidRPr="00943504">
        <w:rPr>
          <w:rFonts w:ascii="Times New Roman" w:hAnsi="Times New Roman" w:cs="Times New Roman"/>
          <w:sz w:val="24"/>
          <w:szCs w:val="24"/>
        </w:rPr>
        <w:t xml:space="preserve"> the notarised </w:t>
      </w:r>
      <w:r w:rsidR="004B138F" w:rsidRPr="00943504">
        <w:rPr>
          <w:rFonts w:ascii="Times New Roman" w:hAnsi="Times New Roman" w:cs="Times New Roman"/>
          <w:sz w:val="24"/>
          <w:szCs w:val="24"/>
        </w:rPr>
        <w:t xml:space="preserve">power of attorney </w:t>
      </w:r>
      <w:r w:rsidR="004D7989" w:rsidRPr="00943504">
        <w:rPr>
          <w:rFonts w:ascii="Times New Roman" w:hAnsi="Times New Roman" w:cs="Times New Roman"/>
          <w:sz w:val="24"/>
          <w:szCs w:val="24"/>
        </w:rPr>
        <w:t xml:space="preserve">he received from the applicant </w:t>
      </w:r>
      <w:r w:rsidR="00AB168E" w:rsidRPr="00943504">
        <w:rPr>
          <w:rFonts w:ascii="Times New Roman" w:hAnsi="Times New Roman" w:cs="Times New Roman"/>
          <w:sz w:val="24"/>
          <w:szCs w:val="24"/>
        </w:rPr>
        <w:t>on 20 December </w:t>
      </w:r>
      <w:r w:rsidR="004B138F" w:rsidRPr="00943504">
        <w:rPr>
          <w:rFonts w:ascii="Times New Roman" w:hAnsi="Times New Roman" w:cs="Times New Roman"/>
          <w:sz w:val="24"/>
          <w:szCs w:val="24"/>
        </w:rPr>
        <w:t>2019</w:t>
      </w:r>
      <w:r w:rsidR="000F7F74" w:rsidRPr="00943504">
        <w:rPr>
          <w:rFonts w:ascii="Times New Roman" w:hAnsi="Times New Roman" w:cs="Times New Roman"/>
          <w:sz w:val="24"/>
          <w:szCs w:val="24"/>
        </w:rPr>
        <w:t xml:space="preserve"> from the bar</w:t>
      </w:r>
      <w:r w:rsidR="004B138F" w:rsidRPr="00943504">
        <w:rPr>
          <w:rFonts w:ascii="Times New Roman" w:hAnsi="Times New Roman" w:cs="Times New Roman"/>
          <w:sz w:val="24"/>
          <w:szCs w:val="24"/>
        </w:rPr>
        <w:t xml:space="preserve">. </w:t>
      </w:r>
    </w:p>
    <w:p w14:paraId="40B4EB4D" w14:textId="77777777" w:rsidR="00962EB6" w:rsidRPr="00943504" w:rsidRDefault="00962EB6" w:rsidP="00943504">
      <w:pPr>
        <w:autoSpaceDE w:val="0"/>
        <w:autoSpaceDN w:val="0"/>
        <w:adjustRightInd w:val="0"/>
        <w:spacing w:after="0" w:line="240" w:lineRule="auto"/>
        <w:jc w:val="both"/>
        <w:rPr>
          <w:rFonts w:ascii="Times New Roman" w:hAnsi="Times New Roman" w:cs="Times New Roman"/>
          <w:sz w:val="24"/>
          <w:szCs w:val="24"/>
        </w:rPr>
      </w:pPr>
    </w:p>
    <w:p w14:paraId="77B3C342" w14:textId="77777777" w:rsidR="006D39CD" w:rsidRPr="00943504" w:rsidRDefault="006D39CD" w:rsidP="00943504">
      <w:pPr>
        <w:autoSpaceDE w:val="0"/>
        <w:autoSpaceDN w:val="0"/>
        <w:adjustRightInd w:val="0"/>
        <w:spacing w:after="0" w:line="240" w:lineRule="auto"/>
        <w:jc w:val="both"/>
        <w:rPr>
          <w:rFonts w:ascii="Times New Roman" w:hAnsi="Times New Roman" w:cs="Times New Roman"/>
          <w:sz w:val="24"/>
          <w:szCs w:val="24"/>
        </w:rPr>
      </w:pPr>
    </w:p>
    <w:p w14:paraId="4656B675" w14:textId="77777777" w:rsidR="00AE486C" w:rsidRPr="00943504" w:rsidRDefault="004D561F"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The background facts of the matter show that Mr Paul has been the applicant’s erstwhile legal practitioner in this dispute since</w:t>
      </w:r>
      <w:r w:rsidR="00F4200C" w:rsidRPr="00943504">
        <w:rPr>
          <w:rFonts w:ascii="Times New Roman" w:hAnsi="Times New Roman" w:cs="Times New Roman"/>
          <w:sz w:val="24"/>
          <w:szCs w:val="24"/>
        </w:rPr>
        <w:t xml:space="preserve"> assuming agency in 2018</w:t>
      </w:r>
      <w:r w:rsidRPr="00943504">
        <w:rPr>
          <w:rFonts w:ascii="Times New Roman" w:hAnsi="Times New Roman" w:cs="Times New Roman"/>
          <w:sz w:val="24"/>
          <w:szCs w:val="24"/>
        </w:rPr>
        <w:t>. He is a registered legal practitioner authorised to practice as such in terms of s 8 o</w:t>
      </w:r>
      <w:r w:rsidR="00072659" w:rsidRPr="00943504">
        <w:rPr>
          <w:rFonts w:ascii="Times New Roman" w:hAnsi="Times New Roman" w:cs="Times New Roman"/>
          <w:sz w:val="24"/>
          <w:szCs w:val="24"/>
        </w:rPr>
        <w:t>f the Legal P</w:t>
      </w:r>
      <w:r w:rsidR="00FE1198" w:rsidRPr="00943504">
        <w:rPr>
          <w:rFonts w:ascii="Times New Roman" w:hAnsi="Times New Roman" w:cs="Times New Roman"/>
          <w:sz w:val="24"/>
          <w:szCs w:val="24"/>
        </w:rPr>
        <w:t>ractitioners Act. [</w:t>
      </w:r>
      <w:r w:rsidRPr="00943504">
        <w:rPr>
          <w:rFonts w:ascii="Times New Roman" w:hAnsi="Times New Roman" w:cs="Times New Roman"/>
          <w:i/>
          <w:sz w:val="24"/>
          <w:szCs w:val="24"/>
        </w:rPr>
        <w:t>Chapter</w:t>
      </w:r>
      <w:r w:rsidR="00FE1198" w:rsidRPr="00943504">
        <w:rPr>
          <w:rFonts w:ascii="Times New Roman" w:hAnsi="Times New Roman" w:cs="Times New Roman"/>
          <w:i/>
          <w:sz w:val="24"/>
          <w:szCs w:val="24"/>
        </w:rPr>
        <w:t xml:space="preserve"> 27:07</w:t>
      </w:r>
      <w:r w:rsidRPr="00943504">
        <w:rPr>
          <w:rFonts w:ascii="Times New Roman" w:hAnsi="Times New Roman" w:cs="Times New Roman"/>
          <w:sz w:val="24"/>
          <w:szCs w:val="24"/>
        </w:rPr>
        <w:t>]</w:t>
      </w:r>
      <w:r w:rsidR="00FE1198" w:rsidRPr="00943504">
        <w:rPr>
          <w:rFonts w:ascii="Times New Roman" w:hAnsi="Times New Roman" w:cs="Times New Roman"/>
          <w:sz w:val="24"/>
          <w:szCs w:val="24"/>
        </w:rPr>
        <w:t>.</w:t>
      </w:r>
      <w:r w:rsidRPr="00943504">
        <w:rPr>
          <w:rFonts w:ascii="Times New Roman" w:hAnsi="Times New Roman" w:cs="Times New Roman"/>
          <w:sz w:val="24"/>
          <w:szCs w:val="24"/>
        </w:rPr>
        <w:t xml:space="preserve"> I am satisfied that the bald assertion in paragraph </w:t>
      </w:r>
      <w:r w:rsidR="00072659" w:rsidRPr="00943504">
        <w:rPr>
          <w:rFonts w:ascii="Times New Roman" w:hAnsi="Times New Roman" w:cs="Times New Roman"/>
          <w:sz w:val="24"/>
          <w:szCs w:val="24"/>
        </w:rPr>
        <w:t xml:space="preserve">2 of his founding affidavit </w:t>
      </w:r>
      <w:r w:rsidRPr="00943504">
        <w:rPr>
          <w:rFonts w:ascii="Times New Roman" w:hAnsi="Times New Roman" w:cs="Times New Roman"/>
          <w:sz w:val="24"/>
          <w:szCs w:val="24"/>
        </w:rPr>
        <w:t>adequately demonstrated his authority. That he was not on a frolic of his own was confirmed by the notarised power of attorney executed by the applicant in the United Kingdom</w:t>
      </w:r>
      <w:r w:rsidR="006D39CD" w:rsidRPr="00943504">
        <w:rPr>
          <w:rFonts w:ascii="Times New Roman" w:hAnsi="Times New Roman" w:cs="Times New Roman"/>
          <w:sz w:val="24"/>
          <w:szCs w:val="24"/>
        </w:rPr>
        <w:t xml:space="preserve"> on</w:t>
      </w:r>
      <w:r w:rsidR="006D0B1D">
        <w:rPr>
          <w:rFonts w:ascii="Times New Roman" w:hAnsi="Times New Roman" w:cs="Times New Roman"/>
          <w:sz w:val="24"/>
          <w:szCs w:val="24"/>
        </w:rPr>
        <w:t xml:space="preserve"> 20 </w:t>
      </w:r>
      <w:r w:rsidR="00FE1198" w:rsidRPr="00943504">
        <w:rPr>
          <w:rFonts w:ascii="Times New Roman" w:hAnsi="Times New Roman" w:cs="Times New Roman"/>
          <w:sz w:val="24"/>
          <w:szCs w:val="24"/>
        </w:rPr>
        <w:t>December 2019</w:t>
      </w:r>
      <w:r w:rsidR="006D39CD" w:rsidRPr="00943504">
        <w:rPr>
          <w:rFonts w:ascii="Times New Roman" w:hAnsi="Times New Roman" w:cs="Times New Roman"/>
          <w:sz w:val="24"/>
          <w:szCs w:val="24"/>
        </w:rPr>
        <w:t>.</w:t>
      </w:r>
      <w:r w:rsidRPr="00943504">
        <w:rPr>
          <w:rFonts w:ascii="Times New Roman" w:hAnsi="Times New Roman" w:cs="Times New Roman"/>
          <w:sz w:val="24"/>
          <w:szCs w:val="24"/>
        </w:rPr>
        <w:t xml:space="preserve"> </w:t>
      </w:r>
      <w:r w:rsidR="008B6118" w:rsidRPr="00943504">
        <w:rPr>
          <w:rFonts w:ascii="Times New Roman" w:hAnsi="Times New Roman" w:cs="Times New Roman"/>
          <w:sz w:val="24"/>
          <w:szCs w:val="24"/>
        </w:rPr>
        <w:t>In any event, he is the one who signed the present application as the applicant’s legal practitioner in compliance with the provisions of r 43 (1)</w:t>
      </w:r>
      <w:r w:rsidR="00FE1198" w:rsidRPr="00943504">
        <w:rPr>
          <w:rFonts w:ascii="Times New Roman" w:hAnsi="Times New Roman" w:cs="Times New Roman"/>
          <w:sz w:val="24"/>
          <w:szCs w:val="24"/>
        </w:rPr>
        <w:t xml:space="preserve"> and (3)</w:t>
      </w:r>
      <w:r w:rsidR="001C7A5B" w:rsidRPr="00943504">
        <w:rPr>
          <w:rFonts w:ascii="Times New Roman" w:hAnsi="Times New Roman" w:cs="Times New Roman"/>
          <w:sz w:val="24"/>
          <w:szCs w:val="24"/>
        </w:rPr>
        <w:t xml:space="preserve"> of the Supreme Court R</w:t>
      </w:r>
      <w:r w:rsidR="008B6118" w:rsidRPr="00943504">
        <w:rPr>
          <w:rFonts w:ascii="Times New Roman" w:hAnsi="Times New Roman" w:cs="Times New Roman"/>
          <w:sz w:val="24"/>
          <w:szCs w:val="24"/>
        </w:rPr>
        <w:t>ules</w:t>
      </w:r>
      <w:r w:rsidR="00072659" w:rsidRPr="00943504">
        <w:rPr>
          <w:rFonts w:ascii="Times New Roman" w:hAnsi="Times New Roman" w:cs="Times New Roman"/>
          <w:sz w:val="24"/>
          <w:szCs w:val="24"/>
        </w:rPr>
        <w:t>, 2018</w:t>
      </w:r>
      <w:r w:rsidR="008B6118" w:rsidRPr="00943504">
        <w:rPr>
          <w:rFonts w:ascii="Times New Roman" w:hAnsi="Times New Roman" w:cs="Times New Roman"/>
          <w:sz w:val="24"/>
          <w:szCs w:val="24"/>
        </w:rPr>
        <w:t>. T</w:t>
      </w:r>
      <w:r w:rsidR="00812BD6" w:rsidRPr="00943504">
        <w:rPr>
          <w:rFonts w:ascii="Times New Roman" w:hAnsi="Times New Roman" w:cs="Times New Roman"/>
          <w:sz w:val="24"/>
          <w:szCs w:val="24"/>
        </w:rPr>
        <w:t>he second preliminary point is</w:t>
      </w:r>
      <w:r w:rsidR="002677F8" w:rsidRPr="00943504">
        <w:rPr>
          <w:rFonts w:ascii="Times New Roman" w:hAnsi="Times New Roman" w:cs="Times New Roman"/>
          <w:sz w:val="24"/>
          <w:szCs w:val="24"/>
        </w:rPr>
        <w:t xml:space="preserve"> </w:t>
      </w:r>
      <w:r w:rsidR="00812BD6" w:rsidRPr="00943504">
        <w:rPr>
          <w:rFonts w:ascii="Times New Roman" w:hAnsi="Times New Roman" w:cs="Times New Roman"/>
          <w:sz w:val="24"/>
          <w:szCs w:val="24"/>
        </w:rPr>
        <w:t>unsustainable</w:t>
      </w:r>
      <w:r w:rsidR="002677F8" w:rsidRPr="00943504">
        <w:rPr>
          <w:rFonts w:ascii="Times New Roman" w:hAnsi="Times New Roman" w:cs="Times New Roman"/>
          <w:sz w:val="24"/>
          <w:szCs w:val="24"/>
        </w:rPr>
        <w:t xml:space="preserve"> and must be dismissed.</w:t>
      </w:r>
      <w:r w:rsidR="005701BB" w:rsidRPr="00943504">
        <w:rPr>
          <w:rFonts w:ascii="Times New Roman" w:hAnsi="Times New Roman" w:cs="Times New Roman"/>
          <w:sz w:val="24"/>
          <w:szCs w:val="24"/>
        </w:rPr>
        <w:t xml:space="preserve"> </w:t>
      </w:r>
    </w:p>
    <w:p w14:paraId="07A28D89" w14:textId="77777777" w:rsidR="00CB5264" w:rsidRPr="00943504" w:rsidRDefault="00CB5264" w:rsidP="00943504">
      <w:pPr>
        <w:autoSpaceDE w:val="0"/>
        <w:autoSpaceDN w:val="0"/>
        <w:adjustRightInd w:val="0"/>
        <w:spacing w:after="0" w:line="480" w:lineRule="auto"/>
        <w:jc w:val="both"/>
        <w:rPr>
          <w:rFonts w:ascii="Times New Roman" w:hAnsi="Times New Roman" w:cs="Times New Roman"/>
          <w:sz w:val="24"/>
          <w:szCs w:val="24"/>
        </w:rPr>
      </w:pPr>
    </w:p>
    <w:p w14:paraId="021C6AE2" w14:textId="77777777" w:rsidR="00AA3420" w:rsidRPr="006D0B1D" w:rsidRDefault="006D0B1D" w:rsidP="00943504">
      <w:pPr>
        <w:autoSpaceDE w:val="0"/>
        <w:autoSpaceDN w:val="0"/>
        <w:adjustRightInd w:val="0"/>
        <w:spacing w:after="0" w:line="480" w:lineRule="auto"/>
        <w:jc w:val="both"/>
        <w:rPr>
          <w:rFonts w:ascii="Times New Roman" w:hAnsi="Times New Roman" w:cs="Times New Roman"/>
          <w:b/>
          <w:sz w:val="24"/>
          <w:szCs w:val="24"/>
        </w:rPr>
      </w:pPr>
      <w:r w:rsidRPr="006D0B1D">
        <w:rPr>
          <w:rFonts w:ascii="Times New Roman" w:hAnsi="Times New Roman" w:cs="Times New Roman"/>
          <w:b/>
          <w:sz w:val="24"/>
          <w:szCs w:val="24"/>
        </w:rPr>
        <w:t xml:space="preserve">WHETHER THE MATTER IS LIS PENDENS  </w:t>
      </w:r>
    </w:p>
    <w:p w14:paraId="173D16BA" w14:textId="77777777" w:rsidR="003C0BAF" w:rsidRPr="00943504" w:rsidRDefault="00AA3420"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It was common c</w:t>
      </w:r>
      <w:r w:rsidR="00CB5264" w:rsidRPr="00943504">
        <w:rPr>
          <w:rFonts w:ascii="Times New Roman" w:hAnsi="Times New Roman" w:cs="Times New Roman"/>
          <w:sz w:val="24"/>
          <w:szCs w:val="24"/>
        </w:rPr>
        <w:t>ause that as at the date of</w:t>
      </w:r>
      <w:r w:rsidR="00FE1198" w:rsidRPr="00943504">
        <w:rPr>
          <w:rFonts w:ascii="Times New Roman" w:hAnsi="Times New Roman" w:cs="Times New Roman"/>
          <w:sz w:val="24"/>
          <w:szCs w:val="24"/>
        </w:rPr>
        <w:t xml:space="preserve"> the present hearing</w:t>
      </w:r>
      <w:r w:rsidRPr="00943504">
        <w:rPr>
          <w:rFonts w:ascii="Times New Roman" w:hAnsi="Times New Roman" w:cs="Times New Roman"/>
          <w:sz w:val="24"/>
          <w:szCs w:val="24"/>
        </w:rPr>
        <w:t xml:space="preserve">, the question of </w:t>
      </w:r>
      <w:r w:rsidRPr="00943504">
        <w:rPr>
          <w:rFonts w:ascii="Times New Roman" w:hAnsi="Times New Roman" w:cs="Times New Roman"/>
          <w:i/>
          <w:sz w:val="24"/>
          <w:szCs w:val="24"/>
        </w:rPr>
        <w:t xml:space="preserve">lis pendens </w:t>
      </w:r>
      <w:r w:rsidR="009713C5" w:rsidRPr="00943504">
        <w:rPr>
          <w:rFonts w:ascii="Times New Roman" w:hAnsi="Times New Roman" w:cs="Times New Roman"/>
          <w:sz w:val="24"/>
          <w:szCs w:val="24"/>
        </w:rPr>
        <w:t xml:space="preserve">had long </w:t>
      </w:r>
      <w:r w:rsidRPr="00943504">
        <w:rPr>
          <w:rFonts w:ascii="Times New Roman" w:hAnsi="Times New Roman" w:cs="Times New Roman"/>
          <w:sz w:val="24"/>
          <w:szCs w:val="24"/>
        </w:rPr>
        <w:t xml:space="preserve">ceased to be a live issue before me by reason of the withdrawal </w:t>
      </w:r>
      <w:r w:rsidR="003C0BAF" w:rsidRPr="00943504">
        <w:rPr>
          <w:rFonts w:ascii="Times New Roman" w:hAnsi="Times New Roman" w:cs="Times New Roman"/>
          <w:sz w:val="24"/>
          <w:szCs w:val="24"/>
        </w:rPr>
        <w:t>on 27 January </w:t>
      </w:r>
      <w:r w:rsidR="00CB5264" w:rsidRPr="00943504">
        <w:rPr>
          <w:rFonts w:ascii="Times New Roman" w:hAnsi="Times New Roman" w:cs="Times New Roman"/>
          <w:sz w:val="24"/>
          <w:szCs w:val="24"/>
        </w:rPr>
        <w:t>2020</w:t>
      </w:r>
      <w:r w:rsidR="00DC0CE4" w:rsidRPr="00943504">
        <w:rPr>
          <w:rFonts w:ascii="Times New Roman" w:hAnsi="Times New Roman" w:cs="Times New Roman"/>
          <w:sz w:val="24"/>
          <w:szCs w:val="24"/>
        </w:rPr>
        <w:t xml:space="preserve"> </w:t>
      </w:r>
      <w:r w:rsidRPr="00943504">
        <w:rPr>
          <w:rFonts w:ascii="Times New Roman" w:hAnsi="Times New Roman" w:cs="Times New Roman"/>
          <w:sz w:val="24"/>
          <w:szCs w:val="24"/>
        </w:rPr>
        <w:t>of the r</w:t>
      </w:r>
      <w:r w:rsidR="002C5838" w:rsidRPr="00943504">
        <w:rPr>
          <w:rFonts w:ascii="Times New Roman" w:hAnsi="Times New Roman" w:cs="Times New Roman"/>
          <w:sz w:val="24"/>
          <w:szCs w:val="24"/>
        </w:rPr>
        <w:t>equest for the rescission of SC</w:t>
      </w:r>
      <w:r w:rsidR="001C7A5B" w:rsidRPr="00943504">
        <w:rPr>
          <w:rFonts w:ascii="Times New Roman" w:hAnsi="Times New Roman" w:cs="Times New Roman"/>
          <w:sz w:val="24"/>
          <w:szCs w:val="24"/>
        </w:rPr>
        <w:t> </w:t>
      </w:r>
      <w:r w:rsidR="002C5838" w:rsidRPr="00943504">
        <w:rPr>
          <w:rFonts w:ascii="Times New Roman" w:hAnsi="Times New Roman" w:cs="Times New Roman"/>
          <w:sz w:val="24"/>
          <w:szCs w:val="24"/>
        </w:rPr>
        <w:t xml:space="preserve">85/2019 </w:t>
      </w:r>
      <w:r w:rsidRPr="00943504">
        <w:rPr>
          <w:rFonts w:ascii="Times New Roman" w:hAnsi="Times New Roman" w:cs="Times New Roman"/>
          <w:sz w:val="24"/>
          <w:szCs w:val="24"/>
        </w:rPr>
        <w:t>previously sought by the a</w:t>
      </w:r>
      <w:r w:rsidR="00CB5264" w:rsidRPr="00943504">
        <w:rPr>
          <w:rFonts w:ascii="Times New Roman" w:hAnsi="Times New Roman" w:cs="Times New Roman"/>
          <w:sz w:val="24"/>
          <w:szCs w:val="24"/>
        </w:rPr>
        <w:t>pplicant in terms of r 449(1) (b</w:t>
      </w:r>
      <w:r w:rsidRPr="00943504">
        <w:rPr>
          <w:rFonts w:ascii="Times New Roman" w:hAnsi="Times New Roman" w:cs="Times New Roman"/>
          <w:sz w:val="24"/>
          <w:szCs w:val="24"/>
        </w:rPr>
        <w:t>) of the High Court Rules.</w:t>
      </w:r>
      <w:r w:rsidR="002F0110" w:rsidRPr="00943504">
        <w:rPr>
          <w:rFonts w:ascii="Times New Roman" w:hAnsi="Times New Roman" w:cs="Times New Roman"/>
          <w:sz w:val="24"/>
          <w:szCs w:val="24"/>
        </w:rPr>
        <w:t xml:space="preserve"> Accordingly, this point in </w:t>
      </w:r>
      <w:r w:rsidR="002F0110" w:rsidRPr="00943504">
        <w:rPr>
          <w:rFonts w:ascii="Times New Roman" w:hAnsi="Times New Roman" w:cs="Times New Roman"/>
          <w:i/>
          <w:sz w:val="24"/>
          <w:szCs w:val="24"/>
        </w:rPr>
        <w:t>limine</w:t>
      </w:r>
      <w:r w:rsidR="002F0110" w:rsidRPr="00943504">
        <w:rPr>
          <w:rFonts w:ascii="Times New Roman" w:hAnsi="Times New Roman" w:cs="Times New Roman"/>
          <w:sz w:val="24"/>
          <w:szCs w:val="24"/>
        </w:rPr>
        <w:t xml:space="preserve"> is dismissed.</w:t>
      </w:r>
    </w:p>
    <w:p w14:paraId="1D9DA103" w14:textId="77777777" w:rsidR="003C0BAF" w:rsidRPr="00943504" w:rsidRDefault="003C0BAF" w:rsidP="00943504">
      <w:pPr>
        <w:autoSpaceDE w:val="0"/>
        <w:autoSpaceDN w:val="0"/>
        <w:adjustRightInd w:val="0"/>
        <w:spacing w:after="0" w:line="240" w:lineRule="auto"/>
        <w:jc w:val="both"/>
        <w:rPr>
          <w:rFonts w:ascii="Times New Roman" w:hAnsi="Times New Roman" w:cs="Times New Roman"/>
          <w:sz w:val="24"/>
          <w:szCs w:val="24"/>
        </w:rPr>
      </w:pPr>
    </w:p>
    <w:p w14:paraId="4336A67D" w14:textId="77777777" w:rsidR="00D0205F" w:rsidRPr="00943504" w:rsidRDefault="00AA3420" w:rsidP="00943504">
      <w:pPr>
        <w:autoSpaceDE w:val="0"/>
        <w:autoSpaceDN w:val="0"/>
        <w:adjustRightInd w:val="0"/>
        <w:spacing w:after="0" w:line="240" w:lineRule="auto"/>
        <w:jc w:val="both"/>
        <w:rPr>
          <w:rFonts w:ascii="Times New Roman" w:hAnsi="Times New Roman" w:cs="Times New Roman"/>
          <w:sz w:val="24"/>
          <w:szCs w:val="24"/>
        </w:rPr>
      </w:pPr>
      <w:r w:rsidRPr="00943504">
        <w:rPr>
          <w:rFonts w:ascii="Times New Roman" w:hAnsi="Times New Roman" w:cs="Times New Roman"/>
          <w:sz w:val="24"/>
          <w:szCs w:val="24"/>
        </w:rPr>
        <w:t xml:space="preserve">  </w:t>
      </w:r>
      <w:r w:rsidR="00D01CBC" w:rsidRPr="00943504">
        <w:rPr>
          <w:rFonts w:ascii="Times New Roman" w:hAnsi="Times New Roman" w:cs="Times New Roman"/>
          <w:sz w:val="24"/>
          <w:szCs w:val="24"/>
        </w:rPr>
        <w:t xml:space="preserve">  </w:t>
      </w:r>
    </w:p>
    <w:p w14:paraId="229DDE4E" w14:textId="77777777" w:rsidR="00D0205F" w:rsidRPr="006D0B1D" w:rsidRDefault="006D0B1D" w:rsidP="00943504">
      <w:pPr>
        <w:autoSpaceDE w:val="0"/>
        <w:autoSpaceDN w:val="0"/>
        <w:adjustRightInd w:val="0"/>
        <w:spacing w:after="0" w:line="240" w:lineRule="auto"/>
        <w:jc w:val="both"/>
        <w:rPr>
          <w:rFonts w:ascii="Times New Roman" w:hAnsi="Times New Roman" w:cs="Times New Roman"/>
          <w:b/>
          <w:sz w:val="24"/>
          <w:szCs w:val="24"/>
        </w:rPr>
      </w:pPr>
      <w:r w:rsidRPr="006D0B1D">
        <w:rPr>
          <w:rFonts w:ascii="Times New Roman" w:hAnsi="Times New Roman" w:cs="Times New Roman"/>
          <w:b/>
          <w:sz w:val="24"/>
          <w:szCs w:val="24"/>
        </w:rPr>
        <w:t>DEFECTIVE GROUNDS OF APPEAL IN THE DRAFT NOTICE OF APPEAL</w:t>
      </w:r>
    </w:p>
    <w:p w14:paraId="1D662876" w14:textId="77777777" w:rsidR="00D0205F" w:rsidRPr="00943504" w:rsidRDefault="00D0205F" w:rsidP="00943504">
      <w:pPr>
        <w:autoSpaceDE w:val="0"/>
        <w:autoSpaceDN w:val="0"/>
        <w:adjustRightInd w:val="0"/>
        <w:spacing w:after="0" w:line="240" w:lineRule="auto"/>
        <w:jc w:val="both"/>
        <w:rPr>
          <w:rFonts w:ascii="Times New Roman" w:hAnsi="Times New Roman" w:cs="Times New Roman"/>
          <w:b/>
          <w:sz w:val="24"/>
          <w:szCs w:val="24"/>
        </w:rPr>
      </w:pPr>
    </w:p>
    <w:p w14:paraId="732AED56" w14:textId="77777777" w:rsidR="00A84966" w:rsidRPr="00943504" w:rsidRDefault="00105A74"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The mandatory draft notice of appeal, in contrast to the one struck off the roll</w:t>
      </w:r>
      <w:r w:rsidR="00004A43" w:rsidRPr="00943504">
        <w:rPr>
          <w:rFonts w:ascii="Times New Roman" w:hAnsi="Times New Roman" w:cs="Times New Roman"/>
          <w:sz w:val="24"/>
          <w:szCs w:val="24"/>
        </w:rPr>
        <w:t>,</w:t>
      </w:r>
      <w:r w:rsidRPr="00943504">
        <w:rPr>
          <w:rFonts w:ascii="Times New Roman" w:hAnsi="Times New Roman" w:cs="Times New Roman"/>
          <w:sz w:val="24"/>
          <w:szCs w:val="24"/>
        </w:rPr>
        <w:t xml:space="preserve"> which contained only 2 grounds of appeal, comprises of a whopping 9 g</w:t>
      </w:r>
      <w:r w:rsidR="00A84966" w:rsidRPr="00943504">
        <w:rPr>
          <w:rFonts w:ascii="Times New Roman" w:hAnsi="Times New Roman" w:cs="Times New Roman"/>
          <w:sz w:val="24"/>
          <w:szCs w:val="24"/>
        </w:rPr>
        <w:t>rounds. The two grounds of appeal were worded as follows:</w:t>
      </w:r>
    </w:p>
    <w:p w14:paraId="50DFFE78" w14:textId="77777777" w:rsidR="00A84966" w:rsidRPr="00943504" w:rsidRDefault="00A84966" w:rsidP="006D0B1D">
      <w:pPr>
        <w:pStyle w:val="ListParagraph"/>
        <w:numPr>
          <w:ilvl w:val="0"/>
          <w:numId w:val="6"/>
        </w:numPr>
        <w:autoSpaceDE w:val="0"/>
        <w:autoSpaceDN w:val="0"/>
        <w:adjustRightInd w:val="0"/>
        <w:spacing w:after="0" w:line="480" w:lineRule="auto"/>
        <w:ind w:left="993" w:hanging="426"/>
        <w:jc w:val="both"/>
        <w:rPr>
          <w:rFonts w:ascii="Times New Roman" w:hAnsi="Times New Roman" w:cs="Times New Roman"/>
          <w:sz w:val="24"/>
          <w:szCs w:val="24"/>
        </w:rPr>
      </w:pPr>
      <w:r w:rsidRPr="00943504">
        <w:rPr>
          <w:rFonts w:ascii="Times New Roman" w:hAnsi="Times New Roman" w:cs="Times New Roman"/>
          <w:sz w:val="24"/>
          <w:szCs w:val="24"/>
        </w:rPr>
        <w:lastRenderedPageBreak/>
        <w:t>The learned judge erred in holding that the Appellant was bound by her apparent agreement that Respondent could acquire her half</w:t>
      </w:r>
      <w:r w:rsidR="00A44C6D" w:rsidRPr="00943504">
        <w:rPr>
          <w:rFonts w:ascii="Times New Roman" w:hAnsi="Times New Roman" w:cs="Times New Roman"/>
          <w:sz w:val="24"/>
          <w:szCs w:val="24"/>
        </w:rPr>
        <w:t xml:space="preserve"> share in the property for $110 </w:t>
      </w:r>
      <w:r w:rsidRPr="00943504">
        <w:rPr>
          <w:rFonts w:ascii="Times New Roman" w:hAnsi="Times New Roman" w:cs="Times New Roman"/>
          <w:sz w:val="24"/>
          <w:szCs w:val="24"/>
        </w:rPr>
        <w:t>500 and should have held that her apparent agreeme</w:t>
      </w:r>
      <w:r w:rsidR="00551FF4" w:rsidRPr="00943504">
        <w:rPr>
          <w:rFonts w:ascii="Times New Roman" w:hAnsi="Times New Roman" w:cs="Times New Roman"/>
          <w:sz w:val="24"/>
          <w:szCs w:val="24"/>
        </w:rPr>
        <w:t>n</w:t>
      </w:r>
      <w:r w:rsidRPr="00943504">
        <w:rPr>
          <w:rFonts w:ascii="Times New Roman" w:hAnsi="Times New Roman" w:cs="Times New Roman"/>
          <w:sz w:val="24"/>
          <w:szCs w:val="24"/>
        </w:rPr>
        <w:t>t was induced by material non-disclosure made by Respondent’</w:t>
      </w:r>
      <w:r w:rsidR="00551FF4" w:rsidRPr="00943504">
        <w:rPr>
          <w:rFonts w:ascii="Times New Roman" w:hAnsi="Times New Roman" w:cs="Times New Roman"/>
          <w:sz w:val="24"/>
          <w:szCs w:val="24"/>
        </w:rPr>
        <w:t>s legal practitioner, on behal</w:t>
      </w:r>
      <w:r w:rsidRPr="00943504">
        <w:rPr>
          <w:rFonts w:ascii="Times New Roman" w:hAnsi="Times New Roman" w:cs="Times New Roman"/>
          <w:sz w:val="24"/>
          <w:szCs w:val="24"/>
        </w:rPr>
        <w:t>f of Respondent, and was therefore not binding on her. The material non-disclosures were:</w:t>
      </w:r>
    </w:p>
    <w:p w14:paraId="3C320FBF" w14:textId="77777777" w:rsidR="00105A74" w:rsidRPr="00943504" w:rsidRDefault="00A84966" w:rsidP="00943504">
      <w:pPr>
        <w:pStyle w:val="ListParagraph"/>
        <w:numPr>
          <w:ilvl w:val="0"/>
          <w:numId w:val="7"/>
        </w:numPr>
        <w:autoSpaceDE w:val="0"/>
        <w:autoSpaceDN w:val="0"/>
        <w:adjustRightInd w:val="0"/>
        <w:spacing w:after="0" w:line="480" w:lineRule="auto"/>
        <w:ind w:left="1701" w:hanging="567"/>
        <w:jc w:val="both"/>
        <w:rPr>
          <w:rFonts w:ascii="Times New Roman" w:hAnsi="Times New Roman" w:cs="Times New Roman"/>
          <w:sz w:val="24"/>
          <w:szCs w:val="24"/>
        </w:rPr>
      </w:pPr>
      <w:r w:rsidRPr="00943504">
        <w:rPr>
          <w:rFonts w:ascii="Times New Roman" w:hAnsi="Times New Roman" w:cs="Times New Roman"/>
          <w:sz w:val="24"/>
          <w:szCs w:val="24"/>
        </w:rPr>
        <w:t xml:space="preserve">That an earlier valuation of the property had been received from Guest and Tanner for a substantially higher amount. </w:t>
      </w:r>
    </w:p>
    <w:p w14:paraId="6792D72B" w14:textId="77777777" w:rsidR="00551FF4" w:rsidRPr="00943504" w:rsidRDefault="00551FF4" w:rsidP="00943504">
      <w:pPr>
        <w:pStyle w:val="ListParagraph"/>
        <w:numPr>
          <w:ilvl w:val="0"/>
          <w:numId w:val="7"/>
        </w:numPr>
        <w:autoSpaceDE w:val="0"/>
        <w:autoSpaceDN w:val="0"/>
        <w:adjustRightInd w:val="0"/>
        <w:spacing w:after="0" w:line="480" w:lineRule="auto"/>
        <w:ind w:left="1701" w:hanging="567"/>
        <w:jc w:val="both"/>
        <w:rPr>
          <w:rFonts w:ascii="Times New Roman" w:hAnsi="Times New Roman" w:cs="Times New Roman"/>
          <w:sz w:val="24"/>
          <w:szCs w:val="24"/>
        </w:rPr>
      </w:pPr>
      <w:r w:rsidRPr="00943504">
        <w:rPr>
          <w:rFonts w:ascii="Times New Roman" w:hAnsi="Times New Roman" w:cs="Times New Roman"/>
          <w:sz w:val="24"/>
          <w:szCs w:val="24"/>
        </w:rPr>
        <w:t>That Respondent’s legal practitioner had written to Guest and Tanner without copying that letter to Appellant’s legal practitioners, querying the valuation;</w:t>
      </w:r>
    </w:p>
    <w:p w14:paraId="07558316" w14:textId="77777777" w:rsidR="00551FF4" w:rsidRPr="00943504" w:rsidRDefault="00551FF4" w:rsidP="006D0B1D">
      <w:pPr>
        <w:pStyle w:val="ListParagraph"/>
        <w:numPr>
          <w:ilvl w:val="0"/>
          <w:numId w:val="7"/>
        </w:numPr>
        <w:autoSpaceDE w:val="0"/>
        <w:autoSpaceDN w:val="0"/>
        <w:adjustRightInd w:val="0"/>
        <w:spacing w:after="0" w:line="480" w:lineRule="auto"/>
        <w:ind w:left="1701" w:hanging="567"/>
        <w:jc w:val="both"/>
        <w:rPr>
          <w:rFonts w:ascii="Times New Roman" w:hAnsi="Times New Roman" w:cs="Times New Roman"/>
          <w:sz w:val="24"/>
          <w:szCs w:val="24"/>
        </w:rPr>
      </w:pPr>
      <w:r w:rsidRPr="00943504">
        <w:rPr>
          <w:rFonts w:ascii="Times New Roman" w:hAnsi="Times New Roman" w:cs="Times New Roman"/>
          <w:sz w:val="24"/>
          <w:szCs w:val="24"/>
        </w:rPr>
        <w:t>That the letter so written purported to have been on the instructions of both Appellant’s and Respondent’s legal practitioners when that was not the case;</w:t>
      </w:r>
    </w:p>
    <w:p w14:paraId="76929D22" w14:textId="77777777" w:rsidR="00551FF4" w:rsidRPr="00943504" w:rsidRDefault="00551FF4" w:rsidP="00BE264A">
      <w:pPr>
        <w:pStyle w:val="ListParagraph"/>
        <w:numPr>
          <w:ilvl w:val="0"/>
          <w:numId w:val="7"/>
        </w:numPr>
        <w:autoSpaceDE w:val="0"/>
        <w:autoSpaceDN w:val="0"/>
        <w:adjustRightInd w:val="0"/>
        <w:spacing w:after="0" w:line="276" w:lineRule="auto"/>
        <w:ind w:left="1701" w:hanging="567"/>
        <w:jc w:val="both"/>
        <w:rPr>
          <w:rFonts w:ascii="Times New Roman" w:hAnsi="Times New Roman" w:cs="Times New Roman"/>
          <w:sz w:val="24"/>
          <w:szCs w:val="24"/>
        </w:rPr>
      </w:pPr>
      <w:r w:rsidRPr="00943504">
        <w:rPr>
          <w:rFonts w:ascii="Times New Roman" w:hAnsi="Times New Roman" w:cs="Times New Roman"/>
          <w:sz w:val="24"/>
          <w:szCs w:val="24"/>
        </w:rPr>
        <w:t>That Guest an</w:t>
      </w:r>
      <w:r w:rsidR="00BD5961" w:rsidRPr="00943504">
        <w:rPr>
          <w:rFonts w:ascii="Times New Roman" w:hAnsi="Times New Roman" w:cs="Times New Roman"/>
          <w:sz w:val="24"/>
          <w:szCs w:val="24"/>
        </w:rPr>
        <w:t>d Tanner had then produced the second</w:t>
      </w:r>
      <w:r w:rsidRPr="00943504">
        <w:rPr>
          <w:rFonts w:ascii="Times New Roman" w:hAnsi="Times New Roman" w:cs="Times New Roman"/>
          <w:sz w:val="24"/>
          <w:szCs w:val="24"/>
        </w:rPr>
        <w:t xml:space="preserve"> valuation for a substantially</w:t>
      </w:r>
      <w:r w:rsidR="00943504">
        <w:rPr>
          <w:rFonts w:ascii="Times New Roman" w:hAnsi="Times New Roman" w:cs="Times New Roman"/>
          <w:sz w:val="24"/>
          <w:szCs w:val="24"/>
        </w:rPr>
        <w:t> </w:t>
      </w:r>
      <w:r w:rsidRPr="00943504">
        <w:rPr>
          <w:rFonts w:ascii="Times New Roman" w:hAnsi="Times New Roman" w:cs="Times New Roman"/>
          <w:sz w:val="24"/>
          <w:szCs w:val="24"/>
        </w:rPr>
        <w:t>reduced</w:t>
      </w:r>
      <w:r w:rsidR="00943504">
        <w:rPr>
          <w:rFonts w:ascii="Times New Roman" w:hAnsi="Times New Roman" w:cs="Times New Roman"/>
          <w:sz w:val="24"/>
          <w:szCs w:val="24"/>
        </w:rPr>
        <w:t> </w:t>
      </w:r>
      <w:r w:rsidRPr="00943504">
        <w:rPr>
          <w:rFonts w:ascii="Times New Roman" w:hAnsi="Times New Roman" w:cs="Times New Roman"/>
          <w:sz w:val="24"/>
          <w:szCs w:val="24"/>
        </w:rPr>
        <w:t>figure.</w:t>
      </w:r>
      <w:r w:rsidR="0089565B" w:rsidRPr="00943504">
        <w:rPr>
          <w:rFonts w:ascii="Times New Roman" w:hAnsi="Times New Roman" w:cs="Times New Roman"/>
          <w:sz w:val="24"/>
          <w:szCs w:val="24"/>
        </w:rPr>
        <w:br/>
      </w:r>
    </w:p>
    <w:p w14:paraId="71A31FC1" w14:textId="77777777" w:rsidR="00551FF4" w:rsidRPr="00943504" w:rsidRDefault="00551FF4" w:rsidP="00943504">
      <w:pPr>
        <w:pStyle w:val="ListParagraph"/>
        <w:numPr>
          <w:ilvl w:val="0"/>
          <w:numId w:val="6"/>
        </w:numPr>
        <w:autoSpaceDE w:val="0"/>
        <w:autoSpaceDN w:val="0"/>
        <w:adjustRightInd w:val="0"/>
        <w:spacing w:after="0" w:line="480" w:lineRule="auto"/>
        <w:ind w:left="1077" w:hanging="357"/>
        <w:jc w:val="both"/>
        <w:rPr>
          <w:rFonts w:ascii="Times New Roman" w:hAnsi="Times New Roman" w:cs="Times New Roman"/>
          <w:sz w:val="24"/>
          <w:szCs w:val="24"/>
        </w:rPr>
      </w:pPr>
      <w:r w:rsidRPr="00943504">
        <w:rPr>
          <w:rFonts w:ascii="Times New Roman" w:hAnsi="Times New Roman" w:cs="Times New Roman"/>
          <w:sz w:val="24"/>
          <w:szCs w:val="24"/>
        </w:rPr>
        <w:t>That in any event the learned judge should have held that the first valuation from Guest and Tanner was the correct applicable valuation in terms of the parties agreement and the order of the court and that Respondent had not exercised his option to purchase a half share based on that valuation.</w:t>
      </w:r>
    </w:p>
    <w:p w14:paraId="1A061970" w14:textId="77777777" w:rsidR="00BD5961" w:rsidRDefault="00BD5961" w:rsidP="00943504">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770AADEF" w14:textId="77777777" w:rsidR="00BE264A" w:rsidRPr="00943504" w:rsidRDefault="00BE264A" w:rsidP="00943504">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6FBF9844" w14:textId="77777777" w:rsidR="00551FF4" w:rsidRPr="00943504" w:rsidRDefault="00551FF4"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w:t>
      </w:r>
      <w:r w:rsidR="001C4A68" w:rsidRPr="00943504">
        <w:rPr>
          <w:rFonts w:ascii="Times New Roman" w:hAnsi="Times New Roman" w:cs="Times New Roman"/>
          <w:sz w:val="24"/>
          <w:szCs w:val="24"/>
        </w:rPr>
        <w:t>he first</w:t>
      </w:r>
      <w:r w:rsidRPr="00943504">
        <w:rPr>
          <w:rFonts w:ascii="Times New Roman" w:hAnsi="Times New Roman" w:cs="Times New Roman"/>
          <w:sz w:val="24"/>
          <w:szCs w:val="24"/>
        </w:rPr>
        <w:t xml:space="preserve"> ground</w:t>
      </w:r>
      <w:r w:rsidR="001C4A68" w:rsidRPr="00943504">
        <w:rPr>
          <w:rFonts w:ascii="Times New Roman" w:hAnsi="Times New Roman" w:cs="Times New Roman"/>
          <w:sz w:val="24"/>
          <w:szCs w:val="24"/>
        </w:rPr>
        <w:t xml:space="preserve"> was </w:t>
      </w:r>
      <w:r w:rsidRPr="00943504">
        <w:rPr>
          <w:rFonts w:ascii="Times New Roman" w:hAnsi="Times New Roman" w:cs="Times New Roman"/>
          <w:sz w:val="24"/>
          <w:szCs w:val="24"/>
        </w:rPr>
        <w:t>held to be “no doubt, prolix and argumentative”</w:t>
      </w:r>
      <w:r w:rsidR="00090F37" w:rsidRPr="00943504">
        <w:rPr>
          <w:rFonts w:ascii="Times New Roman" w:hAnsi="Times New Roman" w:cs="Times New Roman"/>
          <w:sz w:val="24"/>
          <w:szCs w:val="24"/>
        </w:rPr>
        <w:t xml:space="preserve"> in the sense that it was unreasonable, tediously detailed, long winded, verbose and rambling. </w:t>
      </w:r>
      <w:r w:rsidR="001C4A68" w:rsidRPr="00943504">
        <w:rPr>
          <w:rFonts w:ascii="Times New Roman" w:hAnsi="Times New Roman" w:cs="Times New Roman"/>
          <w:sz w:val="24"/>
          <w:szCs w:val="24"/>
        </w:rPr>
        <w:t xml:space="preserve">It </w:t>
      </w:r>
      <w:r w:rsidR="00090F37" w:rsidRPr="00943504">
        <w:rPr>
          <w:rFonts w:ascii="Times New Roman" w:hAnsi="Times New Roman" w:cs="Times New Roman"/>
          <w:sz w:val="24"/>
          <w:szCs w:val="24"/>
        </w:rPr>
        <w:t xml:space="preserve">did not attack the order granted </w:t>
      </w:r>
      <w:r w:rsidR="00090F37" w:rsidRPr="00943504">
        <w:rPr>
          <w:rFonts w:ascii="Times New Roman" w:hAnsi="Times New Roman" w:cs="Times New Roman"/>
          <w:i/>
          <w:sz w:val="24"/>
          <w:szCs w:val="24"/>
        </w:rPr>
        <w:t>a quo</w:t>
      </w:r>
      <w:r w:rsidR="008854DB" w:rsidRPr="00943504">
        <w:rPr>
          <w:rFonts w:ascii="Times New Roman" w:hAnsi="Times New Roman" w:cs="Times New Roman"/>
          <w:i/>
          <w:sz w:val="24"/>
          <w:szCs w:val="24"/>
        </w:rPr>
        <w:t xml:space="preserve"> </w:t>
      </w:r>
      <w:r w:rsidR="008854DB" w:rsidRPr="00943504">
        <w:rPr>
          <w:rFonts w:ascii="Times New Roman" w:hAnsi="Times New Roman" w:cs="Times New Roman"/>
          <w:sz w:val="24"/>
          <w:szCs w:val="24"/>
        </w:rPr>
        <w:t>nor the legal bas</w:t>
      </w:r>
      <w:r w:rsidR="00481EAE" w:rsidRPr="00943504">
        <w:rPr>
          <w:rFonts w:ascii="Times New Roman" w:hAnsi="Times New Roman" w:cs="Times New Roman"/>
          <w:sz w:val="24"/>
          <w:szCs w:val="24"/>
        </w:rPr>
        <w:t>is</w:t>
      </w:r>
      <w:r w:rsidR="00D355B9" w:rsidRPr="00943504">
        <w:rPr>
          <w:rFonts w:ascii="Times New Roman" w:hAnsi="Times New Roman" w:cs="Times New Roman"/>
          <w:sz w:val="24"/>
          <w:szCs w:val="24"/>
        </w:rPr>
        <w:t>,</w:t>
      </w:r>
      <w:r w:rsidR="00481EAE" w:rsidRPr="00943504">
        <w:rPr>
          <w:rFonts w:ascii="Times New Roman" w:hAnsi="Times New Roman" w:cs="Times New Roman"/>
          <w:sz w:val="24"/>
          <w:szCs w:val="24"/>
        </w:rPr>
        <w:t xml:space="preserve"> </w:t>
      </w:r>
      <w:r w:rsidR="00D355B9" w:rsidRPr="00943504">
        <w:rPr>
          <w:rFonts w:ascii="Times New Roman" w:hAnsi="Times New Roman" w:cs="Times New Roman"/>
          <w:sz w:val="24"/>
          <w:szCs w:val="24"/>
        </w:rPr>
        <w:t xml:space="preserve">of estoppel, </w:t>
      </w:r>
      <w:r w:rsidR="00481EAE" w:rsidRPr="00943504">
        <w:rPr>
          <w:rFonts w:ascii="Times New Roman" w:hAnsi="Times New Roman" w:cs="Times New Roman"/>
          <w:sz w:val="24"/>
          <w:szCs w:val="24"/>
        </w:rPr>
        <w:t>upon which that order was premised</w:t>
      </w:r>
      <w:r w:rsidR="00090F37" w:rsidRPr="00943504">
        <w:rPr>
          <w:rFonts w:ascii="Times New Roman" w:hAnsi="Times New Roman" w:cs="Times New Roman"/>
          <w:sz w:val="24"/>
          <w:szCs w:val="24"/>
        </w:rPr>
        <w:t xml:space="preserve">. </w:t>
      </w:r>
      <w:r w:rsidR="001C4A68" w:rsidRPr="00943504">
        <w:rPr>
          <w:rFonts w:ascii="Times New Roman" w:hAnsi="Times New Roman" w:cs="Times New Roman"/>
          <w:sz w:val="24"/>
          <w:szCs w:val="24"/>
        </w:rPr>
        <w:t xml:space="preserve">The second not only failed to attack the order </w:t>
      </w:r>
      <w:r w:rsidR="001C4A68" w:rsidRPr="00943504">
        <w:rPr>
          <w:rFonts w:ascii="Times New Roman" w:hAnsi="Times New Roman" w:cs="Times New Roman"/>
          <w:i/>
          <w:sz w:val="24"/>
          <w:szCs w:val="24"/>
        </w:rPr>
        <w:t>a quo</w:t>
      </w:r>
      <w:r w:rsidR="001C4A68" w:rsidRPr="00943504">
        <w:rPr>
          <w:rFonts w:ascii="Times New Roman" w:hAnsi="Times New Roman" w:cs="Times New Roman"/>
          <w:sz w:val="24"/>
          <w:szCs w:val="24"/>
        </w:rPr>
        <w:t xml:space="preserve"> but also constituted a recital of the appellant’s prayer.</w:t>
      </w:r>
    </w:p>
    <w:p w14:paraId="24415F04" w14:textId="77777777" w:rsidR="00892DEA" w:rsidRPr="00943504" w:rsidRDefault="00892DEA" w:rsidP="00943504">
      <w:pPr>
        <w:autoSpaceDE w:val="0"/>
        <w:autoSpaceDN w:val="0"/>
        <w:adjustRightInd w:val="0"/>
        <w:spacing w:after="0" w:line="240" w:lineRule="auto"/>
        <w:jc w:val="both"/>
        <w:rPr>
          <w:rFonts w:ascii="Times New Roman" w:hAnsi="Times New Roman" w:cs="Times New Roman"/>
          <w:sz w:val="24"/>
          <w:szCs w:val="24"/>
        </w:rPr>
      </w:pPr>
    </w:p>
    <w:p w14:paraId="7AE6EF19" w14:textId="77777777" w:rsidR="00063F72" w:rsidRPr="00943504" w:rsidRDefault="00063F72" w:rsidP="00943504">
      <w:pPr>
        <w:autoSpaceDE w:val="0"/>
        <w:autoSpaceDN w:val="0"/>
        <w:adjustRightInd w:val="0"/>
        <w:spacing w:after="0" w:line="240" w:lineRule="auto"/>
        <w:jc w:val="both"/>
        <w:rPr>
          <w:rFonts w:ascii="Times New Roman" w:hAnsi="Times New Roman" w:cs="Times New Roman"/>
          <w:sz w:val="24"/>
          <w:szCs w:val="24"/>
        </w:rPr>
      </w:pPr>
    </w:p>
    <w:p w14:paraId="086F7956" w14:textId="77777777" w:rsidR="004E72DF" w:rsidRPr="00943504" w:rsidRDefault="00892DEA"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I reproduce the proposed nine grounds of appeal attached to the present application below.</w:t>
      </w:r>
    </w:p>
    <w:p w14:paraId="378E9768" w14:textId="77777777" w:rsidR="004E72DF" w:rsidRDefault="004E72DF" w:rsidP="00BE264A">
      <w:pPr>
        <w:autoSpaceDE w:val="0"/>
        <w:autoSpaceDN w:val="0"/>
        <w:adjustRightInd w:val="0"/>
        <w:spacing w:after="0" w:line="24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“1.</w:t>
      </w:r>
      <w:r w:rsidRPr="00943504">
        <w:rPr>
          <w:rFonts w:ascii="Times New Roman" w:hAnsi="Times New Roman" w:cs="Times New Roman"/>
          <w:sz w:val="24"/>
          <w:szCs w:val="24"/>
        </w:rPr>
        <w:tab/>
      </w:r>
      <w:r w:rsidR="00892DEA" w:rsidRPr="00943504">
        <w:rPr>
          <w:rFonts w:ascii="Times New Roman" w:hAnsi="Times New Roman" w:cs="Times New Roman"/>
          <w:sz w:val="24"/>
          <w:szCs w:val="24"/>
        </w:rPr>
        <w:t>The learned judge erred in holding that the Appellant accepted Respondent’s right to purchase the property for $110 500.00 by giving instructions as to where the money should be paid. He erred because at the time that she gave the instruction she was unaware of the existence of the earlier valuation from Guest and Tanner and she had been misled into believing that only two relevant documents were annexures ‘G” and “I” to the Founding Affidavit.</w:t>
      </w:r>
    </w:p>
    <w:p w14:paraId="74534F56" w14:textId="77777777" w:rsidR="00BE264A" w:rsidRPr="00943504" w:rsidRDefault="00BE264A" w:rsidP="00BE264A">
      <w:pPr>
        <w:autoSpaceDE w:val="0"/>
        <w:autoSpaceDN w:val="0"/>
        <w:adjustRightInd w:val="0"/>
        <w:spacing w:after="0" w:line="240" w:lineRule="auto"/>
        <w:ind w:left="1134" w:hanging="567"/>
        <w:jc w:val="both"/>
        <w:rPr>
          <w:rFonts w:ascii="Times New Roman" w:hAnsi="Times New Roman" w:cs="Times New Roman"/>
          <w:sz w:val="24"/>
          <w:szCs w:val="24"/>
        </w:rPr>
      </w:pPr>
    </w:p>
    <w:p w14:paraId="3B179F49" w14:textId="77777777" w:rsidR="004E72DF" w:rsidRDefault="00892DEA" w:rsidP="00BE264A">
      <w:pPr>
        <w:pStyle w:val="ListParagraph"/>
        <w:numPr>
          <w:ilvl w:val="0"/>
          <w:numId w:val="14"/>
        </w:numPr>
        <w:autoSpaceDE w:val="0"/>
        <w:autoSpaceDN w:val="0"/>
        <w:adjustRightInd w:val="0"/>
        <w:spacing w:after="0" w:line="24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T</w:t>
      </w:r>
      <w:r w:rsidR="00FB7CE3" w:rsidRPr="00943504">
        <w:rPr>
          <w:rFonts w:ascii="Times New Roman" w:hAnsi="Times New Roman" w:cs="Times New Roman"/>
          <w:sz w:val="24"/>
          <w:szCs w:val="24"/>
        </w:rPr>
        <w:t>he learned J</w:t>
      </w:r>
      <w:r w:rsidRPr="00943504">
        <w:rPr>
          <w:rFonts w:ascii="Times New Roman" w:hAnsi="Times New Roman" w:cs="Times New Roman"/>
          <w:sz w:val="24"/>
          <w:szCs w:val="24"/>
        </w:rPr>
        <w:t>udge erred in holding that Appellant should have exercised her right to require a third valuation. He erred because, since she was unaware of the earlier valuation from Guest and Tanner, she had no reason at the time not to accept the second valuation supplied to her. In any event she had the option of requiring that the property be sold and proceeds shared.</w:t>
      </w:r>
    </w:p>
    <w:p w14:paraId="144695E7" w14:textId="77777777" w:rsidR="00BE264A" w:rsidRPr="00943504" w:rsidRDefault="00BE264A" w:rsidP="00BE264A">
      <w:pPr>
        <w:pStyle w:val="ListParagraph"/>
        <w:autoSpaceDE w:val="0"/>
        <w:autoSpaceDN w:val="0"/>
        <w:adjustRightInd w:val="0"/>
        <w:spacing w:after="0" w:line="240" w:lineRule="auto"/>
        <w:ind w:left="1134"/>
        <w:jc w:val="both"/>
        <w:rPr>
          <w:rFonts w:ascii="Times New Roman" w:hAnsi="Times New Roman" w:cs="Times New Roman"/>
          <w:sz w:val="24"/>
          <w:szCs w:val="24"/>
        </w:rPr>
      </w:pPr>
    </w:p>
    <w:p w14:paraId="72F18559" w14:textId="77777777" w:rsidR="004E72DF" w:rsidRDefault="00892DEA" w:rsidP="00BE264A">
      <w:pPr>
        <w:pStyle w:val="ListParagraph"/>
        <w:numPr>
          <w:ilvl w:val="0"/>
          <w:numId w:val="14"/>
        </w:numPr>
        <w:autoSpaceDE w:val="0"/>
        <w:autoSpaceDN w:val="0"/>
        <w:adjustRightInd w:val="0"/>
        <w:spacing w:after="0" w:line="24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T</w:t>
      </w:r>
      <w:r w:rsidR="00FB7CE3" w:rsidRPr="00943504">
        <w:rPr>
          <w:rFonts w:ascii="Times New Roman" w:hAnsi="Times New Roman" w:cs="Times New Roman"/>
          <w:sz w:val="24"/>
          <w:szCs w:val="24"/>
        </w:rPr>
        <w:t>he learned J</w:t>
      </w:r>
      <w:r w:rsidRPr="00943504">
        <w:rPr>
          <w:rFonts w:ascii="Times New Roman" w:hAnsi="Times New Roman" w:cs="Times New Roman"/>
          <w:sz w:val="24"/>
          <w:szCs w:val="24"/>
        </w:rPr>
        <w:t>udge erred in holding that the Affidavit of Martin Chiyara</w:t>
      </w:r>
      <w:r w:rsidR="004470AD" w:rsidRPr="00943504">
        <w:rPr>
          <w:rFonts w:ascii="Times New Roman" w:hAnsi="Times New Roman" w:cs="Times New Roman"/>
          <w:sz w:val="24"/>
          <w:szCs w:val="24"/>
        </w:rPr>
        <w:t xml:space="preserve"> (</w:t>
      </w:r>
      <w:r w:rsidR="004470AD" w:rsidRPr="00943504">
        <w:rPr>
          <w:rFonts w:ascii="Times New Roman" w:hAnsi="Times New Roman" w:cs="Times New Roman"/>
          <w:i/>
          <w:sz w:val="24"/>
          <w:szCs w:val="24"/>
        </w:rPr>
        <w:t>sic)</w:t>
      </w:r>
      <w:r w:rsidRPr="00943504">
        <w:rPr>
          <w:rFonts w:ascii="Times New Roman" w:hAnsi="Times New Roman" w:cs="Times New Roman"/>
          <w:sz w:val="24"/>
          <w:szCs w:val="24"/>
        </w:rPr>
        <w:t xml:space="preserve"> was of no substance. He erred because Mr </w:t>
      </w:r>
      <w:r w:rsidRPr="00943504">
        <w:rPr>
          <w:rFonts w:ascii="Times New Roman" w:hAnsi="Times New Roman" w:cs="Times New Roman"/>
          <w:i/>
          <w:sz w:val="24"/>
          <w:szCs w:val="24"/>
        </w:rPr>
        <w:t>Chigara</w:t>
      </w:r>
      <w:r w:rsidRPr="00943504">
        <w:rPr>
          <w:rFonts w:ascii="Times New Roman" w:hAnsi="Times New Roman" w:cs="Times New Roman"/>
          <w:sz w:val="24"/>
          <w:szCs w:val="24"/>
        </w:rPr>
        <w:t>’s</w:t>
      </w:r>
      <w:r w:rsidR="004470AD" w:rsidRPr="00943504">
        <w:rPr>
          <w:rFonts w:ascii="Times New Roman" w:hAnsi="Times New Roman" w:cs="Times New Roman"/>
          <w:sz w:val="24"/>
          <w:szCs w:val="24"/>
        </w:rPr>
        <w:t xml:space="preserve"> (</w:t>
      </w:r>
      <w:r w:rsidR="004470AD" w:rsidRPr="00943504">
        <w:rPr>
          <w:rFonts w:ascii="Times New Roman" w:hAnsi="Times New Roman" w:cs="Times New Roman"/>
          <w:i/>
          <w:sz w:val="24"/>
          <w:szCs w:val="24"/>
        </w:rPr>
        <w:t>sic</w:t>
      </w:r>
      <w:r w:rsidR="004470AD" w:rsidRPr="00943504">
        <w:rPr>
          <w:rFonts w:ascii="Times New Roman" w:hAnsi="Times New Roman" w:cs="Times New Roman"/>
          <w:sz w:val="24"/>
          <w:szCs w:val="24"/>
        </w:rPr>
        <w:t>)</w:t>
      </w:r>
      <w:r w:rsidRPr="00943504">
        <w:rPr>
          <w:rFonts w:ascii="Times New Roman" w:hAnsi="Times New Roman" w:cs="Times New Roman"/>
          <w:sz w:val="24"/>
          <w:szCs w:val="24"/>
        </w:rPr>
        <w:t xml:space="preserve"> evidence was that he had not noticed that the va</w:t>
      </w:r>
      <w:r w:rsidR="00B878F6" w:rsidRPr="00943504">
        <w:rPr>
          <w:rFonts w:ascii="Times New Roman" w:hAnsi="Times New Roman" w:cs="Times New Roman"/>
          <w:sz w:val="24"/>
          <w:szCs w:val="24"/>
        </w:rPr>
        <w:t xml:space="preserve">luation which he received on </w:t>
      </w:r>
      <w:r w:rsidRPr="00943504">
        <w:rPr>
          <w:rFonts w:ascii="Times New Roman" w:hAnsi="Times New Roman" w:cs="Times New Roman"/>
          <w:sz w:val="24"/>
          <w:szCs w:val="24"/>
        </w:rPr>
        <w:t>26</w:t>
      </w:r>
      <w:r w:rsidR="00B878F6" w:rsidRPr="00943504">
        <w:rPr>
          <w:rFonts w:ascii="Times New Roman" w:hAnsi="Times New Roman" w:cs="Times New Roman"/>
          <w:sz w:val="24"/>
          <w:szCs w:val="24"/>
        </w:rPr>
        <w:t> </w:t>
      </w:r>
      <w:r w:rsidRPr="00943504">
        <w:rPr>
          <w:rFonts w:ascii="Times New Roman" w:hAnsi="Times New Roman" w:cs="Times New Roman"/>
          <w:sz w:val="24"/>
          <w:szCs w:val="24"/>
        </w:rPr>
        <w:t>July</w:t>
      </w:r>
      <w:r w:rsidR="00B878F6" w:rsidRPr="00943504">
        <w:rPr>
          <w:rFonts w:ascii="Times New Roman" w:hAnsi="Times New Roman" w:cs="Times New Roman"/>
          <w:sz w:val="24"/>
          <w:szCs w:val="24"/>
        </w:rPr>
        <w:t> </w:t>
      </w:r>
      <w:r w:rsidRPr="00943504">
        <w:rPr>
          <w:rFonts w:ascii="Times New Roman" w:hAnsi="Times New Roman" w:cs="Times New Roman"/>
          <w:sz w:val="24"/>
          <w:szCs w:val="24"/>
        </w:rPr>
        <w:t xml:space="preserve">2017 differed from the valuation which had been received </w:t>
      </w:r>
      <w:r w:rsidR="00FB7CE3" w:rsidRPr="00943504">
        <w:rPr>
          <w:rFonts w:ascii="Times New Roman" w:hAnsi="Times New Roman" w:cs="Times New Roman"/>
          <w:sz w:val="24"/>
          <w:szCs w:val="24"/>
        </w:rPr>
        <w:t>by him almost 3 months previously, which fact was of substance and was most important.</w:t>
      </w:r>
    </w:p>
    <w:p w14:paraId="36959DA5" w14:textId="77777777" w:rsidR="00BE264A" w:rsidRPr="00BE264A" w:rsidRDefault="00BE264A" w:rsidP="00BE264A">
      <w:pPr>
        <w:autoSpaceDE w:val="0"/>
        <w:autoSpaceDN w:val="0"/>
        <w:adjustRightInd w:val="0"/>
        <w:spacing w:after="0" w:line="240" w:lineRule="auto"/>
        <w:jc w:val="both"/>
        <w:rPr>
          <w:rFonts w:ascii="Times New Roman" w:hAnsi="Times New Roman" w:cs="Times New Roman"/>
          <w:sz w:val="24"/>
          <w:szCs w:val="24"/>
        </w:rPr>
      </w:pPr>
    </w:p>
    <w:p w14:paraId="24CD9597" w14:textId="77777777" w:rsidR="004E72DF" w:rsidRPr="00943504" w:rsidRDefault="00FB7CE3" w:rsidP="00BE264A">
      <w:pPr>
        <w:pStyle w:val="ListParagraph"/>
        <w:numPr>
          <w:ilvl w:val="0"/>
          <w:numId w:val="14"/>
        </w:numPr>
        <w:autoSpaceDE w:val="0"/>
        <w:autoSpaceDN w:val="0"/>
        <w:adjustRightInd w:val="0"/>
        <w:spacing w:after="0" w:line="24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The learned Judge erred in holding that the Appellant, having subsequently been informed that the first valuation had a typographical error, should have accepted this fact. He erred because:</w:t>
      </w:r>
    </w:p>
    <w:p w14:paraId="7DF082BD" w14:textId="77777777" w:rsidR="004E72DF" w:rsidRPr="00943504" w:rsidRDefault="00FB7CE3" w:rsidP="00BE264A">
      <w:pPr>
        <w:pStyle w:val="ListParagraph"/>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943504">
        <w:rPr>
          <w:rFonts w:ascii="Times New Roman" w:hAnsi="Times New Roman" w:cs="Times New Roman"/>
          <w:sz w:val="24"/>
          <w:szCs w:val="24"/>
        </w:rPr>
        <w:t xml:space="preserve">Because the valuation was substantially lower that </w:t>
      </w:r>
      <w:r w:rsidR="00463492" w:rsidRPr="00943504">
        <w:rPr>
          <w:rFonts w:ascii="Times New Roman" w:hAnsi="Times New Roman" w:cs="Times New Roman"/>
          <w:sz w:val="24"/>
          <w:szCs w:val="24"/>
        </w:rPr>
        <w:t>(</w:t>
      </w:r>
      <w:r w:rsidRPr="00943504">
        <w:rPr>
          <w:rFonts w:ascii="Times New Roman" w:hAnsi="Times New Roman" w:cs="Times New Roman"/>
          <w:i/>
          <w:sz w:val="24"/>
          <w:szCs w:val="24"/>
        </w:rPr>
        <w:t>sic</w:t>
      </w:r>
      <w:r w:rsidRPr="00943504">
        <w:rPr>
          <w:rFonts w:ascii="Times New Roman" w:hAnsi="Times New Roman" w:cs="Times New Roman"/>
          <w:sz w:val="24"/>
          <w:szCs w:val="24"/>
        </w:rPr>
        <w:t>) the valuation from Dawn Property Consultancy.</w:t>
      </w:r>
    </w:p>
    <w:p w14:paraId="0ED49868" w14:textId="77777777" w:rsidR="004E72DF" w:rsidRPr="00943504" w:rsidRDefault="00FB7CE3" w:rsidP="00BE264A">
      <w:pPr>
        <w:pStyle w:val="ListParagraph"/>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943504">
        <w:rPr>
          <w:rFonts w:ascii="Times New Roman" w:hAnsi="Times New Roman" w:cs="Times New Roman"/>
          <w:sz w:val="24"/>
          <w:szCs w:val="24"/>
        </w:rPr>
        <w:t>No explanation was given as to how the typographical error had been made in such an important document.</w:t>
      </w:r>
    </w:p>
    <w:p w14:paraId="0CE7781F" w14:textId="77777777" w:rsidR="004E72DF" w:rsidRPr="00943504" w:rsidRDefault="00FB7CE3" w:rsidP="00BE264A">
      <w:pPr>
        <w:pStyle w:val="ListParagraph"/>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943504">
        <w:rPr>
          <w:rFonts w:ascii="Times New Roman" w:hAnsi="Times New Roman" w:cs="Times New Roman"/>
          <w:sz w:val="24"/>
          <w:szCs w:val="24"/>
        </w:rPr>
        <w:t>The valuation was obviously based on some mathematical calculations which were not furnished.</w:t>
      </w:r>
    </w:p>
    <w:p w14:paraId="26F7E26E" w14:textId="77777777" w:rsidR="004E72DF" w:rsidRPr="00943504" w:rsidRDefault="00FB7CE3" w:rsidP="00BE264A">
      <w:pPr>
        <w:pStyle w:val="ListParagraph"/>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943504">
        <w:rPr>
          <w:rFonts w:ascii="Times New Roman" w:hAnsi="Times New Roman" w:cs="Times New Roman"/>
          <w:sz w:val="24"/>
          <w:szCs w:val="24"/>
        </w:rPr>
        <w:t>The letter explaining the error had missing figures which had not been inserted in the appropriate places.</w:t>
      </w:r>
    </w:p>
    <w:p w14:paraId="0EB64D09" w14:textId="77777777" w:rsidR="00FB7CE3" w:rsidRPr="00943504" w:rsidRDefault="00FB7CE3" w:rsidP="00BE264A">
      <w:pPr>
        <w:pStyle w:val="ListParagraph"/>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943504">
        <w:rPr>
          <w:rFonts w:ascii="Times New Roman" w:hAnsi="Times New Roman" w:cs="Times New Roman"/>
          <w:sz w:val="24"/>
          <w:szCs w:val="24"/>
        </w:rPr>
        <w:t>The author of the valuation had died and could not be asked to clarify the above.</w:t>
      </w:r>
    </w:p>
    <w:p w14:paraId="02B61928" w14:textId="77777777" w:rsidR="00614BFF" w:rsidRPr="00943504" w:rsidRDefault="00614BFF" w:rsidP="00943504">
      <w:pPr>
        <w:pStyle w:val="ListParagraph"/>
        <w:tabs>
          <w:tab w:val="left" w:pos="1701"/>
        </w:tabs>
        <w:autoSpaceDE w:val="0"/>
        <w:autoSpaceDN w:val="0"/>
        <w:adjustRightInd w:val="0"/>
        <w:spacing w:after="0" w:line="240" w:lineRule="auto"/>
        <w:ind w:left="1134"/>
        <w:jc w:val="both"/>
        <w:rPr>
          <w:rFonts w:ascii="Times New Roman" w:hAnsi="Times New Roman" w:cs="Times New Roman"/>
          <w:sz w:val="24"/>
          <w:szCs w:val="24"/>
        </w:rPr>
      </w:pPr>
    </w:p>
    <w:p w14:paraId="1EEFC091" w14:textId="77777777" w:rsidR="004E72DF" w:rsidRDefault="00FB7CE3" w:rsidP="00BE264A">
      <w:pPr>
        <w:pStyle w:val="ListParagraph"/>
        <w:numPr>
          <w:ilvl w:val="0"/>
          <w:numId w:val="14"/>
        </w:numPr>
        <w:autoSpaceDE w:val="0"/>
        <w:autoSpaceDN w:val="0"/>
        <w:adjustRightInd w:val="0"/>
        <w:spacing w:after="0" w:line="24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The learned Judge erred in holding that the Appellant and her then legal practitioner were obliged to accept the explanation that the figure given in the first valuation was a typographical error. He erred because the Consent Order entitled her to reject any valuation given.</w:t>
      </w:r>
    </w:p>
    <w:p w14:paraId="6EBB3485" w14:textId="77777777" w:rsidR="00BE264A" w:rsidRPr="00943504" w:rsidRDefault="00BE264A" w:rsidP="00BE264A">
      <w:pPr>
        <w:pStyle w:val="ListParagraph"/>
        <w:autoSpaceDE w:val="0"/>
        <w:autoSpaceDN w:val="0"/>
        <w:adjustRightInd w:val="0"/>
        <w:spacing w:after="0" w:line="240" w:lineRule="auto"/>
        <w:ind w:left="1134"/>
        <w:jc w:val="both"/>
        <w:rPr>
          <w:rFonts w:ascii="Times New Roman" w:hAnsi="Times New Roman" w:cs="Times New Roman"/>
          <w:sz w:val="24"/>
          <w:szCs w:val="24"/>
        </w:rPr>
      </w:pPr>
    </w:p>
    <w:p w14:paraId="1EDACBDA" w14:textId="77777777" w:rsidR="004E72DF" w:rsidRDefault="00FB7CE3" w:rsidP="00BE264A">
      <w:pPr>
        <w:pStyle w:val="ListParagraph"/>
        <w:numPr>
          <w:ilvl w:val="0"/>
          <w:numId w:val="14"/>
        </w:numPr>
        <w:autoSpaceDE w:val="0"/>
        <w:autoSpaceDN w:val="0"/>
        <w:adjustRightInd w:val="0"/>
        <w:spacing w:after="0" w:line="24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Insofar as the learned Judge may have held that Appellant accepted Respondent’s right to purchase the property because she personally was aware of the first valuation, he erred because there was no evidence which would support such a finding.</w:t>
      </w:r>
    </w:p>
    <w:p w14:paraId="4ACB35A6" w14:textId="77777777" w:rsidR="00BE264A" w:rsidRPr="00BE264A" w:rsidRDefault="00BE264A" w:rsidP="00BE264A">
      <w:pPr>
        <w:autoSpaceDE w:val="0"/>
        <w:autoSpaceDN w:val="0"/>
        <w:adjustRightInd w:val="0"/>
        <w:spacing w:after="0" w:line="240" w:lineRule="auto"/>
        <w:jc w:val="both"/>
        <w:rPr>
          <w:rFonts w:ascii="Times New Roman" w:hAnsi="Times New Roman" w:cs="Times New Roman"/>
          <w:sz w:val="24"/>
          <w:szCs w:val="24"/>
        </w:rPr>
      </w:pPr>
    </w:p>
    <w:p w14:paraId="70D5F7C5" w14:textId="77777777" w:rsidR="004E72DF" w:rsidRDefault="00FB7CE3" w:rsidP="00BE264A">
      <w:pPr>
        <w:pStyle w:val="ListParagraph"/>
        <w:numPr>
          <w:ilvl w:val="0"/>
          <w:numId w:val="14"/>
        </w:numPr>
        <w:autoSpaceDE w:val="0"/>
        <w:autoSpaceDN w:val="0"/>
        <w:adjustRightInd w:val="0"/>
        <w:spacing w:after="0" w:line="24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lastRenderedPageBreak/>
        <w:t xml:space="preserve">The learned Judge erred in holding that the principle of estoppel applied. He erred because estoppel can never operate against a person who has </w:t>
      </w:r>
      <w:r w:rsidR="007971A4" w:rsidRPr="00943504">
        <w:rPr>
          <w:rFonts w:ascii="Times New Roman" w:hAnsi="Times New Roman" w:cs="Times New Roman"/>
          <w:sz w:val="24"/>
          <w:szCs w:val="24"/>
        </w:rPr>
        <w:t>given his or her consent to the purchase of a property when such consent was obtained as a result of a material or possible fraudulent non-disclosure by the other party.</w:t>
      </w:r>
    </w:p>
    <w:p w14:paraId="5B8F31EE" w14:textId="77777777" w:rsidR="00BE264A" w:rsidRPr="00BE264A" w:rsidRDefault="00BE264A" w:rsidP="00BE264A">
      <w:pPr>
        <w:autoSpaceDE w:val="0"/>
        <w:autoSpaceDN w:val="0"/>
        <w:adjustRightInd w:val="0"/>
        <w:spacing w:after="0" w:line="240" w:lineRule="auto"/>
        <w:jc w:val="both"/>
        <w:rPr>
          <w:rFonts w:ascii="Times New Roman" w:hAnsi="Times New Roman" w:cs="Times New Roman"/>
          <w:sz w:val="24"/>
          <w:szCs w:val="24"/>
        </w:rPr>
      </w:pPr>
    </w:p>
    <w:p w14:paraId="1F7B70EC" w14:textId="77777777" w:rsidR="00BE264A" w:rsidRDefault="007971A4" w:rsidP="00141EFF">
      <w:pPr>
        <w:pStyle w:val="ListParagraph"/>
        <w:numPr>
          <w:ilvl w:val="0"/>
          <w:numId w:val="14"/>
        </w:numPr>
        <w:autoSpaceDE w:val="0"/>
        <w:autoSpaceDN w:val="0"/>
        <w:adjustRightInd w:val="0"/>
        <w:spacing w:after="0" w:line="240" w:lineRule="auto"/>
        <w:ind w:left="1134" w:hanging="567"/>
        <w:jc w:val="both"/>
        <w:rPr>
          <w:rFonts w:ascii="Times New Roman" w:hAnsi="Times New Roman" w:cs="Times New Roman"/>
          <w:sz w:val="24"/>
          <w:szCs w:val="24"/>
        </w:rPr>
      </w:pPr>
      <w:r w:rsidRPr="00BE264A">
        <w:rPr>
          <w:rFonts w:ascii="Times New Roman" w:hAnsi="Times New Roman" w:cs="Times New Roman"/>
          <w:sz w:val="24"/>
          <w:szCs w:val="24"/>
        </w:rPr>
        <w:t>The learned Judge erred in holding that her then legal practitioner was practitioner were (</w:t>
      </w:r>
      <w:r w:rsidRPr="00BE264A">
        <w:rPr>
          <w:rFonts w:ascii="Times New Roman" w:hAnsi="Times New Roman" w:cs="Times New Roman"/>
          <w:i/>
          <w:sz w:val="24"/>
          <w:szCs w:val="24"/>
        </w:rPr>
        <w:t>sic</w:t>
      </w:r>
      <w:r w:rsidRPr="00BE264A">
        <w:rPr>
          <w:rFonts w:ascii="Times New Roman" w:hAnsi="Times New Roman" w:cs="Times New Roman"/>
          <w:sz w:val="24"/>
          <w:szCs w:val="24"/>
        </w:rPr>
        <w:t>) at fault for not noticing the discrepancy in the two valuations. He erred because a person who, on the face of it, sets out to mislead the other party should not be heard to complain when his purpose has been achieved.</w:t>
      </w:r>
    </w:p>
    <w:p w14:paraId="5DA7D211" w14:textId="77777777" w:rsidR="00BE264A" w:rsidRPr="00BE264A" w:rsidRDefault="00BE264A" w:rsidP="00BE264A">
      <w:pPr>
        <w:pStyle w:val="ListParagraph"/>
        <w:rPr>
          <w:rFonts w:ascii="Times New Roman" w:hAnsi="Times New Roman" w:cs="Times New Roman"/>
          <w:sz w:val="24"/>
          <w:szCs w:val="24"/>
        </w:rPr>
      </w:pPr>
    </w:p>
    <w:p w14:paraId="0A32C932" w14:textId="77777777" w:rsidR="007971A4" w:rsidRPr="00BE264A" w:rsidRDefault="007971A4" w:rsidP="00141EFF">
      <w:pPr>
        <w:pStyle w:val="ListParagraph"/>
        <w:numPr>
          <w:ilvl w:val="0"/>
          <w:numId w:val="14"/>
        </w:numPr>
        <w:autoSpaceDE w:val="0"/>
        <w:autoSpaceDN w:val="0"/>
        <w:adjustRightInd w:val="0"/>
        <w:spacing w:after="0" w:line="240" w:lineRule="auto"/>
        <w:ind w:left="1134" w:hanging="567"/>
        <w:jc w:val="both"/>
        <w:rPr>
          <w:rFonts w:ascii="Times New Roman" w:hAnsi="Times New Roman" w:cs="Times New Roman"/>
          <w:sz w:val="24"/>
          <w:szCs w:val="24"/>
        </w:rPr>
      </w:pPr>
      <w:r w:rsidRPr="00BE264A">
        <w:rPr>
          <w:rFonts w:ascii="Times New Roman" w:hAnsi="Times New Roman" w:cs="Times New Roman"/>
          <w:sz w:val="24"/>
          <w:szCs w:val="24"/>
        </w:rPr>
        <w:t xml:space="preserve">The learned Judge erred in holding that the amended valuation given by Guest and Tanner on 23 June 2017 was one of the two valuations required by the Consent Order. He erred because the valuation </w:t>
      </w:r>
      <w:r w:rsidR="00DA4017" w:rsidRPr="00BE264A">
        <w:rPr>
          <w:rFonts w:ascii="Times New Roman" w:hAnsi="Times New Roman" w:cs="Times New Roman"/>
          <w:sz w:val="24"/>
          <w:szCs w:val="24"/>
        </w:rPr>
        <w:t xml:space="preserve">given by Guest and Tanner </w:t>
      </w:r>
      <w:r w:rsidR="00875D2E" w:rsidRPr="00BE264A">
        <w:rPr>
          <w:rFonts w:ascii="Times New Roman" w:hAnsi="Times New Roman" w:cs="Times New Roman"/>
          <w:sz w:val="24"/>
          <w:szCs w:val="24"/>
        </w:rPr>
        <w:t>on 30</w:t>
      </w:r>
      <w:r w:rsidRPr="00BE264A">
        <w:rPr>
          <w:rFonts w:ascii="Times New Roman" w:hAnsi="Times New Roman" w:cs="Times New Roman"/>
          <w:sz w:val="24"/>
          <w:szCs w:val="24"/>
        </w:rPr>
        <w:t xml:space="preserve"> March 2017 was the first valuation and it could not be amended without Applicant’s knowledge and consent. In the circumstances Respondent had no right to purchase the property for a price which was not based on the first valuation, in conjunction with the valuation from Dawn Property Consultancy.</w:t>
      </w:r>
      <w:r w:rsidR="00632EA6" w:rsidRPr="00BE264A">
        <w:rPr>
          <w:rFonts w:ascii="Times New Roman" w:hAnsi="Times New Roman" w:cs="Times New Roman"/>
          <w:sz w:val="24"/>
          <w:szCs w:val="24"/>
        </w:rPr>
        <w:t>”</w:t>
      </w:r>
    </w:p>
    <w:p w14:paraId="595D2FAC" w14:textId="77777777" w:rsidR="00DA4017" w:rsidRPr="00943504" w:rsidRDefault="00DA4017" w:rsidP="00943504">
      <w:pPr>
        <w:pStyle w:val="ListParagraph"/>
        <w:autoSpaceDE w:val="0"/>
        <w:autoSpaceDN w:val="0"/>
        <w:adjustRightInd w:val="0"/>
        <w:spacing w:after="0" w:line="240" w:lineRule="auto"/>
        <w:jc w:val="both"/>
        <w:rPr>
          <w:rFonts w:ascii="Times New Roman" w:hAnsi="Times New Roman" w:cs="Times New Roman"/>
          <w:sz w:val="24"/>
          <w:szCs w:val="24"/>
        </w:rPr>
      </w:pPr>
    </w:p>
    <w:p w14:paraId="66FAAF46" w14:textId="77777777" w:rsidR="00DA4017" w:rsidRPr="00943504" w:rsidRDefault="00DA4017" w:rsidP="00943504">
      <w:pPr>
        <w:pStyle w:val="ListParagraph"/>
        <w:autoSpaceDE w:val="0"/>
        <w:autoSpaceDN w:val="0"/>
        <w:adjustRightInd w:val="0"/>
        <w:spacing w:after="0" w:line="240" w:lineRule="auto"/>
        <w:jc w:val="both"/>
        <w:rPr>
          <w:rFonts w:ascii="Times New Roman" w:hAnsi="Times New Roman" w:cs="Times New Roman"/>
          <w:sz w:val="24"/>
          <w:szCs w:val="24"/>
        </w:rPr>
      </w:pPr>
    </w:p>
    <w:p w14:paraId="3A230FCF" w14:textId="77777777" w:rsidR="007971A4" w:rsidRPr="00BE264A" w:rsidRDefault="00BE264A" w:rsidP="00943504">
      <w:pPr>
        <w:autoSpaceDE w:val="0"/>
        <w:autoSpaceDN w:val="0"/>
        <w:adjustRightInd w:val="0"/>
        <w:spacing w:after="0" w:line="240" w:lineRule="auto"/>
        <w:jc w:val="both"/>
        <w:rPr>
          <w:rFonts w:ascii="Times New Roman" w:hAnsi="Times New Roman" w:cs="Times New Roman"/>
          <w:b/>
          <w:sz w:val="24"/>
          <w:szCs w:val="24"/>
        </w:rPr>
      </w:pPr>
      <w:r w:rsidRPr="00BE264A">
        <w:rPr>
          <w:rFonts w:ascii="Times New Roman" w:hAnsi="Times New Roman" w:cs="Times New Roman"/>
          <w:b/>
          <w:sz w:val="24"/>
          <w:szCs w:val="24"/>
        </w:rPr>
        <w:t>THE LAW</w:t>
      </w:r>
    </w:p>
    <w:p w14:paraId="6E2249F2" w14:textId="77777777" w:rsidR="000D18DE" w:rsidRPr="00943504" w:rsidRDefault="000D18DE" w:rsidP="00943504">
      <w:pPr>
        <w:autoSpaceDE w:val="0"/>
        <w:autoSpaceDN w:val="0"/>
        <w:adjustRightInd w:val="0"/>
        <w:spacing w:after="0" w:line="240" w:lineRule="auto"/>
        <w:jc w:val="both"/>
        <w:rPr>
          <w:rFonts w:ascii="Times New Roman" w:hAnsi="Times New Roman" w:cs="Times New Roman"/>
          <w:b/>
          <w:sz w:val="24"/>
          <w:szCs w:val="24"/>
        </w:rPr>
      </w:pPr>
    </w:p>
    <w:p w14:paraId="347BA946" w14:textId="280E4419" w:rsidR="00BC52C9" w:rsidRPr="00943504" w:rsidRDefault="00BC52C9"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Rule 44 of the Supreme </w:t>
      </w:r>
      <w:r w:rsidR="004A3A8C" w:rsidRPr="00943504">
        <w:rPr>
          <w:rFonts w:ascii="Times New Roman" w:hAnsi="Times New Roman" w:cs="Times New Roman"/>
          <w:sz w:val="24"/>
          <w:szCs w:val="24"/>
        </w:rPr>
        <w:t>Court R</w:t>
      </w:r>
      <w:r w:rsidRPr="00943504">
        <w:rPr>
          <w:rFonts w:ascii="Times New Roman" w:hAnsi="Times New Roman" w:cs="Times New Roman"/>
          <w:sz w:val="24"/>
          <w:szCs w:val="24"/>
        </w:rPr>
        <w:t>ules require</w:t>
      </w:r>
      <w:r w:rsidR="00CF5E6B" w:rsidRPr="00943504">
        <w:rPr>
          <w:rFonts w:ascii="Times New Roman" w:hAnsi="Times New Roman" w:cs="Times New Roman"/>
          <w:sz w:val="24"/>
          <w:szCs w:val="24"/>
        </w:rPr>
        <w:t>s</w:t>
      </w:r>
      <w:r w:rsidRPr="00943504">
        <w:rPr>
          <w:rFonts w:ascii="Times New Roman" w:hAnsi="Times New Roman" w:cs="Times New Roman"/>
          <w:sz w:val="24"/>
          <w:szCs w:val="24"/>
        </w:rPr>
        <w:t xml:space="preserve"> in peremptory language that grounds of appeal must be set out “clearly and concisely”.  What constitutes concise grounds of appeal was enunciated by this Court in </w:t>
      </w:r>
      <w:r w:rsidRPr="00943504">
        <w:rPr>
          <w:rFonts w:ascii="Times New Roman" w:hAnsi="Times New Roman" w:cs="Times New Roman"/>
          <w:i/>
          <w:sz w:val="24"/>
          <w:szCs w:val="24"/>
        </w:rPr>
        <w:t>Master of the High Court v Lilian Grace Turner</w:t>
      </w:r>
      <w:r w:rsidR="00081796">
        <w:rPr>
          <w:rFonts w:ascii="Times New Roman" w:hAnsi="Times New Roman" w:cs="Times New Roman"/>
          <w:sz w:val="24"/>
          <w:szCs w:val="24"/>
        </w:rPr>
        <w:t xml:space="preserve"> SC </w:t>
      </w:r>
      <w:r w:rsidRPr="00943504">
        <w:rPr>
          <w:rFonts w:ascii="Times New Roman" w:hAnsi="Times New Roman" w:cs="Times New Roman"/>
          <w:sz w:val="24"/>
          <w:szCs w:val="24"/>
        </w:rPr>
        <w:t>77/93 thus:</w:t>
      </w:r>
    </w:p>
    <w:p w14:paraId="0719ACB0" w14:textId="77777777" w:rsidR="00BC52C9" w:rsidRPr="00943504" w:rsidRDefault="00BC52C9" w:rsidP="00BE264A">
      <w:pPr>
        <w:spacing w:after="0"/>
        <w:ind w:left="567"/>
        <w:jc w:val="both"/>
        <w:rPr>
          <w:rFonts w:ascii="Times New Roman" w:hAnsi="Times New Roman" w:cs="Times New Roman"/>
          <w:sz w:val="24"/>
          <w:szCs w:val="24"/>
        </w:rPr>
      </w:pPr>
      <w:r w:rsidRPr="00943504">
        <w:rPr>
          <w:rFonts w:ascii="Times New Roman" w:hAnsi="Times New Roman" w:cs="Times New Roman"/>
          <w:sz w:val="24"/>
          <w:szCs w:val="24"/>
        </w:rPr>
        <w:t>“</w:t>
      </w:r>
      <w:r w:rsidR="00CF5E6B" w:rsidRPr="00943504">
        <w:rPr>
          <w:rFonts w:ascii="Times New Roman" w:hAnsi="Times New Roman" w:cs="Times New Roman"/>
          <w:sz w:val="24"/>
          <w:szCs w:val="24"/>
        </w:rPr>
        <w:t>It</w:t>
      </w:r>
      <w:r w:rsidRPr="00943504">
        <w:rPr>
          <w:rFonts w:ascii="Times New Roman" w:hAnsi="Times New Roman" w:cs="Times New Roman"/>
          <w:sz w:val="24"/>
          <w:szCs w:val="24"/>
        </w:rPr>
        <w:t xml:space="preserve"> goes without saying that by concise is meant brief but comprehensive in </w:t>
      </w:r>
      <w:r w:rsidR="00CF5E6B" w:rsidRPr="00943504">
        <w:rPr>
          <w:rFonts w:ascii="Times New Roman" w:hAnsi="Times New Roman" w:cs="Times New Roman"/>
          <w:sz w:val="24"/>
          <w:szCs w:val="24"/>
        </w:rPr>
        <w:t>expression…</w:t>
      </w:r>
      <w:r w:rsidRPr="00943504">
        <w:rPr>
          <w:rFonts w:ascii="Times New Roman" w:hAnsi="Times New Roman" w:cs="Times New Roman"/>
          <w:sz w:val="24"/>
          <w:szCs w:val="24"/>
        </w:rPr>
        <w:t xml:space="preserve"> It is not for the court  to sift through numerous grounds of appeal in search of a possible valid ground; or to page through several pages of ‘grounds of appeal’ in order to determine the real issues for determination by the court. The real issues for determination should be immediately ascertainable on perusal of the grounds of appeal.”  </w:t>
      </w:r>
    </w:p>
    <w:p w14:paraId="7F028FA2" w14:textId="77777777" w:rsidR="00353B19" w:rsidRPr="00943504" w:rsidRDefault="00353B19" w:rsidP="00943504">
      <w:pPr>
        <w:spacing w:after="0"/>
        <w:ind w:left="720"/>
        <w:jc w:val="both"/>
        <w:rPr>
          <w:rFonts w:ascii="Times New Roman" w:hAnsi="Times New Roman" w:cs="Times New Roman"/>
          <w:sz w:val="24"/>
          <w:szCs w:val="24"/>
        </w:rPr>
      </w:pPr>
    </w:p>
    <w:p w14:paraId="204D46CB" w14:textId="77777777" w:rsidR="00BE264A" w:rsidRDefault="00BE264A" w:rsidP="00BE264A">
      <w:pPr>
        <w:spacing w:after="0" w:line="240" w:lineRule="auto"/>
        <w:jc w:val="both"/>
        <w:rPr>
          <w:rFonts w:ascii="Times New Roman" w:hAnsi="Times New Roman" w:cs="Times New Roman"/>
          <w:sz w:val="24"/>
          <w:szCs w:val="24"/>
        </w:rPr>
      </w:pPr>
    </w:p>
    <w:p w14:paraId="4FA1A6D9" w14:textId="77777777" w:rsidR="00E160B5" w:rsidRPr="00943504" w:rsidRDefault="00CF5E6B" w:rsidP="00943504">
      <w:pPr>
        <w:spacing w:after="0" w:line="480" w:lineRule="auto"/>
        <w:jc w:val="both"/>
        <w:rPr>
          <w:rFonts w:ascii="Times New Roman" w:hAnsi="Times New Roman" w:cs="Times New Roman"/>
          <w:sz w:val="24"/>
          <w:szCs w:val="24"/>
        </w:rPr>
      </w:pPr>
      <w:r w:rsidRPr="00943504">
        <w:rPr>
          <w:rFonts w:ascii="Times New Roman" w:hAnsi="Times New Roman" w:cs="Times New Roman"/>
          <w:sz w:val="24"/>
          <w:szCs w:val="24"/>
        </w:rPr>
        <w:t>See also</w:t>
      </w:r>
      <w:r w:rsidR="00A473A7" w:rsidRPr="00943504">
        <w:rPr>
          <w:rFonts w:ascii="Times New Roman" w:hAnsi="Times New Roman" w:cs="Times New Roman"/>
          <w:sz w:val="24"/>
          <w:szCs w:val="24"/>
        </w:rPr>
        <w:t xml:space="preserve"> </w:t>
      </w:r>
      <w:r w:rsidR="00A473A7" w:rsidRPr="00943504">
        <w:rPr>
          <w:rFonts w:ascii="Times New Roman" w:hAnsi="Times New Roman" w:cs="Times New Roman"/>
          <w:i/>
          <w:sz w:val="24"/>
          <w:szCs w:val="24"/>
        </w:rPr>
        <w:t>Chikura NO &amp; Anor v Al Sham Global BVI Ltd</w:t>
      </w:r>
      <w:r w:rsidR="00A473A7" w:rsidRPr="00943504">
        <w:rPr>
          <w:rFonts w:ascii="Times New Roman" w:hAnsi="Times New Roman" w:cs="Times New Roman"/>
          <w:sz w:val="24"/>
          <w:szCs w:val="24"/>
        </w:rPr>
        <w:t xml:space="preserve"> SC 17/17 at para 8.</w:t>
      </w:r>
    </w:p>
    <w:p w14:paraId="078AA927" w14:textId="77777777" w:rsidR="00E160B5" w:rsidRPr="00943504" w:rsidRDefault="00E160B5" w:rsidP="00BE264A">
      <w:pPr>
        <w:spacing w:after="0" w:line="240" w:lineRule="auto"/>
        <w:jc w:val="both"/>
        <w:rPr>
          <w:rFonts w:ascii="Times New Roman" w:hAnsi="Times New Roman" w:cs="Times New Roman"/>
          <w:sz w:val="24"/>
          <w:szCs w:val="24"/>
        </w:rPr>
      </w:pPr>
    </w:p>
    <w:p w14:paraId="6D87FA3B" w14:textId="77777777" w:rsidR="00A23F74" w:rsidRPr="00943504" w:rsidRDefault="00616FBD"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These requirements were further clarified</w:t>
      </w:r>
      <w:r w:rsidR="00A23F74" w:rsidRPr="00943504">
        <w:rPr>
          <w:rFonts w:ascii="Times New Roman" w:hAnsi="Times New Roman" w:cs="Times New Roman"/>
          <w:sz w:val="24"/>
          <w:szCs w:val="24"/>
        </w:rPr>
        <w:t xml:space="preserve"> in </w:t>
      </w:r>
      <w:r w:rsidR="00A23F74" w:rsidRPr="00943504">
        <w:rPr>
          <w:rFonts w:ascii="Times New Roman" w:hAnsi="Times New Roman" w:cs="Times New Roman"/>
          <w:i/>
          <w:sz w:val="24"/>
          <w:szCs w:val="24"/>
        </w:rPr>
        <w:t>Kunonga v Church of the Province of Central Africa</w:t>
      </w:r>
      <w:r w:rsidR="00A23F74" w:rsidRPr="00943504">
        <w:rPr>
          <w:rFonts w:ascii="Times New Roman" w:hAnsi="Times New Roman" w:cs="Times New Roman"/>
          <w:sz w:val="24"/>
          <w:szCs w:val="24"/>
        </w:rPr>
        <w:t xml:space="preserve"> SC 25/17 at p 15, </w:t>
      </w:r>
      <w:r w:rsidRPr="00943504">
        <w:rPr>
          <w:rFonts w:ascii="Times New Roman" w:hAnsi="Times New Roman" w:cs="Times New Roman"/>
          <w:sz w:val="24"/>
          <w:szCs w:val="24"/>
        </w:rPr>
        <w:t>in the following way:</w:t>
      </w:r>
    </w:p>
    <w:p w14:paraId="1497AB10" w14:textId="77777777" w:rsidR="00A23F74" w:rsidRPr="00943504" w:rsidRDefault="00A23F74" w:rsidP="00BE264A">
      <w:pPr>
        <w:spacing w:after="0"/>
        <w:ind w:left="567"/>
        <w:jc w:val="both"/>
        <w:rPr>
          <w:rFonts w:ascii="Times New Roman" w:hAnsi="Times New Roman" w:cs="Times New Roman"/>
          <w:sz w:val="24"/>
          <w:szCs w:val="24"/>
        </w:rPr>
      </w:pPr>
      <w:r w:rsidRPr="00943504">
        <w:rPr>
          <w:rFonts w:ascii="Times New Roman" w:hAnsi="Times New Roman" w:cs="Times New Roman"/>
          <w:sz w:val="24"/>
          <w:szCs w:val="24"/>
        </w:rPr>
        <w:t>“Firstly, the notice must specify details of what is appealed against (i.e</w:t>
      </w:r>
      <w:r w:rsidR="00616FBD" w:rsidRPr="00943504">
        <w:rPr>
          <w:rFonts w:ascii="Times New Roman" w:hAnsi="Times New Roman" w:cs="Times New Roman"/>
          <w:sz w:val="24"/>
          <w:szCs w:val="24"/>
        </w:rPr>
        <w:t>.</w:t>
      </w:r>
      <w:r w:rsidRPr="00943504">
        <w:rPr>
          <w:rFonts w:ascii="Times New Roman" w:hAnsi="Times New Roman" w:cs="Times New Roman"/>
          <w:sz w:val="24"/>
          <w:szCs w:val="24"/>
        </w:rPr>
        <w:t xml:space="preserve"> the particular findings of fact and rulings of law that are to be criticized on appeal as being wrong) and seco</w:t>
      </w:r>
      <w:r w:rsidR="008A14ED" w:rsidRPr="00943504">
        <w:rPr>
          <w:rFonts w:ascii="Times New Roman" w:hAnsi="Times New Roman" w:cs="Times New Roman"/>
          <w:sz w:val="24"/>
          <w:szCs w:val="24"/>
        </w:rPr>
        <w:t xml:space="preserve">ndly, the grounds of appeal </w:t>
      </w:r>
      <w:r w:rsidRPr="00943504">
        <w:rPr>
          <w:rFonts w:ascii="Times New Roman" w:hAnsi="Times New Roman" w:cs="Times New Roman"/>
          <w:sz w:val="24"/>
          <w:szCs w:val="24"/>
        </w:rPr>
        <w:t xml:space="preserve">must indicate why each finding of fact or ruling of law </w:t>
      </w:r>
      <w:r w:rsidR="00616FBD" w:rsidRPr="00943504">
        <w:rPr>
          <w:rFonts w:ascii="Times New Roman" w:hAnsi="Times New Roman" w:cs="Times New Roman"/>
          <w:sz w:val="24"/>
          <w:szCs w:val="24"/>
        </w:rPr>
        <w:t>that is to be criticised as wrong is said to be wrong. F</w:t>
      </w:r>
      <w:r w:rsidR="009D3537" w:rsidRPr="00943504">
        <w:rPr>
          <w:rFonts w:ascii="Times New Roman" w:hAnsi="Times New Roman" w:cs="Times New Roman"/>
          <w:sz w:val="24"/>
          <w:szCs w:val="24"/>
        </w:rPr>
        <w:t>or example,</w:t>
      </w:r>
      <w:r w:rsidR="00616FBD" w:rsidRPr="00943504">
        <w:rPr>
          <w:rFonts w:ascii="Times New Roman" w:hAnsi="Times New Roman" w:cs="Times New Roman"/>
          <w:sz w:val="24"/>
          <w:szCs w:val="24"/>
        </w:rPr>
        <w:t xml:space="preserve"> because the </w:t>
      </w:r>
      <w:r w:rsidR="00616FBD" w:rsidRPr="00943504">
        <w:rPr>
          <w:rFonts w:ascii="Times New Roman" w:hAnsi="Times New Roman" w:cs="Times New Roman"/>
          <w:sz w:val="24"/>
          <w:szCs w:val="24"/>
        </w:rPr>
        <w:lastRenderedPageBreak/>
        <w:t xml:space="preserve">finding of fact appealed against is inconsistent with some documentary evidence that shows to the contrary; or it is inconsistent with oral evidence of one or more witnesses; or because it is against the probabilities.” </w:t>
      </w:r>
    </w:p>
    <w:p w14:paraId="198A4195" w14:textId="77777777" w:rsidR="005D4B47" w:rsidRDefault="005D4B47" w:rsidP="00BE264A">
      <w:pPr>
        <w:spacing w:after="0" w:line="240" w:lineRule="auto"/>
        <w:ind w:left="720"/>
        <w:jc w:val="both"/>
        <w:rPr>
          <w:rFonts w:ascii="Times New Roman" w:hAnsi="Times New Roman" w:cs="Times New Roman"/>
          <w:sz w:val="24"/>
          <w:szCs w:val="24"/>
        </w:rPr>
      </w:pPr>
    </w:p>
    <w:p w14:paraId="6802B084" w14:textId="77777777" w:rsidR="00943504" w:rsidRPr="00943504" w:rsidRDefault="00943504" w:rsidP="00943504">
      <w:pPr>
        <w:spacing w:after="0" w:line="240" w:lineRule="auto"/>
        <w:ind w:left="720"/>
        <w:jc w:val="both"/>
        <w:rPr>
          <w:rFonts w:ascii="Times New Roman" w:hAnsi="Times New Roman" w:cs="Times New Roman"/>
          <w:sz w:val="24"/>
          <w:szCs w:val="24"/>
        </w:rPr>
      </w:pPr>
    </w:p>
    <w:p w14:paraId="4A3AAB6B" w14:textId="77777777" w:rsidR="00557ED7" w:rsidRDefault="00683D60"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Mr </w:t>
      </w:r>
      <w:r w:rsidRPr="00943504">
        <w:rPr>
          <w:rFonts w:ascii="Times New Roman" w:hAnsi="Times New Roman" w:cs="Times New Roman"/>
          <w:i/>
          <w:sz w:val="24"/>
          <w:szCs w:val="24"/>
        </w:rPr>
        <w:t>Mhlanga</w:t>
      </w:r>
      <w:r w:rsidRPr="00943504">
        <w:rPr>
          <w:rFonts w:ascii="Times New Roman" w:hAnsi="Times New Roman" w:cs="Times New Roman"/>
          <w:sz w:val="24"/>
          <w:szCs w:val="24"/>
        </w:rPr>
        <w:t xml:space="preserve"> argued that all the nine proposed grounds of appeal were prolix and argumentative. </w:t>
      </w:r>
    </w:p>
    <w:p w14:paraId="47CEFE30" w14:textId="77777777" w:rsidR="00943504" w:rsidRPr="00943504" w:rsidRDefault="00943504" w:rsidP="00943504">
      <w:pPr>
        <w:spacing w:after="0" w:line="480" w:lineRule="auto"/>
        <w:ind w:firstLine="1134"/>
        <w:jc w:val="both"/>
        <w:rPr>
          <w:rFonts w:ascii="Times New Roman" w:hAnsi="Times New Roman" w:cs="Times New Roman"/>
          <w:sz w:val="24"/>
          <w:szCs w:val="24"/>
        </w:rPr>
      </w:pPr>
    </w:p>
    <w:p w14:paraId="6AFA5ADD" w14:textId="77777777" w:rsidR="00683D60" w:rsidRPr="00943504" w:rsidRDefault="009D3537"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The proposed grounds of appeal </w:t>
      </w:r>
      <w:r w:rsidR="00AF7F16" w:rsidRPr="00943504">
        <w:rPr>
          <w:rFonts w:ascii="Times New Roman" w:hAnsi="Times New Roman" w:cs="Times New Roman"/>
          <w:sz w:val="24"/>
          <w:szCs w:val="24"/>
        </w:rPr>
        <w:t>against factual findings are undoubtedly wordy</w:t>
      </w:r>
      <w:r w:rsidR="00861F5B" w:rsidRPr="00943504">
        <w:rPr>
          <w:rFonts w:ascii="Times New Roman" w:hAnsi="Times New Roman" w:cs="Times New Roman"/>
          <w:sz w:val="24"/>
          <w:szCs w:val="24"/>
        </w:rPr>
        <w:t xml:space="preserve"> and </w:t>
      </w:r>
      <w:r w:rsidRPr="00943504">
        <w:rPr>
          <w:rFonts w:ascii="Times New Roman" w:hAnsi="Times New Roman" w:cs="Times New Roman"/>
          <w:sz w:val="24"/>
          <w:szCs w:val="24"/>
        </w:rPr>
        <w:t>detailed</w:t>
      </w:r>
      <w:r w:rsidR="00AF7F16" w:rsidRPr="00943504">
        <w:rPr>
          <w:rFonts w:ascii="Times New Roman" w:hAnsi="Times New Roman" w:cs="Times New Roman"/>
          <w:sz w:val="24"/>
          <w:szCs w:val="24"/>
        </w:rPr>
        <w:t xml:space="preserve"> and unnecessarily </w:t>
      </w:r>
      <w:r w:rsidR="00861F5B" w:rsidRPr="00943504">
        <w:rPr>
          <w:rFonts w:ascii="Times New Roman" w:hAnsi="Times New Roman" w:cs="Times New Roman"/>
          <w:sz w:val="24"/>
          <w:szCs w:val="24"/>
        </w:rPr>
        <w:t>rambling and argumentative</w:t>
      </w:r>
      <w:r w:rsidRPr="00943504">
        <w:rPr>
          <w:rFonts w:ascii="Times New Roman" w:hAnsi="Times New Roman" w:cs="Times New Roman"/>
          <w:sz w:val="24"/>
          <w:szCs w:val="24"/>
        </w:rPr>
        <w:t xml:space="preserve">. They </w:t>
      </w:r>
      <w:r w:rsidR="00861F5B" w:rsidRPr="00943504">
        <w:rPr>
          <w:rFonts w:ascii="Times New Roman" w:hAnsi="Times New Roman" w:cs="Times New Roman"/>
          <w:sz w:val="24"/>
          <w:szCs w:val="24"/>
        </w:rPr>
        <w:t>would</w:t>
      </w:r>
      <w:r w:rsidRPr="00943504">
        <w:rPr>
          <w:rFonts w:ascii="Times New Roman" w:hAnsi="Times New Roman" w:cs="Times New Roman"/>
          <w:sz w:val="24"/>
          <w:szCs w:val="24"/>
        </w:rPr>
        <w:t xml:space="preserve"> not pass muster the “brief but</w:t>
      </w:r>
      <w:r w:rsidR="00CF5E6B" w:rsidRPr="00943504">
        <w:rPr>
          <w:rFonts w:ascii="Times New Roman" w:hAnsi="Times New Roman" w:cs="Times New Roman"/>
          <w:sz w:val="24"/>
          <w:szCs w:val="24"/>
        </w:rPr>
        <w:t xml:space="preserve"> comprehensive” standard</w:t>
      </w:r>
      <w:r w:rsidRPr="00943504">
        <w:rPr>
          <w:rFonts w:ascii="Times New Roman" w:hAnsi="Times New Roman" w:cs="Times New Roman"/>
          <w:sz w:val="24"/>
          <w:szCs w:val="24"/>
        </w:rPr>
        <w:t xml:space="preserve"> in the </w:t>
      </w:r>
      <w:r w:rsidRPr="00943504">
        <w:rPr>
          <w:rFonts w:ascii="Times New Roman" w:hAnsi="Times New Roman" w:cs="Times New Roman"/>
          <w:i/>
          <w:sz w:val="24"/>
          <w:szCs w:val="24"/>
        </w:rPr>
        <w:t>Grace Lilian Turner</w:t>
      </w:r>
      <w:r w:rsidRPr="00943504">
        <w:rPr>
          <w:rFonts w:ascii="Times New Roman" w:hAnsi="Times New Roman" w:cs="Times New Roman"/>
          <w:sz w:val="24"/>
          <w:szCs w:val="24"/>
        </w:rPr>
        <w:t xml:space="preserve"> case, </w:t>
      </w:r>
      <w:r w:rsidRPr="00943504">
        <w:rPr>
          <w:rFonts w:ascii="Times New Roman" w:hAnsi="Times New Roman" w:cs="Times New Roman"/>
          <w:i/>
          <w:sz w:val="24"/>
          <w:szCs w:val="24"/>
        </w:rPr>
        <w:t>supra</w:t>
      </w:r>
      <w:r w:rsidR="00861F5B" w:rsidRPr="00943504">
        <w:rPr>
          <w:rFonts w:ascii="Times New Roman" w:hAnsi="Times New Roman" w:cs="Times New Roman"/>
          <w:sz w:val="24"/>
          <w:szCs w:val="24"/>
        </w:rPr>
        <w:t xml:space="preserve">, but pruned of these excesses appear to conform to the requirements set out in the </w:t>
      </w:r>
      <w:r w:rsidR="00861F5B" w:rsidRPr="00943504">
        <w:rPr>
          <w:rFonts w:ascii="Times New Roman" w:hAnsi="Times New Roman" w:cs="Times New Roman"/>
          <w:i/>
          <w:sz w:val="24"/>
          <w:szCs w:val="24"/>
        </w:rPr>
        <w:t>Kunonga</w:t>
      </w:r>
      <w:r w:rsidR="00861F5B" w:rsidRPr="00943504">
        <w:rPr>
          <w:rFonts w:ascii="Times New Roman" w:hAnsi="Times New Roman" w:cs="Times New Roman"/>
          <w:sz w:val="24"/>
          <w:szCs w:val="24"/>
        </w:rPr>
        <w:t xml:space="preserve"> case, </w:t>
      </w:r>
      <w:r w:rsidR="00861F5B" w:rsidRPr="00943504">
        <w:rPr>
          <w:rFonts w:ascii="Times New Roman" w:hAnsi="Times New Roman" w:cs="Times New Roman"/>
          <w:i/>
          <w:sz w:val="24"/>
          <w:szCs w:val="24"/>
        </w:rPr>
        <w:t>supra</w:t>
      </w:r>
      <w:r w:rsidR="00683D60" w:rsidRPr="00943504">
        <w:rPr>
          <w:rFonts w:ascii="Times New Roman" w:hAnsi="Times New Roman" w:cs="Times New Roman"/>
          <w:sz w:val="24"/>
          <w:szCs w:val="24"/>
        </w:rPr>
        <w:t xml:space="preserve">, in that they attack the specific findings of the court </w:t>
      </w:r>
      <w:r w:rsidR="00683D60" w:rsidRPr="00943504">
        <w:rPr>
          <w:rFonts w:ascii="Times New Roman" w:hAnsi="Times New Roman" w:cs="Times New Roman"/>
          <w:i/>
          <w:sz w:val="24"/>
          <w:szCs w:val="24"/>
        </w:rPr>
        <w:t>a quo</w:t>
      </w:r>
      <w:r w:rsidR="00683D60" w:rsidRPr="00943504">
        <w:rPr>
          <w:rFonts w:ascii="Times New Roman" w:hAnsi="Times New Roman" w:cs="Times New Roman"/>
          <w:sz w:val="24"/>
          <w:szCs w:val="24"/>
        </w:rPr>
        <w:t xml:space="preserve"> and the basis thereof. In any event, it seems to me that </w:t>
      </w:r>
      <w:r w:rsidR="00861F5B" w:rsidRPr="00943504">
        <w:rPr>
          <w:rFonts w:ascii="Times New Roman" w:hAnsi="Times New Roman" w:cs="Times New Roman"/>
          <w:sz w:val="24"/>
          <w:szCs w:val="24"/>
        </w:rPr>
        <w:t xml:space="preserve">the ground attacking the </w:t>
      </w:r>
      <w:r w:rsidR="00CF5E6B" w:rsidRPr="00943504">
        <w:rPr>
          <w:rFonts w:ascii="Times New Roman" w:hAnsi="Times New Roman" w:cs="Times New Roman"/>
          <w:sz w:val="24"/>
          <w:szCs w:val="24"/>
        </w:rPr>
        <w:t>ruling of law on estoppel</w:t>
      </w:r>
      <w:r w:rsidR="00861F5B" w:rsidRPr="00943504">
        <w:rPr>
          <w:rFonts w:ascii="Times New Roman" w:hAnsi="Times New Roman" w:cs="Times New Roman"/>
          <w:sz w:val="24"/>
          <w:szCs w:val="24"/>
        </w:rPr>
        <w:t xml:space="preserve"> appears</w:t>
      </w:r>
      <w:r w:rsidR="00683D60" w:rsidRPr="00943504">
        <w:rPr>
          <w:rFonts w:ascii="Times New Roman" w:hAnsi="Times New Roman" w:cs="Times New Roman"/>
          <w:sz w:val="24"/>
          <w:szCs w:val="24"/>
        </w:rPr>
        <w:t xml:space="preserve"> to meet the two tier test</w:t>
      </w:r>
      <w:r w:rsidR="00861F5B" w:rsidRPr="00943504">
        <w:rPr>
          <w:rFonts w:ascii="Times New Roman" w:hAnsi="Times New Roman" w:cs="Times New Roman"/>
          <w:sz w:val="24"/>
          <w:szCs w:val="24"/>
        </w:rPr>
        <w:t xml:space="preserve"> propounded in both these cases. It, therefore, constitutes the saving grace of the grounds of appeal. In the premises, I dismiss the fourth preliminary objection.</w:t>
      </w:r>
      <w:r w:rsidR="00683D60" w:rsidRPr="00943504">
        <w:rPr>
          <w:rFonts w:ascii="Times New Roman" w:hAnsi="Times New Roman" w:cs="Times New Roman"/>
          <w:sz w:val="24"/>
          <w:szCs w:val="24"/>
        </w:rPr>
        <w:t xml:space="preserve"> </w:t>
      </w:r>
    </w:p>
    <w:p w14:paraId="217CD1EA" w14:textId="77777777" w:rsidR="005F0989" w:rsidRDefault="005F0989" w:rsidP="00943504">
      <w:pPr>
        <w:spacing w:after="0" w:line="480" w:lineRule="auto"/>
        <w:ind w:firstLine="1134"/>
        <w:jc w:val="both"/>
        <w:rPr>
          <w:rFonts w:ascii="Times New Roman" w:hAnsi="Times New Roman" w:cs="Times New Roman"/>
          <w:sz w:val="24"/>
          <w:szCs w:val="24"/>
        </w:rPr>
      </w:pPr>
    </w:p>
    <w:p w14:paraId="4C8DBAC6" w14:textId="77777777" w:rsidR="00026FDB" w:rsidRPr="00BE264A" w:rsidRDefault="00BE264A" w:rsidP="00943504">
      <w:pPr>
        <w:autoSpaceDE w:val="0"/>
        <w:autoSpaceDN w:val="0"/>
        <w:adjustRightInd w:val="0"/>
        <w:spacing w:after="0" w:line="240" w:lineRule="auto"/>
        <w:jc w:val="both"/>
        <w:rPr>
          <w:rFonts w:ascii="Times New Roman" w:hAnsi="Times New Roman" w:cs="Times New Roman"/>
          <w:b/>
          <w:sz w:val="24"/>
          <w:szCs w:val="24"/>
        </w:rPr>
      </w:pPr>
      <w:r w:rsidRPr="00BE264A">
        <w:rPr>
          <w:rFonts w:ascii="Times New Roman" w:hAnsi="Times New Roman" w:cs="Times New Roman"/>
          <w:b/>
          <w:sz w:val="24"/>
          <w:szCs w:val="24"/>
        </w:rPr>
        <w:t xml:space="preserve">DEFECTIVE DRAFT ORDER </w:t>
      </w:r>
    </w:p>
    <w:p w14:paraId="744323AE" w14:textId="77777777" w:rsidR="00CF5E6B" w:rsidRPr="00943504" w:rsidRDefault="00CF5E6B" w:rsidP="00943504">
      <w:pPr>
        <w:autoSpaceDE w:val="0"/>
        <w:autoSpaceDN w:val="0"/>
        <w:adjustRightInd w:val="0"/>
        <w:spacing w:after="0" w:line="240" w:lineRule="auto"/>
        <w:jc w:val="both"/>
        <w:rPr>
          <w:rFonts w:ascii="Times New Roman" w:hAnsi="Times New Roman" w:cs="Times New Roman"/>
          <w:b/>
          <w:sz w:val="24"/>
          <w:szCs w:val="24"/>
          <w:u w:val="single"/>
        </w:rPr>
      </w:pPr>
    </w:p>
    <w:p w14:paraId="4EBCBDAD" w14:textId="77777777" w:rsidR="001716A6" w:rsidRPr="00943504" w:rsidRDefault="0064500A" w:rsidP="00943504">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Mr </w:t>
      </w:r>
      <w:r w:rsidRPr="00943504">
        <w:rPr>
          <w:rFonts w:ascii="Times New Roman" w:hAnsi="Times New Roman" w:cs="Times New Roman"/>
          <w:i/>
          <w:sz w:val="24"/>
          <w:szCs w:val="24"/>
        </w:rPr>
        <w:t xml:space="preserve">Paul </w:t>
      </w:r>
      <w:r w:rsidRPr="00943504">
        <w:rPr>
          <w:rFonts w:ascii="Times New Roman" w:hAnsi="Times New Roman" w:cs="Times New Roman"/>
          <w:sz w:val="24"/>
          <w:szCs w:val="24"/>
        </w:rPr>
        <w:t>conceded that the draft order to the proposed notice of appeal did not compl</w:t>
      </w:r>
      <w:r w:rsidR="00C62BE8" w:rsidRPr="00943504">
        <w:rPr>
          <w:rFonts w:ascii="Times New Roman" w:hAnsi="Times New Roman" w:cs="Times New Roman"/>
          <w:sz w:val="24"/>
          <w:szCs w:val="24"/>
        </w:rPr>
        <w:t>y with Practice Direction No. 1 of </w:t>
      </w:r>
      <w:r w:rsidRPr="00943504">
        <w:rPr>
          <w:rFonts w:ascii="Times New Roman" w:hAnsi="Times New Roman" w:cs="Times New Roman"/>
          <w:sz w:val="24"/>
          <w:szCs w:val="24"/>
        </w:rPr>
        <w:t xml:space="preserve">2017 in that it did not seek </w:t>
      </w:r>
      <w:r w:rsidR="00632329" w:rsidRPr="00943504">
        <w:rPr>
          <w:rFonts w:ascii="Times New Roman" w:hAnsi="Times New Roman" w:cs="Times New Roman"/>
          <w:sz w:val="24"/>
          <w:szCs w:val="24"/>
        </w:rPr>
        <w:t>condonation for the late noting of the appeal</w:t>
      </w:r>
      <w:r w:rsidRPr="00943504">
        <w:rPr>
          <w:rFonts w:ascii="Times New Roman" w:hAnsi="Times New Roman" w:cs="Times New Roman"/>
          <w:sz w:val="24"/>
          <w:szCs w:val="24"/>
        </w:rPr>
        <w:t xml:space="preserve">. </w:t>
      </w:r>
      <w:r w:rsidR="00632329" w:rsidRPr="00943504">
        <w:rPr>
          <w:rFonts w:ascii="Times New Roman" w:hAnsi="Times New Roman" w:cs="Times New Roman"/>
          <w:sz w:val="24"/>
          <w:szCs w:val="24"/>
        </w:rPr>
        <w:t xml:space="preserve">Mr </w:t>
      </w:r>
      <w:r w:rsidR="00632329" w:rsidRPr="00943504">
        <w:rPr>
          <w:rFonts w:ascii="Times New Roman" w:hAnsi="Times New Roman" w:cs="Times New Roman"/>
          <w:i/>
          <w:sz w:val="24"/>
          <w:szCs w:val="24"/>
        </w:rPr>
        <w:t>Mhlanga</w:t>
      </w:r>
      <w:r w:rsidR="00632329" w:rsidRPr="00943504">
        <w:rPr>
          <w:rFonts w:ascii="Times New Roman" w:hAnsi="Times New Roman" w:cs="Times New Roman"/>
          <w:sz w:val="24"/>
          <w:szCs w:val="24"/>
        </w:rPr>
        <w:t xml:space="preserve"> reluctantly conceded to the production at the hea</w:t>
      </w:r>
      <w:r w:rsidR="001716A6" w:rsidRPr="00943504">
        <w:rPr>
          <w:rFonts w:ascii="Times New Roman" w:hAnsi="Times New Roman" w:cs="Times New Roman"/>
          <w:sz w:val="24"/>
          <w:szCs w:val="24"/>
        </w:rPr>
        <w:t>ring of an amended draft order, which effectively disposed of the</w:t>
      </w:r>
      <w:r w:rsidR="00632329" w:rsidRPr="00943504">
        <w:rPr>
          <w:rFonts w:ascii="Times New Roman" w:hAnsi="Times New Roman" w:cs="Times New Roman"/>
          <w:sz w:val="24"/>
          <w:szCs w:val="24"/>
        </w:rPr>
        <w:t xml:space="preserve"> fifth preliminary point</w:t>
      </w:r>
      <w:r w:rsidR="001716A6" w:rsidRPr="00943504">
        <w:rPr>
          <w:rFonts w:ascii="Times New Roman" w:hAnsi="Times New Roman" w:cs="Times New Roman"/>
          <w:sz w:val="24"/>
          <w:szCs w:val="24"/>
        </w:rPr>
        <w:t>.</w:t>
      </w:r>
    </w:p>
    <w:p w14:paraId="39C56C3E" w14:textId="77777777" w:rsidR="00250C33" w:rsidRDefault="00250C33" w:rsidP="00943504">
      <w:pPr>
        <w:autoSpaceDE w:val="0"/>
        <w:autoSpaceDN w:val="0"/>
        <w:adjustRightInd w:val="0"/>
        <w:spacing w:after="0" w:line="240" w:lineRule="auto"/>
        <w:jc w:val="both"/>
        <w:rPr>
          <w:rFonts w:ascii="Times New Roman" w:hAnsi="Times New Roman" w:cs="Times New Roman"/>
          <w:sz w:val="24"/>
          <w:szCs w:val="24"/>
        </w:rPr>
      </w:pPr>
    </w:p>
    <w:p w14:paraId="65D64A8E" w14:textId="77777777" w:rsidR="00BE264A" w:rsidRPr="00943504" w:rsidRDefault="00BE264A" w:rsidP="00943504">
      <w:pPr>
        <w:autoSpaceDE w:val="0"/>
        <w:autoSpaceDN w:val="0"/>
        <w:adjustRightInd w:val="0"/>
        <w:spacing w:after="0" w:line="240" w:lineRule="auto"/>
        <w:jc w:val="both"/>
        <w:rPr>
          <w:rFonts w:ascii="Times New Roman" w:hAnsi="Times New Roman" w:cs="Times New Roman"/>
          <w:sz w:val="24"/>
          <w:szCs w:val="24"/>
        </w:rPr>
      </w:pPr>
    </w:p>
    <w:p w14:paraId="68F72717" w14:textId="77777777" w:rsidR="001716A6" w:rsidRPr="00BE264A" w:rsidRDefault="00BE264A" w:rsidP="00943504">
      <w:pPr>
        <w:autoSpaceDE w:val="0"/>
        <w:autoSpaceDN w:val="0"/>
        <w:adjustRightInd w:val="0"/>
        <w:spacing w:after="0" w:line="240" w:lineRule="auto"/>
        <w:jc w:val="both"/>
        <w:rPr>
          <w:rFonts w:ascii="Times New Roman" w:hAnsi="Times New Roman" w:cs="Times New Roman"/>
          <w:b/>
          <w:sz w:val="24"/>
          <w:szCs w:val="24"/>
        </w:rPr>
      </w:pPr>
      <w:r w:rsidRPr="00BE264A">
        <w:rPr>
          <w:rFonts w:ascii="Times New Roman" w:hAnsi="Times New Roman" w:cs="Times New Roman"/>
          <w:b/>
          <w:sz w:val="24"/>
          <w:szCs w:val="24"/>
        </w:rPr>
        <w:t>THE MERITS</w:t>
      </w:r>
    </w:p>
    <w:p w14:paraId="6CA380B5" w14:textId="77777777" w:rsidR="00250C33" w:rsidRPr="00943504" w:rsidRDefault="00250C33" w:rsidP="00943504">
      <w:pPr>
        <w:spacing w:after="0" w:line="240" w:lineRule="auto"/>
        <w:jc w:val="both"/>
        <w:rPr>
          <w:rFonts w:ascii="Times New Roman" w:hAnsi="Times New Roman" w:cs="Times New Roman"/>
          <w:sz w:val="24"/>
          <w:szCs w:val="24"/>
        </w:rPr>
      </w:pPr>
    </w:p>
    <w:p w14:paraId="578D9A69" w14:textId="77777777" w:rsidR="00DE1956" w:rsidRPr="00943504" w:rsidRDefault="005C556C"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The </w:t>
      </w:r>
      <w:r w:rsidR="00DE1956" w:rsidRPr="00943504">
        <w:rPr>
          <w:rFonts w:ascii="Times New Roman" w:hAnsi="Times New Roman" w:cs="Times New Roman"/>
          <w:sz w:val="24"/>
          <w:szCs w:val="24"/>
        </w:rPr>
        <w:t xml:space="preserve">broad </w:t>
      </w:r>
      <w:r w:rsidRPr="00943504">
        <w:rPr>
          <w:rFonts w:ascii="Times New Roman" w:hAnsi="Times New Roman" w:cs="Times New Roman"/>
          <w:sz w:val="24"/>
          <w:szCs w:val="24"/>
        </w:rPr>
        <w:t>factors to be taken into account in an application of this nature have been stated in a number of cases and are now well established.  They are the extent of the delay, the reason</w:t>
      </w:r>
      <w:r w:rsidR="000B5A6C" w:rsidRPr="00943504">
        <w:rPr>
          <w:rFonts w:ascii="Times New Roman" w:hAnsi="Times New Roman" w:cs="Times New Roman"/>
          <w:sz w:val="24"/>
          <w:szCs w:val="24"/>
        </w:rPr>
        <w:t>ableness</w:t>
      </w:r>
      <w:r w:rsidRPr="00943504">
        <w:rPr>
          <w:rFonts w:ascii="Times New Roman" w:hAnsi="Times New Roman" w:cs="Times New Roman"/>
          <w:sz w:val="24"/>
          <w:szCs w:val="24"/>
        </w:rPr>
        <w:t xml:space="preserve"> </w:t>
      </w:r>
      <w:r w:rsidR="00A66681" w:rsidRPr="00943504">
        <w:rPr>
          <w:rFonts w:ascii="Times New Roman" w:hAnsi="Times New Roman" w:cs="Times New Roman"/>
          <w:sz w:val="24"/>
          <w:szCs w:val="24"/>
        </w:rPr>
        <w:t xml:space="preserve">of the explanation </w:t>
      </w:r>
      <w:r w:rsidRPr="00943504">
        <w:rPr>
          <w:rFonts w:ascii="Times New Roman" w:hAnsi="Times New Roman" w:cs="Times New Roman"/>
          <w:sz w:val="24"/>
          <w:szCs w:val="24"/>
        </w:rPr>
        <w:t xml:space="preserve">for the delay and prospects of success. </w:t>
      </w:r>
      <w:r w:rsidR="00466260" w:rsidRPr="00943504">
        <w:rPr>
          <w:rFonts w:ascii="Times New Roman" w:hAnsi="Times New Roman" w:cs="Times New Roman"/>
          <w:sz w:val="24"/>
          <w:szCs w:val="24"/>
        </w:rPr>
        <w:t xml:space="preserve">See </w:t>
      </w:r>
      <w:r w:rsidR="00466260" w:rsidRPr="00943504">
        <w:rPr>
          <w:rFonts w:ascii="Times New Roman" w:hAnsi="Times New Roman" w:cs="Times New Roman"/>
          <w:i/>
          <w:sz w:val="24"/>
          <w:szCs w:val="24"/>
        </w:rPr>
        <w:t xml:space="preserve">de Kuszaba-Dabrowski et Uxor v Steel NO </w:t>
      </w:r>
      <w:r w:rsidR="002F6AF1" w:rsidRPr="00943504">
        <w:rPr>
          <w:rFonts w:ascii="Times New Roman" w:hAnsi="Times New Roman" w:cs="Times New Roman"/>
          <w:sz w:val="24"/>
          <w:szCs w:val="24"/>
        </w:rPr>
        <w:t>196</w:t>
      </w:r>
      <w:r w:rsidR="00466260" w:rsidRPr="00943504">
        <w:rPr>
          <w:rFonts w:ascii="Times New Roman" w:hAnsi="Times New Roman" w:cs="Times New Roman"/>
          <w:sz w:val="24"/>
          <w:szCs w:val="24"/>
        </w:rPr>
        <w:t>6 RLR 60 (A)</w:t>
      </w:r>
      <w:r w:rsidR="00466260" w:rsidRPr="00943504">
        <w:rPr>
          <w:rFonts w:ascii="Times New Roman" w:hAnsi="Times New Roman" w:cs="Times New Roman"/>
          <w:i/>
          <w:sz w:val="24"/>
          <w:szCs w:val="24"/>
        </w:rPr>
        <w:t xml:space="preserve"> </w:t>
      </w:r>
      <w:r w:rsidR="00466260" w:rsidRPr="00943504">
        <w:rPr>
          <w:rFonts w:ascii="Times New Roman" w:hAnsi="Times New Roman" w:cs="Times New Roman"/>
          <w:sz w:val="24"/>
          <w:szCs w:val="24"/>
        </w:rPr>
        <w:t>at 62 and 64</w:t>
      </w:r>
      <w:r w:rsidR="00466260" w:rsidRPr="00943504">
        <w:rPr>
          <w:rFonts w:ascii="Times New Roman" w:hAnsi="Times New Roman" w:cs="Times New Roman"/>
          <w:i/>
          <w:sz w:val="24"/>
          <w:szCs w:val="24"/>
        </w:rPr>
        <w:t>;</w:t>
      </w:r>
      <w:r w:rsidR="00466260" w:rsidRPr="00943504">
        <w:rPr>
          <w:rFonts w:ascii="Times New Roman" w:hAnsi="Times New Roman" w:cs="Times New Roman"/>
          <w:sz w:val="24"/>
          <w:szCs w:val="24"/>
        </w:rPr>
        <w:t xml:space="preserve"> 1966 (2) SA 277 </w:t>
      </w:r>
      <w:r w:rsidR="00466260" w:rsidRPr="00943504">
        <w:rPr>
          <w:rFonts w:ascii="Times New Roman" w:hAnsi="Times New Roman" w:cs="Times New Roman"/>
          <w:sz w:val="24"/>
          <w:szCs w:val="24"/>
        </w:rPr>
        <w:lastRenderedPageBreak/>
        <w:t xml:space="preserve">(RA); </w:t>
      </w:r>
      <w:r w:rsidR="00466260" w:rsidRPr="00943504">
        <w:rPr>
          <w:rFonts w:ascii="Times New Roman" w:hAnsi="Times New Roman" w:cs="Times New Roman"/>
          <w:i/>
          <w:sz w:val="24"/>
          <w:szCs w:val="24"/>
        </w:rPr>
        <w:t>HB Farming Estate</w:t>
      </w:r>
      <w:r w:rsidR="00466260" w:rsidRPr="00943504">
        <w:rPr>
          <w:rFonts w:ascii="Times New Roman" w:hAnsi="Times New Roman" w:cs="Times New Roman"/>
          <w:sz w:val="24"/>
          <w:szCs w:val="24"/>
        </w:rPr>
        <w:t xml:space="preserve"> </w:t>
      </w:r>
      <w:r w:rsidR="00466260" w:rsidRPr="00943504">
        <w:rPr>
          <w:rFonts w:ascii="Times New Roman" w:hAnsi="Times New Roman" w:cs="Times New Roman"/>
          <w:i/>
          <w:sz w:val="24"/>
          <w:szCs w:val="24"/>
        </w:rPr>
        <w:t>(Pty) Ltd &amp; Anor v Legal and General Assurance Society</w:t>
      </w:r>
      <w:r w:rsidR="00466260" w:rsidRPr="00943504">
        <w:rPr>
          <w:rFonts w:ascii="Times New Roman" w:hAnsi="Times New Roman" w:cs="Times New Roman"/>
          <w:sz w:val="24"/>
          <w:szCs w:val="24"/>
        </w:rPr>
        <w:t xml:space="preserve"> </w:t>
      </w:r>
      <w:r w:rsidR="00466260" w:rsidRPr="00943504">
        <w:rPr>
          <w:rFonts w:ascii="Times New Roman" w:hAnsi="Times New Roman" w:cs="Times New Roman"/>
          <w:i/>
          <w:sz w:val="24"/>
          <w:szCs w:val="24"/>
        </w:rPr>
        <w:t>Ltd</w:t>
      </w:r>
      <w:r w:rsidR="00466260" w:rsidRPr="00943504">
        <w:rPr>
          <w:rFonts w:ascii="Times New Roman" w:hAnsi="Times New Roman" w:cs="Times New Roman"/>
          <w:sz w:val="24"/>
          <w:szCs w:val="24"/>
        </w:rPr>
        <w:t xml:space="preserve"> 1981 (3) SA 129 (T) at 134A-B; </w:t>
      </w:r>
      <w:r w:rsidR="00466260" w:rsidRPr="00943504">
        <w:rPr>
          <w:rFonts w:ascii="Times New Roman" w:hAnsi="Times New Roman" w:cs="Times New Roman"/>
          <w:i/>
          <w:sz w:val="24"/>
          <w:szCs w:val="24"/>
        </w:rPr>
        <w:t xml:space="preserve">Kombayi v </w:t>
      </w:r>
      <w:r w:rsidR="00516796" w:rsidRPr="00943504">
        <w:rPr>
          <w:rFonts w:ascii="Times New Roman" w:hAnsi="Times New Roman" w:cs="Times New Roman"/>
          <w:i/>
          <w:sz w:val="24"/>
          <w:szCs w:val="24"/>
        </w:rPr>
        <w:t>Berk</w:t>
      </w:r>
      <w:r w:rsidR="00EB077B" w:rsidRPr="00943504">
        <w:rPr>
          <w:rFonts w:ascii="Times New Roman" w:hAnsi="Times New Roman" w:cs="Times New Roman"/>
          <w:i/>
          <w:sz w:val="24"/>
          <w:szCs w:val="24"/>
        </w:rPr>
        <w:t>h</w:t>
      </w:r>
      <w:r w:rsidR="00516796" w:rsidRPr="00943504">
        <w:rPr>
          <w:rFonts w:ascii="Times New Roman" w:hAnsi="Times New Roman" w:cs="Times New Roman"/>
          <w:i/>
          <w:sz w:val="24"/>
          <w:szCs w:val="24"/>
        </w:rPr>
        <w:t>out</w:t>
      </w:r>
      <w:r w:rsidR="00466260" w:rsidRPr="00943504">
        <w:rPr>
          <w:rFonts w:ascii="Times New Roman" w:hAnsi="Times New Roman" w:cs="Times New Roman"/>
          <w:sz w:val="24"/>
          <w:szCs w:val="24"/>
        </w:rPr>
        <w:t xml:space="preserve"> 1988 (1) ZLR 53 (S) 57G-58A</w:t>
      </w:r>
      <w:r w:rsidR="00DE1956" w:rsidRPr="00943504">
        <w:rPr>
          <w:rFonts w:ascii="Times New Roman" w:hAnsi="Times New Roman" w:cs="Times New Roman"/>
          <w:i/>
          <w:sz w:val="24"/>
          <w:szCs w:val="24"/>
        </w:rPr>
        <w:t xml:space="preserve">. </w:t>
      </w:r>
      <w:r w:rsidR="00DE1956" w:rsidRPr="00943504">
        <w:rPr>
          <w:rFonts w:ascii="Times New Roman" w:hAnsi="Times New Roman" w:cs="Times New Roman"/>
          <w:sz w:val="24"/>
          <w:szCs w:val="24"/>
        </w:rPr>
        <w:t xml:space="preserve">Other additional but not exhaustive factors are the importance of the case, the respondent’s interest in the finality of the case, the convenience of the court and the avoidance of unnecessary delays in the administration of justice. See </w:t>
      </w:r>
      <w:r w:rsidR="00DE1956" w:rsidRPr="00943504">
        <w:rPr>
          <w:rFonts w:ascii="Times New Roman" w:hAnsi="Times New Roman" w:cs="Times New Roman"/>
          <w:i/>
          <w:sz w:val="24"/>
          <w:szCs w:val="24"/>
        </w:rPr>
        <w:t>K.M. Auctions (Pvt) Ltd v Adenash Samuel &amp; Anor</w:t>
      </w:r>
      <w:r w:rsidR="00DE1956" w:rsidRPr="00943504">
        <w:rPr>
          <w:rFonts w:ascii="Times New Roman" w:hAnsi="Times New Roman" w:cs="Times New Roman"/>
          <w:sz w:val="24"/>
          <w:szCs w:val="24"/>
        </w:rPr>
        <w:t xml:space="preserve"> SC 15/12</w:t>
      </w:r>
      <w:r w:rsidR="00F326FC" w:rsidRPr="00943504">
        <w:rPr>
          <w:rFonts w:ascii="Times New Roman" w:hAnsi="Times New Roman" w:cs="Times New Roman"/>
          <w:sz w:val="24"/>
          <w:szCs w:val="24"/>
        </w:rPr>
        <w:t xml:space="preserve"> at p 3.</w:t>
      </w:r>
      <w:r w:rsidR="004D2FD3" w:rsidRPr="00943504">
        <w:rPr>
          <w:rFonts w:ascii="Times New Roman" w:hAnsi="Times New Roman" w:cs="Times New Roman"/>
          <w:sz w:val="24"/>
          <w:szCs w:val="24"/>
        </w:rPr>
        <w:t xml:space="preserve"> </w:t>
      </w:r>
      <w:r w:rsidR="004D2FD3" w:rsidRPr="00943504">
        <w:rPr>
          <w:rFonts w:ascii="Times New Roman" w:hAnsi="Times New Roman" w:cs="Times New Roman"/>
          <w:i/>
          <w:sz w:val="24"/>
          <w:szCs w:val="24"/>
        </w:rPr>
        <w:t>Mutizhe v Ganda &amp; Ors</w:t>
      </w:r>
      <w:r w:rsidR="004D2FD3" w:rsidRPr="00943504">
        <w:rPr>
          <w:rFonts w:ascii="Times New Roman" w:hAnsi="Times New Roman" w:cs="Times New Roman"/>
          <w:sz w:val="24"/>
          <w:szCs w:val="24"/>
        </w:rPr>
        <w:t xml:space="preserve"> SC 17/2009 at 7 and </w:t>
      </w:r>
      <w:r w:rsidR="004D2FD3" w:rsidRPr="00943504">
        <w:rPr>
          <w:rFonts w:ascii="Times New Roman" w:hAnsi="Times New Roman" w:cs="Times New Roman"/>
          <w:i/>
          <w:sz w:val="24"/>
          <w:szCs w:val="24"/>
        </w:rPr>
        <w:t>Maheya v Independent African Church</w:t>
      </w:r>
      <w:r w:rsidR="004D2FD3" w:rsidRPr="00943504">
        <w:rPr>
          <w:rFonts w:ascii="Times New Roman" w:hAnsi="Times New Roman" w:cs="Times New Roman"/>
          <w:sz w:val="24"/>
          <w:szCs w:val="24"/>
        </w:rPr>
        <w:t xml:space="preserve"> S-58-07 at p 5.</w:t>
      </w:r>
    </w:p>
    <w:p w14:paraId="6E699551" w14:textId="77777777" w:rsidR="004767B6" w:rsidRDefault="004767B6" w:rsidP="00BE264A">
      <w:pPr>
        <w:spacing w:after="0" w:line="240" w:lineRule="auto"/>
        <w:jc w:val="both"/>
        <w:rPr>
          <w:rFonts w:ascii="Times New Roman" w:hAnsi="Times New Roman" w:cs="Times New Roman"/>
          <w:sz w:val="24"/>
          <w:szCs w:val="24"/>
        </w:rPr>
      </w:pPr>
    </w:p>
    <w:p w14:paraId="63924932" w14:textId="77777777" w:rsidR="00BE264A" w:rsidRPr="00943504" w:rsidRDefault="00BE264A" w:rsidP="00BE264A">
      <w:pPr>
        <w:spacing w:after="0" w:line="240" w:lineRule="auto"/>
        <w:jc w:val="both"/>
        <w:rPr>
          <w:rFonts w:ascii="Times New Roman" w:hAnsi="Times New Roman" w:cs="Times New Roman"/>
          <w:sz w:val="24"/>
          <w:szCs w:val="24"/>
        </w:rPr>
      </w:pPr>
    </w:p>
    <w:p w14:paraId="7E0EFE45" w14:textId="77777777" w:rsidR="005C556C" w:rsidRPr="00BE264A" w:rsidRDefault="00BE264A" w:rsidP="00943504">
      <w:pPr>
        <w:spacing w:after="0" w:line="240" w:lineRule="auto"/>
        <w:jc w:val="both"/>
        <w:rPr>
          <w:rFonts w:ascii="Times New Roman" w:hAnsi="Times New Roman" w:cs="Times New Roman"/>
          <w:b/>
          <w:sz w:val="24"/>
          <w:szCs w:val="24"/>
        </w:rPr>
      </w:pPr>
      <w:r w:rsidRPr="00BE264A">
        <w:rPr>
          <w:rFonts w:ascii="Times New Roman" w:hAnsi="Times New Roman" w:cs="Times New Roman"/>
          <w:b/>
          <w:sz w:val="24"/>
          <w:szCs w:val="24"/>
        </w:rPr>
        <w:t>THE EXTENT OF THE DELAY</w:t>
      </w:r>
    </w:p>
    <w:p w14:paraId="203D879E" w14:textId="77777777" w:rsidR="001772BC" w:rsidRPr="00943504" w:rsidRDefault="001772BC" w:rsidP="00943504">
      <w:pPr>
        <w:spacing w:after="0" w:line="240" w:lineRule="auto"/>
        <w:jc w:val="both"/>
        <w:rPr>
          <w:rFonts w:ascii="Times New Roman" w:hAnsi="Times New Roman" w:cs="Times New Roman"/>
          <w:b/>
          <w:sz w:val="24"/>
          <w:szCs w:val="24"/>
        </w:rPr>
      </w:pPr>
    </w:p>
    <w:p w14:paraId="73887743" w14:textId="77777777" w:rsidR="00E87D54" w:rsidRPr="00943504" w:rsidRDefault="00546776"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In </w:t>
      </w:r>
      <w:r w:rsidR="00BD177B" w:rsidRPr="00943504">
        <w:rPr>
          <w:rFonts w:ascii="Times New Roman" w:hAnsi="Times New Roman" w:cs="Times New Roman"/>
          <w:i/>
          <w:sz w:val="24"/>
          <w:szCs w:val="24"/>
        </w:rPr>
        <w:t xml:space="preserve">Bishop Elson Madoda </w:t>
      </w:r>
      <w:r w:rsidR="00E87D54" w:rsidRPr="00943504">
        <w:rPr>
          <w:rFonts w:ascii="Times New Roman" w:hAnsi="Times New Roman" w:cs="Times New Roman"/>
          <w:i/>
          <w:sz w:val="24"/>
          <w:szCs w:val="24"/>
        </w:rPr>
        <w:t>Jakazi &amp; Anor</w:t>
      </w:r>
      <w:r w:rsidR="00BD177B" w:rsidRPr="00943504">
        <w:rPr>
          <w:rFonts w:ascii="Times New Roman" w:hAnsi="Times New Roman" w:cs="Times New Roman"/>
          <w:i/>
          <w:sz w:val="24"/>
          <w:szCs w:val="24"/>
        </w:rPr>
        <w:t xml:space="preserve"> v The </w:t>
      </w:r>
      <w:r w:rsidR="00E87D54" w:rsidRPr="00943504">
        <w:rPr>
          <w:rFonts w:ascii="Times New Roman" w:hAnsi="Times New Roman" w:cs="Times New Roman"/>
          <w:i/>
          <w:sz w:val="24"/>
          <w:szCs w:val="24"/>
        </w:rPr>
        <w:t>Anglican</w:t>
      </w:r>
      <w:r w:rsidR="00BD177B" w:rsidRPr="00943504">
        <w:rPr>
          <w:rFonts w:ascii="Times New Roman" w:hAnsi="Times New Roman" w:cs="Times New Roman"/>
          <w:i/>
          <w:sz w:val="24"/>
          <w:szCs w:val="24"/>
        </w:rPr>
        <w:t xml:space="preserve"> </w:t>
      </w:r>
      <w:r w:rsidR="00E87D54" w:rsidRPr="00943504">
        <w:rPr>
          <w:rFonts w:ascii="Times New Roman" w:hAnsi="Times New Roman" w:cs="Times New Roman"/>
          <w:i/>
          <w:sz w:val="24"/>
          <w:szCs w:val="24"/>
        </w:rPr>
        <w:t>C</w:t>
      </w:r>
      <w:r w:rsidR="00BD177B" w:rsidRPr="00943504">
        <w:rPr>
          <w:rFonts w:ascii="Times New Roman" w:hAnsi="Times New Roman" w:cs="Times New Roman"/>
          <w:i/>
          <w:sz w:val="24"/>
          <w:szCs w:val="24"/>
        </w:rPr>
        <w:t xml:space="preserve">hurch of the Province </w:t>
      </w:r>
      <w:r w:rsidRPr="00943504">
        <w:rPr>
          <w:rFonts w:ascii="Times New Roman" w:hAnsi="Times New Roman" w:cs="Times New Roman"/>
          <w:i/>
          <w:sz w:val="24"/>
          <w:szCs w:val="24"/>
        </w:rPr>
        <w:t>of</w:t>
      </w:r>
      <w:r w:rsidR="00BD177B" w:rsidRPr="00943504">
        <w:rPr>
          <w:rFonts w:ascii="Times New Roman" w:hAnsi="Times New Roman" w:cs="Times New Roman"/>
          <w:i/>
          <w:sz w:val="24"/>
          <w:szCs w:val="24"/>
        </w:rPr>
        <w:t xml:space="preserve"> Central Africa &amp; Ors </w:t>
      </w:r>
      <w:r w:rsidR="00BD177B" w:rsidRPr="00943504">
        <w:rPr>
          <w:rFonts w:ascii="Times New Roman" w:hAnsi="Times New Roman" w:cs="Times New Roman"/>
          <w:sz w:val="24"/>
          <w:szCs w:val="24"/>
        </w:rPr>
        <w:t>SC10/13</w:t>
      </w:r>
      <w:r w:rsidR="005B5368" w:rsidRPr="00943504">
        <w:rPr>
          <w:rFonts w:ascii="Times New Roman" w:hAnsi="Times New Roman" w:cs="Times New Roman"/>
          <w:sz w:val="24"/>
          <w:szCs w:val="24"/>
        </w:rPr>
        <w:t xml:space="preserve"> at p </w:t>
      </w:r>
      <w:r w:rsidR="00FD3BD7" w:rsidRPr="00943504">
        <w:rPr>
          <w:rFonts w:ascii="Times New Roman" w:hAnsi="Times New Roman" w:cs="Times New Roman"/>
          <w:sz w:val="24"/>
          <w:szCs w:val="24"/>
        </w:rPr>
        <w:t>2</w:t>
      </w:r>
      <w:r w:rsidR="00B26C75" w:rsidRPr="00943504">
        <w:rPr>
          <w:rFonts w:ascii="Times New Roman" w:hAnsi="Times New Roman" w:cs="Times New Roman"/>
          <w:sz w:val="24"/>
          <w:szCs w:val="24"/>
        </w:rPr>
        <w:t xml:space="preserve"> of the cyclostyled judgment</w:t>
      </w:r>
      <w:r w:rsidR="00FD3BD7" w:rsidRPr="00943504">
        <w:rPr>
          <w:rFonts w:ascii="Times New Roman" w:hAnsi="Times New Roman" w:cs="Times New Roman"/>
          <w:sz w:val="24"/>
          <w:szCs w:val="24"/>
        </w:rPr>
        <w:t xml:space="preserve"> </w:t>
      </w:r>
      <w:r w:rsidRPr="00943504">
        <w:rPr>
          <w:rFonts w:ascii="Times New Roman" w:hAnsi="Times New Roman" w:cs="Times New Roman"/>
          <w:sz w:val="24"/>
          <w:szCs w:val="24"/>
        </w:rPr>
        <w:t xml:space="preserve">ZIYAMBI JA </w:t>
      </w:r>
      <w:r w:rsidR="009855F6" w:rsidRPr="00943504">
        <w:rPr>
          <w:rFonts w:ascii="Times New Roman" w:hAnsi="Times New Roman" w:cs="Times New Roman"/>
          <w:sz w:val="24"/>
          <w:szCs w:val="24"/>
        </w:rPr>
        <w:t>held</w:t>
      </w:r>
      <w:r w:rsidR="00B26C75" w:rsidRPr="00943504">
        <w:rPr>
          <w:rFonts w:ascii="Times New Roman" w:hAnsi="Times New Roman" w:cs="Times New Roman"/>
          <w:sz w:val="24"/>
          <w:szCs w:val="24"/>
        </w:rPr>
        <w:t xml:space="preserve"> </w:t>
      </w:r>
      <w:r w:rsidR="009855F6" w:rsidRPr="00943504">
        <w:rPr>
          <w:rFonts w:ascii="Times New Roman" w:hAnsi="Times New Roman" w:cs="Times New Roman"/>
          <w:sz w:val="24"/>
          <w:szCs w:val="24"/>
        </w:rPr>
        <w:t>that</w:t>
      </w:r>
      <w:r w:rsidR="00B26C75" w:rsidRPr="00943504">
        <w:rPr>
          <w:rFonts w:ascii="Times New Roman" w:hAnsi="Times New Roman" w:cs="Times New Roman"/>
          <w:sz w:val="24"/>
          <w:szCs w:val="24"/>
        </w:rPr>
        <w:t>,</w:t>
      </w:r>
      <w:r w:rsidR="009855F6" w:rsidRPr="00943504">
        <w:rPr>
          <w:rFonts w:ascii="Times New Roman" w:hAnsi="Times New Roman" w:cs="Times New Roman"/>
          <w:sz w:val="24"/>
          <w:szCs w:val="24"/>
        </w:rPr>
        <w:t xml:space="preserve"> the delay in filing an application for condonation for non-compliance with the rules was inordinate. In that case the impugned judgment w</w:t>
      </w:r>
      <w:r w:rsidR="00BD177B" w:rsidRPr="00943504">
        <w:rPr>
          <w:rFonts w:ascii="Times New Roman" w:hAnsi="Times New Roman" w:cs="Times New Roman"/>
          <w:sz w:val="24"/>
          <w:szCs w:val="24"/>
        </w:rPr>
        <w:t>as delivered on 19 M</w:t>
      </w:r>
      <w:r w:rsidR="009855F6" w:rsidRPr="00943504">
        <w:rPr>
          <w:rFonts w:ascii="Times New Roman" w:hAnsi="Times New Roman" w:cs="Times New Roman"/>
          <w:sz w:val="24"/>
          <w:szCs w:val="24"/>
        </w:rPr>
        <w:t>ay 2010. Two days later the fatally defective notice of appeal was filed. The appeal was heard on 22 October 2012 and struck off the roll on the ground that the notice of appeal was fatally defective. The appellant thereafter filed an applicatio</w:t>
      </w:r>
      <w:r w:rsidR="003C6221" w:rsidRPr="00943504">
        <w:rPr>
          <w:rFonts w:ascii="Times New Roman" w:hAnsi="Times New Roman" w:cs="Times New Roman"/>
          <w:sz w:val="24"/>
          <w:szCs w:val="24"/>
        </w:rPr>
        <w:t>n for condonation on 1 November </w:t>
      </w:r>
      <w:r w:rsidR="009855F6" w:rsidRPr="00943504">
        <w:rPr>
          <w:rFonts w:ascii="Times New Roman" w:hAnsi="Times New Roman" w:cs="Times New Roman"/>
          <w:sz w:val="24"/>
          <w:szCs w:val="24"/>
        </w:rPr>
        <w:t>2012.</w:t>
      </w:r>
      <w:r w:rsidR="00BD177B" w:rsidRPr="00943504">
        <w:rPr>
          <w:rFonts w:ascii="Times New Roman" w:hAnsi="Times New Roman" w:cs="Times New Roman"/>
          <w:sz w:val="24"/>
          <w:szCs w:val="24"/>
        </w:rPr>
        <w:t xml:space="preserve"> </w:t>
      </w:r>
      <w:r w:rsidR="00B26C75" w:rsidRPr="00943504">
        <w:rPr>
          <w:rFonts w:ascii="Times New Roman" w:hAnsi="Times New Roman" w:cs="Times New Roman"/>
          <w:sz w:val="24"/>
          <w:szCs w:val="24"/>
        </w:rPr>
        <w:t>T</w:t>
      </w:r>
      <w:r w:rsidR="00BD177B" w:rsidRPr="00943504">
        <w:rPr>
          <w:rFonts w:ascii="Times New Roman" w:hAnsi="Times New Roman" w:cs="Times New Roman"/>
          <w:sz w:val="24"/>
          <w:szCs w:val="24"/>
        </w:rPr>
        <w:t xml:space="preserve">he delay for filing condonation </w:t>
      </w:r>
      <w:r w:rsidR="00B26C75" w:rsidRPr="00943504">
        <w:rPr>
          <w:rFonts w:ascii="Times New Roman" w:hAnsi="Times New Roman" w:cs="Times New Roman"/>
          <w:sz w:val="24"/>
          <w:szCs w:val="24"/>
        </w:rPr>
        <w:t xml:space="preserve">was reckoned </w:t>
      </w:r>
      <w:r w:rsidR="00BD177B" w:rsidRPr="00943504">
        <w:rPr>
          <w:rFonts w:ascii="Times New Roman" w:hAnsi="Times New Roman" w:cs="Times New Roman"/>
          <w:sz w:val="24"/>
          <w:szCs w:val="24"/>
        </w:rPr>
        <w:t xml:space="preserve">from the date of the High Court judgment and </w:t>
      </w:r>
      <w:r w:rsidR="00B26C75" w:rsidRPr="00943504">
        <w:rPr>
          <w:rFonts w:ascii="Times New Roman" w:hAnsi="Times New Roman" w:cs="Times New Roman"/>
          <w:sz w:val="24"/>
          <w:szCs w:val="24"/>
        </w:rPr>
        <w:t>adjudged</w:t>
      </w:r>
      <w:r w:rsidR="00BD177B" w:rsidRPr="00943504">
        <w:rPr>
          <w:rFonts w:ascii="Times New Roman" w:hAnsi="Times New Roman" w:cs="Times New Roman"/>
          <w:sz w:val="24"/>
          <w:szCs w:val="24"/>
        </w:rPr>
        <w:t xml:space="preserve"> inordinate. </w:t>
      </w:r>
    </w:p>
    <w:p w14:paraId="55542E63" w14:textId="77777777" w:rsidR="001772BC" w:rsidRPr="00943504" w:rsidRDefault="001772BC" w:rsidP="00943504">
      <w:pPr>
        <w:spacing w:after="0" w:line="480" w:lineRule="auto"/>
        <w:jc w:val="both"/>
        <w:rPr>
          <w:rFonts w:ascii="Times New Roman" w:hAnsi="Times New Roman" w:cs="Times New Roman"/>
          <w:i/>
          <w:sz w:val="24"/>
          <w:szCs w:val="24"/>
        </w:rPr>
      </w:pPr>
    </w:p>
    <w:p w14:paraId="19847F48" w14:textId="77777777" w:rsidR="00102022" w:rsidRPr="00943504" w:rsidRDefault="003C351E"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In the present matter, the</w:t>
      </w:r>
      <w:r w:rsidR="005C556C" w:rsidRPr="00943504">
        <w:rPr>
          <w:rFonts w:ascii="Times New Roman" w:hAnsi="Times New Roman" w:cs="Times New Roman"/>
          <w:sz w:val="24"/>
          <w:szCs w:val="24"/>
        </w:rPr>
        <w:t xml:space="preserve"> judgment appealed again</w:t>
      </w:r>
      <w:r w:rsidR="00BE264A">
        <w:rPr>
          <w:rFonts w:ascii="Times New Roman" w:hAnsi="Times New Roman" w:cs="Times New Roman"/>
          <w:sz w:val="24"/>
          <w:szCs w:val="24"/>
        </w:rPr>
        <w:t>st was delivered on 14 November </w:t>
      </w:r>
      <w:r w:rsidR="005C556C" w:rsidRPr="00943504">
        <w:rPr>
          <w:rFonts w:ascii="Times New Roman" w:hAnsi="Times New Roman" w:cs="Times New Roman"/>
          <w:sz w:val="24"/>
          <w:szCs w:val="24"/>
        </w:rPr>
        <w:t>2018</w:t>
      </w:r>
      <w:r w:rsidR="00033BC1" w:rsidRPr="00943504">
        <w:rPr>
          <w:rFonts w:ascii="Times New Roman" w:hAnsi="Times New Roman" w:cs="Times New Roman"/>
          <w:sz w:val="24"/>
          <w:szCs w:val="24"/>
        </w:rPr>
        <w:t>. The initial notice of appeal, which was found to be fatally defective</w:t>
      </w:r>
      <w:r w:rsidR="00691520" w:rsidRPr="00943504">
        <w:rPr>
          <w:rFonts w:ascii="Times New Roman" w:hAnsi="Times New Roman" w:cs="Times New Roman"/>
          <w:sz w:val="24"/>
          <w:szCs w:val="24"/>
        </w:rPr>
        <w:t xml:space="preserve"> on appeal, </w:t>
      </w:r>
      <w:r w:rsidR="00033BC1" w:rsidRPr="00943504">
        <w:rPr>
          <w:rFonts w:ascii="Times New Roman" w:hAnsi="Times New Roman" w:cs="Times New Roman"/>
          <w:sz w:val="24"/>
          <w:szCs w:val="24"/>
        </w:rPr>
        <w:t xml:space="preserve">was filed timeously on 28 November 2018. </w:t>
      </w:r>
      <w:r w:rsidR="007E6544" w:rsidRPr="00943504">
        <w:rPr>
          <w:rFonts w:ascii="Times New Roman" w:hAnsi="Times New Roman" w:cs="Times New Roman"/>
          <w:sz w:val="24"/>
          <w:szCs w:val="24"/>
        </w:rPr>
        <w:t>The appeal was heard on 30 June </w:t>
      </w:r>
      <w:r w:rsidR="00691520" w:rsidRPr="00943504">
        <w:rPr>
          <w:rFonts w:ascii="Times New Roman" w:hAnsi="Times New Roman" w:cs="Times New Roman"/>
          <w:sz w:val="24"/>
          <w:szCs w:val="24"/>
        </w:rPr>
        <w:t xml:space="preserve">2019 and struck off the roll on 24 October 2019 by reason of the defective notice. </w:t>
      </w:r>
      <w:r w:rsidRPr="00943504">
        <w:rPr>
          <w:rFonts w:ascii="Times New Roman" w:hAnsi="Times New Roman" w:cs="Times New Roman"/>
          <w:sz w:val="24"/>
          <w:szCs w:val="24"/>
        </w:rPr>
        <w:t>The present application was filed on 21 November 2019, and prosecuted in October 2020.</w:t>
      </w:r>
      <w:r w:rsidR="00033BC1" w:rsidRPr="00943504">
        <w:rPr>
          <w:rFonts w:ascii="Times New Roman" w:hAnsi="Times New Roman" w:cs="Times New Roman"/>
          <w:sz w:val="24"/>
          <w:szCs w:val="24"/>
        </w:rPr>
        <w:t xml:space="preserve"> </w:t>
      </w:r>
      <w:r w:rsidRPr="00943504">
        <w:rPr>
          <w:rFonts w:ascii="Times New Roman" w:hAnsi="Times New Roman" w:cs="Times New Roman"/>
          <w:sz w:val="24"/>
          <w:szCs w:val="24"/>
        </w:rPr>
        <w:t xml:space="preserve">On the </w:t>
      </w:r>
      <w:r w:rsidRPr="00943504">
        <w:rPr>
          <w:rFonts w:ascii="Times New Roman" w:hAnsi="Times New Roman" w:cs="Times New Roman"/>
          <w:sz w:val="24"/>
          <w:szCs w:val="24"/>
        </w:rPr>
        <w:lastRenderedPageBreak/>
        <w:t xml:space="preserve">authority of the </w:t>
      </w:r>
      <w:r w:rsidR="00A05E56" w:rsidRPr="00943504">
        <w:rPr>
          <w:rFonts w:ascii="Times New Roman" w:hAnsi="Times New Roman" w:cs="Times New Roman"/>
          <w:sz w:val="24"/>
          <w:szCs w:val="24"/>
        </w:rPr>
        <w:t xml:space="preserve">analogous </w:t>
      </w:r>
      <w:r w:rsidRPr="00943504">
        <w:rPr>
          <w:rFonts w:ascii="Times New Roman" w:hAnsi="Times New Roman" w:cs="Times New Roman"/>
          <w:i/>
          <w:sz w:val="24"/>
          <w:szCs w:val="24"/>
        </w:rPr>
        <w:t>Bishop Jakazi</w:t>
      </w:r>
      <w:r w:rsidRPr="00943504">
        <w:rPr>
          <w:rFonts w:ascii="Times New Roman" w:hAnsi="Times New Roman" w:cs="Times New Roman"/>
          <w:sz w:val="24"/>
          <w:szCs w:val="24"/>
        </w:rPr>
        <w:t xml:space="preserve"> case, </w:t>
      </w:r>
      <w:r w:rsidRPr="00943504">
        <w:rPr>
          <w:rFonts w:ascii="Times New Roman" w:hAnsi="Times New Roman" w:cs="Times New Roman"/>
          <w:i/>
          <w:sz w:val="24"/>
          <w:szCs w:val="24"/>
        </w:rPr>
        <w:t>supra</w:t>
      </w:r>
      <w:r w:rsidRPr="00943504">
        <w:rPr>
          <w:rFonts w:ascii="Times New Roman" w:hAnsi="Times New Roman" w:cs="Times New Roman"/>
          <w:sz w:val="24"/>
          <w:szCs w:val="24"/>
        </w:rPr>
        <w:t>, I find that the delay in filing the present application was inordinate.</w:t>
      </w:r>
    </w:p>
    <w:p w14:paraId="0B13B58A" w14:textId="77777777" w:rsidR="00DB54D7" w:rsidRDefault="00DB54D7" w:rsidP="00943504">
      <w:pPr>
        <w:spacing w:after="0" w:line="240" w:lineRule="auto"/>
        <w:jc w:val="both"/>
        <w:rPr>
          <w:rFonts w:ascii="Times New Roman" w:hAnsi="Times New Roman" w:cs="Times New Roman"/>
          <w:i/>
          <w:sz w:val="24"/>
          <w:szCs w:val="24"/>
        </w:rPr>
      </w:pPr>
    </w:p>
    <w:p w14:paraId="0E283472" w14:textId="77777777" w:rsidR="00BE264A" w:rsidRPr="00943504" w:rsidRDefault="00BE264A" w:rsidP="00943504">
      <w:pPr>
        <w:spacing w:after="0" w:line="240" w:lineRule="auto"/>
        <w:jc w:val="both"/>
        <w:rPr>
          <w:rFonts w:ascii="Times New Roman" w:hAnsi="Times New Roman" w:cs="Times New Roman"/>
          <w:i/>
          <w:sz w:val="24"/>
          <w:szCs w:val="24"/>
        </w:rPr>
      </w:pPr>
    </w:p>
    <w:p w14:paraId="3770AD91" w14:textId="77777777" w:rsidR="00102022" w:rsidRPr="00BE264A" w:rsidRDefault="00BE264A" w:rsidP="00943504">
      <w:pPr>
        <w:spacing w:after="0" w:line="240" w:lineRule="auto"/>
        <w:jc w:val="both"/>
        <w:rPr>
          <w:rFonts w:ascii="Times New Roman" w:hAnsi="Times New Roman" w:cs="Times New Roman"/>
          <w:b/>
          <w:i/>
          <w:sz w:val="24"/>
          <w:szCs w:val="24"/>
        </w:rPr>
      </w:pPr>
      <w:r w:rsidRPr="00BE264A">
        <w:rPr>
          <w:rFonts w:ascii="Times New Roman" w:hAnsi="Times New Roman" w:cs="Times New Roman"/>
          <w:b/>
          <w:sz w:val="24"/>
          <w:szCs w:val="24"/>
        </w:rPr>
        <w:t>THE REASONABLENESS OF THE EXPLANATION FOR THE DELAY</w:t>
      </w:r>
      <w:r w:rsidRPr="00BE264A">
        <w:rPr>
          <w:rFonts w:ascii="Times New Roman" w:hAnsi="Times New Roman" w:cs="Times New Roman"/>
          <w:b/>
          <w:i/>
          <w:sz w:val="24"/>
          <w:szCs w:val="24"/>
        </w:rPr>
        <w:t xml:space="preserve">. </w:t>
      </w:r>
    </w:p>
    <w:p w14:paraId="78BF5755" w14:textId="77777777" w:rsidR="00102022" w:rsidRPr="00943504" w:rsidRDefault="00102022" w:rsidP="00BE264A">
      <w:pPr>
        <w:spacing w:after="0" w:line="240" w:lineRule="auto"/>
        <w:jc w:val="both"/>
        <w:rPr>
          <w:rFonts w:ascii="Times New Roman" w:hAnsi="Times New Roman" w:cs="Times New Roman"/>
          <w:sz w:val="24"/>
          <w:szCs w:val="24"/>
        </w:rPr>
      </w:pPr>
    </w:p>
    <w:p w14:paraId="5F8658E7" w14:textId="77777777" w:rsidR="00052119" w:rsidRPr="00943504" w:rsidRDefault="00C94302"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The applicant is required to</w:t>
      </w:r>
      <w:r w:rsidR="00D274B6" w:rsidRPr="00943504">
        <w:rPr>
          <w:rFonts w:ascii="Times New Roman" w:hAnsi="Times New Roman" w:cs="Times New Roman"/>
          <w:sz w:val="24"/>
          <w:szCs w:val="24"/>
        </w:rPr>
        <w:t xml:space="preserve"> state in her founding affidavit the reasons for the delay. This</w:t>
      </w:r>
      <w:r w:rsidRPr="00943504">
        <w:rPr>
          <w:rFonts w:ascii="Times New Roman" w:hAnsi="Times New Roman" w:cs="Times New Roman"/>
          <w:sz w:val="24"/>
          <w:szCs w:val="24"/>
        </w:rPr>
        <w:t xml:space="preserve"> is</w:t>
      </w:r>
      <w:r w:rsidR="00D274B6" w:rsidRPr="00943504">
        <w:rPr>
          <w:rFonts w:ascii="Times New Roman" w:hAnsi="Times New Roman" w:cs="Times New Roman"/>
          <w:sz w:val="24"/>
          <w:szCs w:val="24"/>
        </w:rPr>
        <w:t xml:space="preserve"> because her application stands or falls on the averments deposed </w:t>
      </w:r>
      <w:r w:rsidR="00AB1757" w:rsidRPr="00943504">
        <w:rPr>
          <w:rFonts w:ascii="Times New Roman" w:hAnsi="Times New Roman" w:cs="Times New Roman"/>
          <w:sz w:val="24"/>
          <w:szCs w:val="24"/>
        </w:rPr>
        <w:t xml:space="preserve">to </w:t>
      </w:r>
      <w:r w:rsidR="00D274B6" w:rsidRPr="00943504">
        <w:rPr>
          <w:rFonts w:ascii="Times New Roman" w:hAnsi="Times New Roman" w:cs="Times New Roman"/>
          <w:sz w:val="24"/>
          <w:szCs w:val="24"/>
        </w:rPr>
        <w:t xml:space="preserve">in </w:t>
      </w:r>
      <w:r w:rsidR="00FB5DE8" w:rsidRPr="00943504">
        <w:rPr>
          <w:rFonts w:ascii="Times New Roman" w:hAnsi="Times New Roman" w:cs="Times New Roman"/>
          <w:sz w:val="24"/>
          <w:szCs w:val="24"/>
        </w:rPr>
        <w:t>the founding affidavit.</w:t>
      </w:r>
      <w:r w:rsidR="00A51100" w:rsidRPr="00943504">
        <w:rPr>
          <w:rFonts w:ascii="Times New Roman" w:hAnsi="Times New Roman" w:cs="Times New Roman"/>
          <w:sz w:val="24"/>
          <w:szCs w:val="24"/>
        </w:rPr>
        <w:t xml:space="preserve"> </w:t>
      </w:r>
      <w:r w:rsidR="00F630C5" w:rsidRPr="00943504">
        <w:rPr>
          <w:rFonts w:ascii="Times New Roman" w:hAnsi="Times New Roman" w:cs="Times New Roman"/>
          <w:sz w:val="24"/>
          <w:szCs w:val="24"/>
        </w:rPr>
        <w:t xml:space="preserve">See </w:t>
      </w:r>
      <w:r w:rsidR="00F630C5" w:rsidRPr="00943504">
        <w:rPr>
          <w:rFonts w:ascii="Times New Roman" w:hAnsi="Times New Roman" w:cs="Times New Roman"/>
          <w:i/>
          <w:sz w:val="24"/>
          <w:szCs w:val="24"/>
        </w:rPr>
        <w:t xml:space="preserve">Fuyana v Moyo </w:t>
      </w:r>
      <w:r w:rsidR="00F630C5" w:rsidRPr="00943504">
        <w:rPr>
          <w:rFonts w:ascii="Times New Roman" w:hAnsi="Times New Roman" w:cs="Times New Roman"/>
          <w:sz w:val="24"/>
          <w:szCs w:val="24"/>
        </w:rPr>
        <w:t>SC 54/2006 at p 10.</w:t>
      </w:r>
      <w:r w:rsidR="00FB5DE8" w:rsidRPr="00943504">
        <w:rPr>
          <w:rFonts w:ascii="Times New Roman" w:hAnsi="Times New Roman" w:cs="Times New Roman"/>
          <w:sz w:val="24"/>
          <w:szCs w:val="24"/>
        </w:rPr>
        <w:t xml:space="preserve"> The applicant should not expect the court to ferret in cross reference files or to surmise from the circumstances of the case what the reasons for the delay are. This is for the simple reas</w:t>
      </w:r>
      <w:r w:rsidR="00AD646E" w:rsidRPr="00943504">
        <w:rPr>
          <w:rFonts w:ascii="Times New Roman" w:hAnsi="Times New Roman" w:cs="Times New Roman"/>
          <w:sz w:val="24"/>
          <w:szCs w:val="24"/>
        </w:rPr>
        <w:t xml:space="preserve">on that it is not the duty of the court to make up a case for a litigant but for litigant to </w:t>
      </w:r>
      <w:r w:rsidRPr="00943504">
        <w:rPr>
          <w:rFonts w:ascii="Times New Roman" w:hAnsi="Times New Roman" w:cs="Times New Roman"/>
          <w:sz w:val="24"/>
          <w:szCs w:val="24"/>
        </w:rPr>
        <w:t>m</w:t>
      </w:r>
      <w:r w:rsidR="00AB1757" w:rsidRPr="00943504">
        <w:rPr>
          <w:rFonts w:ascii="Times New Roman" w:hAnsi="Times New Roman" w:cs="Times New Roman"/>
          <w:sz w:val="24"/>
          <w:szCs w:val="24"/>
        </w:rPr>
        <w:t>ake out her case and</w:t>
      </w:r>
      <w:r w:rsidRPr="00943504">
        <w:rPr>
          <w:rFonts w:ascii="Times New Roman" w:hAnsi="Times New Roman" w:cs="Times New Roman"/>
          <w:sz w:val="24"/>
          <w:szCs w:val="24"/>
        </w:rPr>
        <w:t xml:space="preserve"> </w:t>
      </w:r>
      <w:r w:rsidR="00AD646E" w:rsidRPr="00943504">
        <w:rPr>
          <w:rFonts w:ascii="Times New Roman" w:hAnsi="Times New Roman" w:cs="Times New Roman"/>
          <w:sz w:val="24"/>
          <w:szCs w:val="24"/>
        </w:rPr>
        <w:t>persuade the court on the propriety of granting the indulgence sought.</w:t>
      </w:r>
      <w:r w:rsidR="00FB5DE8" w:rsidRPr="00943504">
        <w:rPr>
          <w:rFonts w:ascii="Times New Roman" w:hAnsi="Times New Roman" w:cs="Times New Roman"/>
          <w:sz w:val="24"/>
          <w:szCs w:val="24"/>
        </w:rPr>
        <w:t xml:space="preserve"> </w:t>
      </w:r>
      <w:r w:rsidRPr="00943504">
        <w:rPr>
          <w:rFonts w:ascii="Times New Roman" w:hAnsi="Times New Roman" w:cs="Times New Roman"/>
          <w:sz w:val="24"/>
          <w:szCs w:val="24"/>
        </w:rPr>
        <w:t>This position is affirmed by UCHENA JA i</w:t>
      </w:r>
      <w:r w:rsidR="00052119" w:rsidRPr="00943504">
        <w:rPr>
          <w:rFonts w:ascii="Times New Roman" w:hAnsi="Times New Roman" w:cs="Times New Roman"/>
          <w:sz w:val="24"/>
          <w:szCs w:val="24"/>
        </w:rPr>
        <w:t xml:space="preserve">n </w:t>
      </w:r>
      <w:r w:rsidR="00052119" w:rsidRPr="00943504">
        <w:rPr>
          <w:rFonts w:ascii="Times New Roman" w:hAnsi="Times New Roman" w:cs="Times New Roman"/>
          <w:i/>
          <w:sz w:val="24"/>
          <w:szCs w:val="24"/>
        </w:rPr>
        <w:t>Nzara &amp; Ors v Kashumba &amp; Ors</w:t>
      </w:r>
      <w:r w:rsidR="00052119" w:rsidRPr="00943504">
        <w:rPr>
          <w:rFonts w:ascii="Times New Roman" w:hAnsi="Times New Roman" w:cs="Times New Roman"/>
          <w:sz w:val="24"/>
          <w:szCs w:val="24"/>
        </w:rPr>
        <w:t xml:space="preserve"> SC 18/18</w:t>
      </w:r>
      <w:r w:rsidR="00D7718B" w:rsidRPr="00943504">
        <w:rPr>
          <w:rFonts w:ascii="Times New Roman" w:hAnsi="Times New Roman" w:cs="Times New Roman"/>
          <w:sz w:val="24"/>
          <w:szCs w:val="24"/>
        </w:rPr>
        <w:t xml:space="preserve"> at p. 15</w:t>
      </w:r>
      <w:r w:rsidRPr="00943504">
        <w:rPr>
          <w:rFonts w:ascii="Times New Roman" w:hAnsi="Times New Roman" w:cs="Times New Roman"/>
          <w:sz w:val="24"/>
          <w:szCs w:val="24"/>
        </w:rPr>
        <w:t xml:space="preserve"> th</w:t>
      </w:r>
      <w:r w:rsidR="00275028" w:rsidRPr="00943504">
        <w:rPr>
          <w:rFonts w:ascii="Times New Roman" w:hAnsi="Times New Roman" w:cs="Times New Roman"/>
          <w:sz w:val="24"/>
          <w:szCs w:val="24"/>
        </w:rPr>
        <w:t>ese words</w:t>
      </w:r>
      <w:r w:rsidR="00052119" w:rsidRPr="00943504">
        <w:rPr>
          <w:rFonts w:ascii="Times New Roman" w:hAnsi="Times New Roman" w:cs="Times New Roman"/>
          <w:sz w:val="24"/>
          <w:szCs w:val="24"/>
        </w:rPr>
        <w:t>:</w:t>
      </w:r>
    </w:p>
    <w:p w14:paraId="400D8E07" w14:textId="77777777" w:rsidR="00052119" w:rsidRPr="00943504" w:rsidRDefault="00052119" w:rsidP="00BE264A">
      <w:pPr>
        <w:spacing w:after="0"/>
        <w:ind w:left="567"/>
        <w:jc w:val="both"/>
        <w:rPr>
          <w:rFonts w:ascii="Times New Roman" w:hAnsi="Times New Roman" w:cs="Times New Roman"/>
          <w:sz w:val="24"/>
          <w:szCs w:val="24"/>
          <w:u w:val="single"/>
        </w:rPr>
      </w:pPr>
      <w:r w:rsidRPr="00943504">
        <w:rPr>
          <w:rFonts w:ascii="Times New Roman" w:hAnsi="Times New Roman" w:cs="Times New Roman"/>
          <w:sz w:val="24"/>
          <w:szCs w:val="24"/>
        </w:rPr>
        <w:t xml:space="preserve">“A court is not </w:t>
      </w:r>
      <w:r w:rsidR="00C94302" w:rsidRPr="00943504">
        <w:rPr>
          <w:rFonts w:ascii="Times New Roman" w:hAnsi="Times New Roman" w:cs="Times New Roman"/>
          <w:sz w:val="24"/>
          <w:szCs w:val="24"/>
        </w:rPr>
        <w:t>entitled to determine a dispute</w:t>
      </w:r>
      <w:r w:rsidRPr="00943504">
        <w:rPr>
          <w:rFonts w:ascii="Times New Roman" w:hAnsi="Times New Roman" w:cs="Times New Roman"/>
          <w:sz w:val="24"/>
          <w:szCs w:val="24"/>
        </w:rPr>
        <w:t xml:space="preserve"> placed before it wholly based on its own discretion, which is not supported by the issues and facts of the case. </w:t>
      </w:r>
      <w:r w:rsidRPr="00943504">
        <w:rPr>
          <w:rFonts w:ascii="Times New Roman" w:hAnsi="Times New Roman" w:cs="Times New Roman"/>
          <w:sz w:val="24"/>
          <w:szCs w:val="24"/>
          <w:u w:val="single"/>
        </w:rPr>
        <w:t>It is required to apply the law to the facts and issues placed before it by the parties.”</w:t>
      </w:r>
      <w:r w:rsidR="00C94302" w:rsidRPr="00943504">
        <w:rPr>
          <w:rFonts w:ascii="Times New Roman" w:hAnsi="Times New Roman" w:cs="Times New Roman"/>
          <w:sz w:val="24"/>
          <w:szCs w:val="24"/>
          <w:u w:val="single"/>
        </w:rPr>
        <w:t xml:space="preserve"> (My emphasis)</w:t>
      </w:r>
    </w:p>
    <w:p w14:paraId="630E82E6" w14:textId="77777777" w:rsidR="0077694C" w:rsidRPr="00943504" w:rsidRDefault="0077694C" w:rsidP="00943504">
      <w:pPr>
        <w:spacing w:after="0"/>
        <w:ind w:left="720"/>
        <w:jc w:val="both"/>
        <w:rPr>
          <w:rFonts w:ascii="Times New Roman" w:hAnsi="Times New Roman" w:cs="Times New Roman"/>
          <w:sz w:val="24"/>
          <w:szCs w:val="24"/>
          <w:u w:val="single"/>
        </w:rPr>
      </w:pPr>
    </w:p>
    <w:p w14:paraId="3EC0A206" w14:textId="77777777" w:rsidR="00CD5702" w:rsidRDefault="00CD5702" w:rsidP="00943504">
      <w:pPr>
        <w:spacing w:after="0"/>
        <w:ind w:left="720"/>
        <w:jc w:val="both"/>
        <w:rPr>
          <w:rFonts w:ascii="Times New Roman" w:hAnsi="Times New Roman" w:cs="Times New Roman"/>
          <w:sz w:val="24"/>
          <w:szCs w:val="24"/>
          <w:u w:val="single"/>
        </w:rPr>
      </w:pPr>
    </w:p>
    <w:p w14:paraId="7F148C4E" w14:textId="77777777" w:rsidR="00BE264A" w:rsidRPr="00943504" w:rsidRDefault="00BE264A" w:rsidP="00BE264A">
      <w:pPr>
        <w:spacing w:after="0" w:line="240" w:lineRule="auto"/>
        <w:ind w:left="720"/>
        <w:jc w:val="both"/>
        <w:rPr>
          <w:rFonts w:ascii="Times New Roman" w:hAnsi="Times New Roman" w:cs="Times New Roman"/>
          <w:sz w:val="24"/>
          <w:szCs w:val="24"/>
          <w:u w:val="single"/>
        </w:rPr>
      </w:pPr>
    </w:p>
    <w:p w14:paraId="52577B27" w14:textId="77777777" w:rsidR="00C47EBF" w:rsidRPr="00943504" w:rsidRDefault="00C47EBF" w:rsidP="00943504">
      <w:pPr>
        <w:pStyle w:val="ListParagraph"/>
        <w:spacing w:after="0" w:line="480" w:lineRule="auto"/>
        <w:ind w:left="0"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See also </w:t>
      </w:r>
      <w:r w:rsidRPr="00943504">
        <w:rPr>
          <w:rFonts w:ascii="Times New Roman" w:hAnsi="Times New Roman" w:cs="Times New Roman"/>
          <w:i/>
          <w:sz w:val="24"/>
          <w:szCs w:val="24"/>
        </w:rPr>
        <w:t>Kauesa v Minister</w:t>
      </w:r>
      <w:r w:rsidRPr="00943504">
        <w:rPr>
          <w:rFonts w:ascii="Times New Roman" w:hAnsi="Times New Roman" w:cs="Times New Roman"/>
          <w:sz w:val="24"/>
          <w:szCs w:val="24"/>
        </w:rPr>
        <w:t xml:space="preserve"> </w:t>
      </w:r>
      <w:r w:rsidRPr="00943504">
        <w:rPr>
          <w:rFonts w:ascii="Times New Roman" w:hAnsi="Times New Roman" w:cs="Times New Roman"/>
          <w:i/>
          <w:sz w:val="24"/>
          <w:szCs w:val="24"/>
        </w:rPr>
        <w:t>of Home Affairs and Others</w:t>
      </w:r>
      <w:r w:rsidRPr="00943504">
        <w:rPr>
          <w:rFonts w:ascii="Times New Roman" w:hAnsi="Times New Roman" w:cs="Times New Roman"/>
          <w:sz w:val="24"/>
          <w:szCs w:val="24"/>
        </w:rPr>
        <w:t xml:space="preserve"> 1996 (4) 965 (NmS</w:t>
      </w:r>
      <w:r w:rsidR="009A5201" w:rsidRPr="00943504">
        <w:rPr>
          <w:rFonts w:ascii="Times New Roman" w:hAnsi="Times New Roman" w:cs="Times New Roman"/>
          <w:sz w:val="24"/>
          <w:szCs w:val="24"/>
        </w:rPr>
        <w:t>)</w:t>
      </w:r>
      <w:r w:rsidRPr="00943504">
        <w:rPr>
          <w:rFonts w:ascii="Times New Roman" w:hAnsi="Times New Roman" w:cs="Times New Roman"/>
          <w:sz w:val="24"/>
          <w:szCs w:val="24"/>
        </w:rPr>
        <w:t xml:space="preserve"> at 973H to 974</w:t>
      </w:r>
      <w:r w:rsidR="009A5201" w:rsidRPr="00943504">
        <w:rPr>
          <w:rFonts w:ascii="Times New Roman" w:hAnsi="Times New Roman" w:cs="Times New Roman"/>
          <w:sz w:val="24"/>
          <w:szCs w:val="24"/>
        </w:rPr>
        <w:t>.</w:t>
      </w:r>
    </w:p>
    <w:p w14:paraId="011C79E3" w14:textId="77777777" w:rsidR="00CD5702" w:rsidRPr="00943504" w:rsidRDefault="00CD5702" w:rsidP="00BE264A">
      <w:pPr>
        <w:pStyle w:val="ListParagraph"/>
        <w:spacing w:after="0" w:line="240" w:lineRule="auto"/>
        <w:ind w:left="0"/>
        <w:jc w:val="both"/>
        <w:rPr>
          <w:rFonts w:ascii="Times New Roman" w:hAnsi="Times New Roman" w:cs="Times New Roman"/>
          <w:sz w:val="24"/>
          <w:szCs w:val="24"/>
        </w:rPr>
      </w:pPr>
    </w:p>
    <w:p w14:paraId="3C7CB076" w14:textId="77777777" w:rsidR="00E4094F" w:rsidRPr="00943504" w:rsidRDefault="00FB5DE8" w:rsidP="00943504">
      <w:pPr>
        <w:spacing w:after="0" w:line="480" w:lineRule="auto"/>
        <w:ind w:firstLine="993"/>
        <w:jc w:val="both"/>
        <w:rPr>
          <w:rFonts w:ascii="Times New Roman" w:hAnsi="Times New Roman" w:cs="Times New Roman"/>
          <w:sz w:val="24"/>
          <w:szCs w:val="24"/>
        </w:rPr>
      </w:pPr>
      <w:r w:rsidRPr="00943504">
        <w:rPr>
          <w:rFonts w:ascii="Times New Roman" w:hAnsi="Times New Roman" w:cs="Times New Roman"/>
          <w:sz w:val="24"/>
          <w:szCs w:val="24"/>
        </w:rPr>
        <w:t xml:space="preserve">In the present application, despite the intimate and active involvement of Mr </w:t>
      </w:r>
      <w:r w:rsidRPr="00943504">
        <w:rPr>
          <w:rFonts w:ascii="Times New Roman" w:hAnsi="Times New Roman" w:cs="Times New Roman"/>
          <w:i/>
          <w:sz w:val="24"/>
          <w:szCs w:val="24"/>
        </w:rPr>
        <w:t>Paul</w:t>
      </w:r>
      <w:r w:rsidRPr="00943504">
        <w:rPr>
          <w:rFonts w:ascii="Times New Roman" w:hAnsi="Times New Roman" w:cs="Times New Roman"/>
          <w:sz w:val="24"/>
          <w:szCs w:val="24"/>
        </w:rPr>
        <w:t xml:space="preserve"> in this case and the existence of all the relevant information in the cross reference files pertaining to this matter, Mr </w:t>
      </w:r>
      <w:r w:rsidRPr="00943504">
        <w:rPr>
          <w:rFonts w:ascii="Times New Roman" w:hAnsi="Times New Roman" w:cs="Times New Roman"/>
          <w:i/>
          <w:sz w:val="24"/>
          <w:szCs w:val="24"/>
        </w:rPr>
        <w:t>Paul</w:t>
      </w:r>
      <w:r w:rsidRPr="00943504">
        <w:rPr>
          <w:rFonts w:ascii="Times New Roman" w:hAnsi="Times New Roman" w:cs="Times New Roman"/>
          <w:sz w:val="24"/>
          <w:szCs w:val="24"/>
        </w:rPr>
        <w:t xml:space="preserve">, as the deponent to the founding affidavit, did not proffer any explanation for the delay in </w:t>
      </w:r>
      <w:r w:rsidR="00275028" w:rsidRPr="00943504">
        <w:rPr>
          <w:rFonts w:ascii="Times New Roman" w:hAnsi="Times New Roman" w:cs="Times New Roman"/>
          <w:sz w:val="24"/>
          <w:szCs w:val="24"/>
        </w:rPr>
        <w:t>noting the appeal,</w:t>
      </w:r>
      <w:r w:rsidR="00C64D7B" w:rsidRPr="00943504">
        <w:rPr>
          <w:rFonts w:ascii="Times New Roman" w:hAnsi="Times New Roman" w:cs="Times New Roman"/>
          <w:sz w:val="24"/>
          <w:szCs w:val="24"/>
        </w:rPr>
        <w:t xml:space="preserve"> seeking condonation and </w:t>
      </w:r>
      <w:r w:rsidRPr="00943504">
        <w:rPr>
          <w:rFonts w:ascii="Times New Roman" w:hAnsi="Times New Roman" w:cs="Times New Roman"/>
          <w:sz w:val="24"/>
          <w:szCs w:val="24"/>
        </w:rPr>
        <w:t>prosecuting th</w:t>
      </w:r>
      <w:r w:rsidR="00C64D7B" w:rsidRPr="00943504">
        <w:rPr>
          <w:rFonts w:ascii="Times New Roman" w:hAnsi="Times New Roman" w:cs="Times New Roman"/>
          <w:sz w:val="24"/>
          <w:szCs w:val="24"/>
        </w:rPr>
        <w:t>is</w:t>
      </w:r>
      <w:r w:rsidRPr="00943504">
        <w:rPr>
          <w:rFonts w:ascii="Times New Roman" w:hAnsi="Times New Roman" w:cs="Times New Roman"/>
          <w:sz w:val="24"/>
          <w:szCs w:val="24"/>
        </w:rPr>
        <w:t xml:space="preserve"> application. </w:t>
      </w:r>
      <w:r w:rsidR="00C64D7B" w:rsidRPr="00943504">
        <w:rPr>
          <w:rFonts w:ascii="Times New Roman" w:hAnsi="Times New Roman" w:cs="Times New Roman"/>
          <w:sz w:val="24"/>
          <w:szCs w:val="24"/>
        </w:rPr>
        <w:t xml:space="preserve">See </w:t>
      </w:r>
      <w:r w:rsidR="00C64D7B" w:rsidRPr="00943504">
        <w:rPr>
          <w:rFonts w:ascii="Times New Roman" w:hAnsi="Times New Roman" w:cs="Times New Roman"/>
          <w:i/>
          <w:sz w:val="24"/>
          <w:szCs w:val="24"/>
        </w:rPr>
        <w:t>Saloojee and Anor, NNO v Minister of Community</w:t>
      </w:r>
      <w:r w:rsidR="00C64D7B" w:rsidRPr="00943504">
        <w:rPr>
          <w:rFonts w:ascii="Times New Roman" w:hAnsi="Times New Roman" w:cs="Times New Roman"/>
          <w:sz w:val="24"/>
          <w:szCs w:val="24"/>
        </w:rPr>
        <w:t xml:space="preserve"> </w:t>
      </w:r>
      <w:r w:rsidR="00C64D7B" w:rsidRPr="00943504">
        <w:rPr>
          <w:rFonts w:ascii="Times New Roman" w:hAnsi="Times New Roman" w:cs="Times New Roman"/>
          <w:i/>
          <w:sz w:val="24"/>
          <w:szCs w:val="24"/>
        </w:rPr>
        <w:t>Development</w:t>
      </w:r>
      <w:r w:rsidR="00C64D7B" w:rsidRPr="00943504">
        <w:rPr>
          <w:rFonts w:ascii="Times New Roman" w:hAnsi="Times New Roman" w:cs="Times New Roman"/>
          <w:sz w:val="24"/>
          <w:szCs w:val="24"/>
        </w:rPr>
        <w:t xml:space="preserve"> 1965 (2) SA 135 (A) at 138H. </w:t>
      </w:r>
      <w:r w:rsidRPr="00943504">
        <w:rPr>
          <w:rFonts w:ascii="Times New Roman" w:hAnsi="Times New Roman" w:cs="Times New Roman"/>
          <w:sz w:val="24"/>
          <w:szCs w:val="24"/>
        </w:rPr>
        <w:t xml:space="preserve">He conceded as much at the hearing. </w:t>
      </w:r>
      <w:r w:rsidR="0019589A" w:rsidRPr="00943504">
        <w:rPr>
          <w:rFonts w:ascii="Times New Roman" w:hAnsi="Times New Roman" w:cs="Times New Roman"/>
          <w:sz w:val="24"/>
          <w:szCs w:val="24"/>
        </w:rPr>
        <w:t xml:space="preserve"> He, however, argu</w:t>
      </w:r>
      <w:r w:rsidR="002466C2" w:rsidRPr="00943504">
        <w:rPr>
          <w:rFonts w:ascii="Times New Roman" w:hAnsi="Times New Roman" w:cs="Times New Roman"/>
          <w:sz w:val="24"/>
          <w:szCs w:val="24"/>
        </w:rPr>
        <w:t>ed that as the applicant</w:t>
      </w:r>
      <w:r w:rsidR="00C94302" w:rsidRPr="00943504">
        <w:rPr>
          <w:rFonts w:ascii="Times New Roman" w:hAnsi="Times New Roman" w:cs="Times New Roman"/>
          <w:sz w:val="24"/>
          <w:szCs w:val="24"/>
        </w:rPr>
        <w:t xml:space="preserve"> had reasonable</w:t>
      </w:r>
      <w:r w:rsidR="0019589A" w:rsidRPr="00943504">
        <w:rPr>
          <w:rFonts w:ascii="Times New Roman" w:hAnsi="Times New Roman" w:cs="Times New Roman"/>
          <w:sz w:val="24"/>
          <w:szCs w:val="24"/>
        </w:rPr>
        <w:t xml:space="preserve"> prospects of success on appeal, the failure to provide the reasons for the delay in the application </w:t>
      </w:r>
      <w:r w:rsidR="00C94302" w:rsidRPr="00943504">
        <w:rPr>
          <w:rFonts w:ascii="Times New Roman" w:hAnsi="Times New Roman" w:cs="Times New Roman"/>
          <w:sz w:val="24"/>
          <w:szCs w:val="24"/>
        </w:rPr>
        <w:t xml:space="preserve">was not fatal. </w:t>
      </w:r>
      <w:r w:rsidR="0019589A" w:rsidRPr="00943504">
        <w:rPr>
          <w:rFonts w:ascii="Times New Roman" w:hAnsi="Times New Roman" w:cs="Times New Roman"/>
          <w:sz w:val="24"/>
          <w:szCs w:val="24"/>
        </w:rPr>
        <w:t xml:space="preserve">He was wrong. </w:t>
      </w:r>
      <w:r w:rsidR="00E4094F" w:rsidRPr="00943504">
        <w:rPr>
          <w:rFonts w:ascii="Times New Roman" w:hAnsi="Times New Roman" w:cs="Times New Roman"/>
          <w:sz w:val="24"/>
          <w:szCs w:val="24"/>
        </w:rPr>
        <w:t xml:space="preserve">The contention is contrary to what </w:t>
      </w:r>
      <w:r w:rsidR="00E4094F" w:rsidRPr="00943504">
        <w:rPr>
          <w:rFonts w:ascii="Times New Roman" w:hAnsi="Times New Roman" w:cs="Times New Roman"/>
          <w:sz w:val="24"/>
          <w:szCs w:val="24"/>
        </w:rPr>
        <w:lastRenderedPageBreak/>
        <w:t xml:space="preserve">this court said the </w:t>
      </w:r>
      <w:r w:rsidR="00E4094F" w:rsidRPr="00943504">
        <w:rPr>
          <w:rFonts w:ascii="Times New Roman" w:hAnsi="Times New Roman" w:cs="Times New Roman"/>
          <w:i/>
          <w:sz w:val="24"/>
          <w:szCs w:val="24"/>
        </w:rPr>
        <w:t>Director of Civil Aviation</w:t>
      </w:r>
      <w:r w:rsidR="006E535B" w:rsidRPr="00943504">
        <w:rPr>
          <w:rFonts w:ascii="Times New Roman" w:hAnsi="Times New Roman" w:cs="Times New Roman"/>
          <w:i/>
          <w:sz w:val="24"/>
          <w:szCs w:val="24"/>
        </w:rPr>
        <w:t xml:space="preserve"> v Hall</w:t>
      </w:r>
      <w:r w:rsidR="006E535B" w:rsidRPr="00943504">
        <w:rPr>
          <w:rFonts w:ascii="Times New Roman" w:hAnsi="Times New Roman" w:cs="Times New Roman"/>
          <w:sz w:val="24"/>
          <w:szCs w:val="24"/>
        </w:rPr>
        <w:t xml:space="preserve"> 1990(2) ZLR 354(S) at </w:t>
      </w:r>
      <w:r w:rsidR="00E4094F" w:rsidRPr="00943504">
        <w:rPr>
          <w:rFonts w:ascii="Times New Roman" w:hAnsi="Times New Roman" w:cs="Times New Roman"/>
          <w:sz w:val="24"/>
          <w:szCs w:val="24"/>
        </w:rPr>
        <w:t xml:space="preserve">358B-C </w:t>
      </w:r>
      <w:r w:rsidR="00C94302" w:rsidRPr="00943504">
        <w:rPr>
          <w:rFonts w:ascii="Times New Roman" w:hAnsi="Times New Roman" w:cs="Times New Roman"/>
          <w:sz w:val="24"/>
          <w:szCs w:val="24"/>
        </w:rPr>
        <w:t xml:space="preserve">where </w:t>
      </w:r>
      <w:r w:rsidR="00E4094F" w:rsidRPr="00943504">
        <w:rPr>
          <w:rFonts w:ascii="Times New Roman" w:hAnsi="Times New Roman" w:cs="Times New Roman"/>
          <w:sz w:val="24"/>
          <w:szCs w:val="24"/>
        </w:rPr>
        <w:t xml:space="preserve">GUBBAY CJ cited with approval MULLER </w:t>
      </w:r>
      <w:r w:rsidR="00CF19AB" w:rsidRPr="00943504">
        <w:rPr>
          <w:rFonts w:ascii="Times New Roman" w:hAnsi="Times New Roman" w:cs="Times New Roman"/>
          <w:sz w:val="24"/>
          <w:szCs w:val="24"/>
        </w:rPr>
        <w:t>JA in</w:t>
      </w:r>
      <w:r w:rsidR="00E4094F" w:rsidRPr="00943504">
        <w:rPr>
          <w:rFonts w:ascii="Times New Roman" w:hAnsi="Times New Roman" w:cs="Times New Roman"/>
          <w:sz w:val="24"/>
          <w:szCs w:val="24"/>
        </w:rPr>
        <w:t xml:space="preserve"> </w:t>
      </w:r>
      <w:r w:rsidR="00E4094F" w:rsidRPr="00943504">
        <w:rPr>
          <w:rFonts w:ascii="Times New Roman" w:hAnsi="Times New Roman" w:cs="Times New Roman"/>
          <w:i/>
          <w:sz w:val="24"/>
          <w:szCs w:val="24"/>
        </w:rPr>
        <w:t>Bosman Transport Works Committee &amp; Ors v Piet Bosman Transport (Pty) Ltd</w:t>
      </w:r>
      <w:r w:rsidR="00E4094F" w:rsidRPr="00943504">
        <w:rPr>
          <w:rFonts w:ascii="Times New Roman" w:hAnsi="Times New Roman" w:cs="Times New Roman"/>
          <w:sz w:val="24"/>
          <w:szCs w:val="24"/>
        </w:rPr>
        <w:t xml:space="preserve"> 1980(4) SA 794(A) at 799D-E</w:t>
      </w:r>
      <w:r w:rsidR="00275028" w:rsidRPr="00943504">
        <w:rPr>
          <w:rFonts w:ascii="Times New Roman" w:hAnsi="Times New Roman" w:cs="Times New Roman"/>
          <w:sz w:val="24"/>
          <w:szCs w:val="24"/>
        </w:rPr>
        <w:t xml:space="preserve"> that</w:t>
      </w:r>
      <w:r w:rsidR="00E4094F" w:rsidRPr="00943504">
        <w:rPr>
          <w:rFonts w:ascii="Times New Roman" w:hAnsi="Times New Roman" w:cs="Times New Roman"/>
          <w:sz w:val="24"/>
          <w:szCs w:val="24"/>
        </w:rPr>
        <w:t>:</w:t>
      </w:r>
    </w:p>
    <w:p w14:paraId="168A8526" w14:textId="77777777" w:rsidR="00E4094F" w:rsidRPr="00943504" w:rsidRDefault="00E4094F" w:rsidP="00BE264A">
      <w:pPr>
        <w:spacing w:after="0" w:line="240" w:lineRule="auto"/>
        <w:ind w:left="567"/>
        <w:jc w:val="both"/>
        <w:rPr>
          <w:rFonts w:ascii="Times New Roman" w:hAnsi="Times New Roman" w:cs="Times New Roman"/>
          <w:sz w:val="24"/>
          <w:szCs w:val="24"/>
        </w:rPr>
      </w:pPr>
      <w:r w:rsidRPr="00943504">
        <w:rPr>
          <w:rFonts w:ascii="Times New Roman" w:hAnsi="Times New Roman" w:cs="Times New Roman"/>
          <w:sz w:val="24"/>
          <w:szCs w:val="24"/>
        </w:rPr>
        <w:t>“Where there has been a flagrant breach of the Rules of this Court in more than one respect and where in addition there is no reasonable explanation for some periods of delay and indeed, in respect of other periods of delay, no explanation at all, the application should … not be granted whatever the prospects of success may be.”</w:t>
      </w:r>
    </w:p>
    <w:p w14:paraId="5B22BF6C" w14:textId="77777777" w:rsidR="00457334" w:rsidRPr="00943504" w:rsidRDefault="00457334" w:rsidP="00943504">
      <w:pPr>
        <w:spacing w:after="0" w:line="240" w:lineRule="auto"/>
        <w:ind w:left="720"/>
        <w:jc w:val="both"/>
        <w:rPr>
          <w:rFonts w:ascii="Times New Roman" w:hAnsi="Times New Roman" w:cs="Times New Roman"/>
          <w:sz w:val="24"/>
          <w:szCs w:val="24"/>
        </w:rPr>
      </w:pPr>
    </w:p>
    <w:p w14:paraId="5F166A0C" w14:textId="77777777" w:rsidR="00457334" w:rsidRPr="00943504" w:rsidRDefault="00457334" w:rsidP="00943504">
      <w:pPr>
        <w:spacing w:after="0" w:line="240" w:lineRule="auto"/>
        <w:ind w:left="720"/>
        <w:jc w:val="both"/>
        <w:rPr>
          <w:rFonts w:ascii="Times New Roman" w:hAnsi="Times New Roman" w:cs="Times New Roman"/>
          <w:sz w:val="24"/>
          <w:szCs w:val="24"/>
        </w:rPr>
      </w:pPr>
    </w:p>
    <w:p w14:paraId="79EF4A10" w14:textId="77777777" w:rsidR="00DB61E2" w:rsidRPr="00943504" w:rsidRDefault="00766CC2"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See</w:t>
      </w:r>
      <w:r w:rsidR="00E4094F" w:rsidRPr="00943504">
        <w:rPr>
          <w:rFonts w:ascii="Times New Roman" w:hAnsi="Times New Roman" w:cs="Times New Roman"/>
          <w:sz w:val="24"/>
          <w:szCs w:val="24"/>
        </w:rPr>
        <w:t xml:space="preserve"> also </w:t>
      </w:r>
      <w:r w:rsidR="00E261B1" w:rsidRPr="00943504">
        <w:rPr>
          <w:rFonts w:ascii="Times New Roman" w:hAnsi="Times New Roman" w:cs="Times New Roman"/>
          <w:i/>
          <w:sz w:val="24"/>
          <w:szCs w:val="24"/>
        </w:rPr>
        <w:t>Makonye v Barclays B</w:t>
      </w:r>
      <w:r w:rsidRPr="00943504">
        <w:rPr>
          <w:rFonts w:ascii="Times New Roman" w:hAnsi="Times New Roman" w:cs="Times New Roman"/>
          <w:i/>
          <w:sz w:val="24"/>
          <w:szCs w:val="24"/>
        </w:rPr>
        <w:t xml:space="preserve">ank Ltd </w:t>
      </w:r>
      <w:r w:rsidRPr="00943504">
        <w:rPr>
          <w:rFonts w:ascii="Times New Roman" w:hAnsi="Times New Roman" w:cs="Times New Roman"/>
          <w:sz w:val="24"/>
          <w:szCs w:val="24"/>
        </w:rPr>
        <w:t>SC</w:t>
      </w:r>
      <w:r w:rsidR="008C5C57" w:rsidRPr="00943504">
        <w:rPr>
          <w:rFonts w:ascii="Times New Roman" w:hAnsi="Times New Roman" w:cs="Times New Roman"/>
          <w:sz w:val="24"/>
          <w:szCs w:val="24"/>
        </w:rPr>
        <w:t xml:space="preserve"> 10/200</w:t>
      </w:r>
      <w:r w:rsidRPr="00943504">
        <w:rPr>
          <w:rFonts w:ascii="Times New Roman" w:hAnsi="Times New Roman" w:cs="Times New Roman"/>
          <w:sz w:val="24"/>
          <w:szCs w:val="24"/>
        </w:rPr>
        <w:t xml:space="preserve">7 </w:t>
      </w:r>
      <w:r w:rsidR="008C5C57" w:rsidRPr="00943504">
        <w:rPr>
          <w:rFonts w:ascii="Times New Roman" w:hAnsi="Times New Roman" w:cs="Times New Roman"/>
          <w:sz w:val="24"/>
          <w:szCs w:val="24"/>
        </w:rPr>
        <w:t xml:space="preserve">and </w:t>
      </w:r>
      <w:r w:rsidR="008C5C57" w:rsidRPr="00943504">
        <w:rPr>
          <w:rFonts w:ascii="Times New Roman" w:hAnsi="Times New Roman" w:cs="Times New Roman"/>
          <w:i/>
          <w:sz w:val="24"/>
          <w:szCs w:val="24"/>
        </w:rPr>
        <w:t xml:space="preserve">Marange v Chiroodza </w:t>
      </w:r>
      <w:r w:rsidR="008C5C57" w:rsidRPr="00943504">
        <w:rPr>
          <w:rFonts w:ascii="Times New Roman" w:hAnsi="Times New Roman" w:cs="Times New Roman"/>
          <w:sz w:val="24"/>
          <w:szCs w:val="24"/>
        </w:rPr>
        <w:t>SC 29/2012</w:t>
      </w:r>
      <w:r w:rsidR="008C5C57" w:rsidRPr="00943504">
        <w:rPr>
          <w:rFonts w:ascii="Times New Roman" w:hAnsi="Times New Roman" w:cs="Times New Roman"/>
          <w:i/>
          <w:sz w:val="24"/>
          <w:szCs w:val="24"/>
        </w:rPr>
        <w:t xml:space="preserve"> </w:t>
      </w:r>
      <w:r w:rsidRPr="00943504">
        <w:rPr>
          <w:rFonts w:ascii="Times New Roman" w:hAnsi="Times New Roman" w:cs="Times New Roman"/>
          <w:sz w:val="24"/>
          <w:szCs w:val="24"/>
        </w:rPr>
        <w:t>where failure to give an explanation let alon</w:t>
      </w:r>
      <w:r w:rsidR="009944E3" w:rsidRPr="00943504">
        <w:rPr>
          <w:rFonts w:ascii="Times New Roman" w:hAnsi="Times New Roman" w:cs="Times New Roman"/>
          <w:sz w:val="24"/>
          <w:szCs w:val="24"/>
        </w:rPr>
        <w:t>e a reasonable one was fatal to analogous</w:t>
      </w:r>
      <w:r w:rsidRPr="00943504">
        <w:rPr>
          <w:rFonts w:ascii="Times New Roman" w:hAnsi="Times New Roman" w:cs="Times New Roman"/>
          <w:sz w:val="24"/>
          <w:szCs w:val="24"/>
        </w:rPr>
        <w:t xml:space="preserve"> application</w:t>
      </w:r>
      <w:r w:rsidR="009944E3" w:rsidRPr="00943504">
        <w:rPr>
          <w:rFonts w:ascii="Times New Roman" w:hAnsi="Times New Roman" w:cs="Times New Roman"/>
          <w:sz w:val="24"/>
          <w:szCs w:val="24"/>
        </w:rPr>
        <w:t>s.</w:t>
      </w:r>
      <w:r w:rsidRPr="00943504">
        <w:rPr>
          <w:rFonts w:ascii="Times New Roman" w:hAnsi="Times New Roman" w:cs="Times New Roman"/>
          <w:sz w:val="24"/>
          <w:szCs w:val="24"/>
        </w:rPr>
        <w:t xml:space="preserve"> </w:t>
      </w:r>
      <w:r w:rsidR="00DB61E2" w:rsidRPr="00943504">
        <w:rPr>
          <w:rFonts w:ascii="Times New Roman" w:hAnsi="Times New Roman" w:cs="Times New Roman"/>
          <w:sz w:val="24"/>
          <w:szCs w:val="24"/>
        </w:rPr>
        <w:t xml:space="preserve">In </w:t>
      </w:r>
      <w:r w:rsidR="00DB61E2" w:rsidRPr="00943504">
        <w:rPr>
          <w:rFonts w:ascii="Times New Roman" w:hAnsi="Times New Roman" w:cs="Times New Roman"/>
          <w:i/>
          <w:sz w:val="24"/>
          <w:szCs w:val="24"/>
        </w:rPr>
        <w:t>Zimslate Quart</w:t>
      </w:r>
      <w:r w:rsidR="00E261B1" w:rsidRPr="00943504">
        <w:rPr>
          <w:rFonts w:ascii="Times New Roman" w:hAnsi="Times New Roman" w:cs="Times New Roman"/>
          <w:i/>
          <w:sz w:val="24"/>
          <w:szCs w:val="24"/>
        </w:rPr>
        <w:t>zi</w:t>
      </w:r>
      <w:r w:rsidR="00DB61E2" w:rsidRPr="00943504">
        <w:rPr>
          <w:rFonts w:ascii="Times New Roman" w:hAnsi="Times New Roman" w:cs="Times New Roman"/>
          <w:i/>
          <w:sz w:val="24"/>
          <w:szCs w:val="24"/>
        </w:rPr>
        <w:t xml:space="preserve">ze (Pvt) Ltd &amp; Ors v CABS </w:t>
      </w:r>
      <w:r w:rsidR="00C76EB9" w:rsidRPr="00943504">
        <w:rPr>
          <w:rFonts w:ascii="Times New Roman" w:hAnsi="Times New Roman" w:cs="Times New Roman"/>
          <w:sz w:val="24"/>
          <w:szCs w:val="24"/>
        </w:rPr>
        <w:t>SC 34</w:t>
      </w:r>
      <w:r w:rsidR="00DB61E2" w:rsidRPr="00943504">
        <w:rPr>
          <w:rFonts w:ascii="Times New Roman" w:hAnsi="Times New Roman" w:cs="Times New Roman"/>
          <w:sz w:val="24"/>
          <w:szCs w:val="24"/>
        </w:rPr>
        <w:t>/17 at para 17 it was held that:</w:t>
      </w:r>
    </w:p>
    <w:p w14:paraId="6BF943BE" w14:textId="77777777" w:rsidR="00DB61E2" w:rsidRPr="00943504" w:rsidRDefault="00DB61E2" w:rsidP="00BE264A">
      <w:pPr>
        <w:autoSpaceDE w:val="0"/>
        <w:autoSpaceDN w:val="0"/>
        <w:adjustRightInd w:val="0"/>
        <w:spacing w:after="0" w:line="240" w:lineRule="auto"/>
        <w:ind w:left="567"/>
        <w:jc w:val="both"/>
        <w:rPr>
          <w:rFonts w:ascii="Times New Roman" w:hAnsi="Times New Roman" w:cs="Times New Roman"/>
          <w:sz w:val="24"/>
          <w:szCs w:val="24"/>
        </w:rPr>
      </w:pPr>
      <w:r w:rsidRPr="00943504">
        <w:rPr>
          <w:rFonts w:ascii="Times New Roman" w:hAnsi="Times New Roman" w:cs="Times New Roman"/>
          <w:sz w:val="24"/>
          <w:szCs w:val="24"/>
        </w:rPr>
        <w:t xml:space="preserve">“An applicant, who has infringed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 </w:t>
      </w:r>
    </w:p>
    <w:p w14:paraId="54A8BAA5" w14:textId="77777777" w:rsidR="00C94EBD" w:rsidRDefault="00C94EBD" w:rsidP="00943504">
      <w:pPr>
        <w:autoSpaceDE w:val="0"/>
        <w:autoSpaceDN w:val="0"/>
        <w:adjustRightInd w:val="0"/>
        <w:spacing w:after="0" w:line="480" w:lineRule="auto"/>
        <w:jc w:val="both"/>
        <w:rPr>
          <w:rFonts w:ascii="Times New Roman" w:hAnsi="Times New Roman" w:cs="Times New Roman"/>
          <w:sz w:val="24"/>
          <w:szCs w:val="24"/>
        </w:rPr>
      </w:pPr>
    </w:p>
    <w:p w14:paraId="680D3810" w14:textId="77777777" w:rsidR="00BE264A" w:rsidRPr="00943504" w:rsidRDefault="00BE264A" w:rsidP="00BE264A">
      <w:pPr>
        <w:autoSpaceDE w:val="0"/>
        <w:autoSpaceDN w:val="0"/>
        <w:adjustRightInd w:val="0"/>
        <w:spacing w:after="0" w:line="240" w:lineRule="auto"/>
        <w:jc w:val="both"/>
        <w:rPr>
          <w:rFonts w:ascii="Times New Roman" w:hAnsi="Times New Roman" w:cs="Times New Roman"/>
          <w:sz w:val="24"/>
          <w:szCs w:val="24"/>
        </w:rPr>
      </w:pPr>
    </w:p>
    <w:p w14:paraId="5E2C9BC5" w14:textId="77777777" w:rsidR="00DB61E2" w:rsidRPr="00943504" w:rsidRDefault="00C94EBD" w:rsidP="00BE264A">
      <w:pPr>
        <w:autoSpaceDE w:val="0"/>
        <w:autoSpaceDN w:val="0"/>
        <w:adjustRightInd w:val="0"/>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I </w:t>
      </w:r>
      <w:r w:rsidR="009944E3" w:rsidRPr="00943504">
        <w:rPr>
          <w:rFonts w:ascii="Times New Roman" w:hAnsi="Times New Roman" w:cs="Times New Roman"/>
          <w:sz w:val="24"/>
          <w:szCs w:val="24"/>
        </w:rPr>
        <w:t xml:space="preserve">was inclined to dismiss the application </w:t>
      </w:r>
      <w:r w:rsidR="0062135C" w:rsidRPr="00943504">
        <w:rPr>
          <w:rFonts w:ascii="Times New Roman" w:hAnsi="Times New Roman" w:cs="Times New Roman"/>
          <w:sz w:val="24"/>
          <w:szCs w:val="24"/>
        </w:rPr>
        <w:t>for</w:t>
      </w:r>
      <w:r w:rsidR="009944E3" w:rsidRPr="00943504">
        <w:rPr>
          <w:rFonts w:ascii="Times New Roman" w:hAnsi="Times New Roman" w:cs="Times New Roman"/>
          <w:sz w:val="24"/>
          <w:szCs w:val="24"/>
        </w:rPr>
        <w:t xml:space="preserve"> this fatal flaw </w:t>
      </w:r>
      <w:r w:rsidR="0062135C" w:rsidRPr="00943504">
        <w:rPr>
          <w:rFonts w:ascii="Times New Roman" w:hAnsi="Times New Roman" w:cs="Times New Roman"/>
          <w:sz w:val="24"/>
          <w:szCs w:val="24"/>
        </w:rPr>
        <w:t>but for</w:t>
      </w:r>
      <w:r w:rsidR="009944E3" w:rsidRPr="00943504">
        <w:rPr>
          <w:rFonts w:ascii="Times New Roman" w:hAnsi="Times New Roman" w:cs="Times New Roman"/>
          <w:sz w:val="24"/>
          <w:szCs w:val="24"/>
        </w:rPr>
        <w:t xml:space="preserve"> the case of </w:t>
      </w:r>
      <w:r w:rsidR="009944E3" w:rsidRPr="00943504">
        <w:rPr>
          <w:rFonts w:ascii="Times New Roman" w:hAnsi="Times New Roman" w:cs="Times New Roman"/>
          <w:i/>
          <w:sz w:val="24"/>
          <w:szCs w:val="24"/>
        </w:rPr>
        <w:t>Katsande v Katsande</w:t>
      </w:r>
      <w:r w:rsidR="009944E3" w:rsidRPr="00943504">
        <w:rPr>
          <w:rFonts w:ascii="Times New Roman" w:hAnsi="Times New Roman" w:cs="Times New Roman"/>
          <w:sz w:val="24"/>
          <w:szCs w:val="24"/>
        </w:rPr>
        <w:t xml:space="preserve"> SC </w:t>
      </w:r>
      <w:r w:rsidR="0062135C" w:rsidRPr="00943504">
        <w:rPr>
          <w:rFonts w:ascii="Times New Roman" w:hAnsi="Times New Roman" w:cs="Times New Roman"/>
          <w:sz w:val="24"/>
          <w:szCs w:val="24"/>
        </w:rPr>
        <w:t>49/19 wherein</w:t>
      </w:r>
      <w:r w:rsidR="009944E3" w:rsidRPr="00943504">
        <w:rPr>
          <w:rFonts w:ascii="Times New Roman" w:hAnsi="Times New Roman" w:cs="Times New Roman"/>
          <w:sz w:val="24"/>
          <w:szCs w:val="24"/>
        </w:rPr>
        <w:t xml:space="preserve"> this Court still considered the prospects of success</w:t>
      </w:r>
      <w:r w:rsidR="0062135C" w:rsidRPr="00943504">
        <w:rPr>
          <w:rFonts w:ascii="Times New Roman" w:hAnsi="Times New Roman" w:cs="Times New Roman"/>
          <w:sz w:val="24"/>
          <w:szCs w:val="24"/>
        </w:rPr>
        <w:t>, in the absence of an explan</w:t>
      </w:r>
      <w:r w:rsidR="002466C2" w:rsidRPr="00943504">
        <w:rPr>
          <w:rFonts w:ascii="Times New Roman" w:hAnsi="Times New Roman" w:cs="Times New Roman"/>
          <w:sz w:val="24"/>
          <w:szCs w:val="24"/>
        </w:rPr>
        <w:t>ation for the delay in filing</w:t>
      </w:r>
      <w:r w:rsidR="0062135C" w:rsidRPr="00943504">
        <w:rPr>
          <w:rFonts w:ascii="Times New Roman" w:hAnsi="Times New Roman" w:cs="Times New Roman"/>
          <w:sz w:val="24"/>
          <w:szCs w:val="24"/>
        </w:rPr>
        <w:t xml:space="preserve"> a similar application</w:t>
      </w:r>
      <w:r w:rsidR="009602C1" w:rsidRPr="00943504">
        <w:rPr>
          <w:rFonts w:ascii="Times New Roman" w:hAnsi="Times New Roman" w:cs="Times New Roman"/>
          <w:sz w:val="24"/>
          <w:szCs w:val="24"/>
        </w:rPr>
        <w:t xml:space="preserve"> and actually granted the application</w:t>
      </w:r>
      <w:r w:rsidR="0062135C" w:rsidRPr="00943504">
        <w:rPr>
          <w:rFonts w:ascii="Times New Roman" w:hAnsi="Times New Roman" w:cs="Times New Roman"/>
          <w:sz w:val="24"/>
          <w:szCs w:val="24"/>
        </w:rPr>
        <w:t>.</w:t>
      </w:r>
      <w:r w:rsidR="009944E3" w:rsidRPr="00943504">
        <w:rPr>
          <w:rFonts w:ascii="Times New Roman" w:hAnsi="Times New Roman" w:cs="Times New Roman"/>
          <w:sz w:val="24"/>
          <w:szCs w:val="24"/>
        </w:rPr>
        <w:t xml:space="preserve"> </w:t>
      </w:r>
      <w:r w:rsidR="0062135C" w:rsidRPr="00943504">
        <w:rPr>
          <w:rFonts w:ascii="Times New Roman" w:hAnsi="Times New Roman" w:cs="Times New Roman"/>
          <w:sz w:val="24"/>
          <w:szCs w:val="24"/>
        </w:rPr>
        <w:t xml:space="preserve">This court appears to have adopted a liberal approach to still consider the prospects of success in cases where the delay has been inordinate and the explanation thereof </w:t>
      </w:r>
      <w:r w:rsidR="002466C2" w:rsidRPr="00943504">
        <w:rPr>
          <w:rFonts w:ascii="Times New Roman" w:hAnsi="Times New Roman" w:cs="Times New Roman"/>
          <w:sz w:val="24"/>
          <w:szCs w:val="24"/>
        </w:rPr>
        <w:t xml:space="preserve">either lacking or </w:t>
      </w:r>
      <w:r w:rsidR="009602C1" w:rsidRPr="00943504">
        <w:rPr>
          <w:rFonts w:ascii="Times New Roman" w:hAnsi="Times New Roman" w:cs="Times New Roman"/>
          <w:sz w:val="24"/>
          <w:szCs w:val="24"/>
        </w:rPr>
        <w:t>unreasonable as underscored in</w:t>
      </w:r>
      <w:r w:rsidR="00DB61E2" w:rsidRPr="00943504">
        <w:rPr>
          <w:rFonts w:ascii="Times New Roman" w:hAnsi="Times New Roman" w:cs="Times New Roman"/>
          <w:sz w:val="24"/>
          <w:szCs w:val="24"/>
        </w:rPr>
        <w:t xml:space="preserve"> </w:t>
      </w:r>
      <w:r w:rsidR="00DB61E2" w:rsidRPr="00943504">
        <w:rPr>
          <w:rFonts w:ascii="Times New Roman" w:hAnsi="Times New Roman" w:cs="Times New Roman"/>
          <w:i/>
          <w:sz w:val="24"/>
          <w:szCs w:val="24"/>
        </w:rPr>
        <w:t>Viking Woodwork (Pvt) Ltd v Blue Bells Enterprises (Pvt) Ltd</w:t>
      </w:r>
      <w:r w:rsidR="009602C1" w:rsidRPr="00943504">
        <w:rPr>
          <w:rFonts w:ascii="Times New Roman" w:hAnsi="Times New Roman" w:cs="Times New Roman"/>
          <w:sz w:val="24"/>
          <w:szCs w:val="24"/>
        </w:rPr>
        <w:t xml:space="preserve"> 1998 (2) ZLR 249 (S) at 251, wh</w:t>
      </w:r>
      <w:r w:rsidR="00DB61E2" w:rsidRPr="00943504">
        <w:rPr>
          <w:rFonts w:ascii="Times New Roman" w:hAnsi="Times New Roman" w:cs="Times New Roman"/>
          <w:sz w:val="24"/>
          <w:szCs w:val="24"/>
        </w:rPr>
        <w:t xml:space="preserve">ich </w:t>
      </w:r>
      <w:r w:rsidR="009602C1" w:rsidRPr="00943504">
        <w:rPr>
          <w:rFonts w:ascii="Times New Roman" w:hAnsi="Times New Roman" w:cs="Times New Roman"/>
          <w:sz w:val="24"/>
          <w:szCs w:val="24"/>
        </w:rPr>
        <w:t>stated that:</w:t>
      </w:r>
    </w:p>
    <w:p w14:paraId="7060CC39" w14:textId="77777777" w:rsidR="00613DF1" w:rsidRPr="00943504" w:rsidRDefault="00613DF1" w:rsidP="00943504">
      <w:pPr>
        <w:autoSpaceDE w:val="0"/>
        <w:autoSpaceDN w:val="0"/>
        <w:adjustRightInd w:val="0"/>
        <w:spacing w:after="0" w:line="240" w:lineRule="auto"/>
        <w:ind w:left="709"/>
        <w:jc w:val="both"/>
        <w:rPr>
          <w:rFonts w:ascii="Times New Roman" w:hAnsi="Times New Roman" w:cs="Times New Roman"/>
          <w:sz w:val="24"/>
          <w:szCs w:val="24"/>
        </w:rPr>
      </w:pPr>
    </w:p>
    <w:p w14:paraId="4C87A9FB" w14:textId="77777777" w:rsidR="00DB61E2" w:rsidRDefault="00DB61E2" w:rsidP="00BE264A">
      <w:pPr>
        <w:spacing w:after="0" w:line="240" w:lineRule="auto"/>
        <w:ind w:left="567"/>
        <w:jc w:val="both"/>
        <w:rPr>
          <w:rFonts w:ascii="Times New Roman" w:hAnsi="Times New Roman" w:cs="Times New Roman"/>
          <w:sz w:val="24"/>
          <w:szCs w:val="24"/>
        </w:rPr>
      </w:pPr>
      <w:r w:rsidRPr="00943504">
        <w:rPr>
          <w:rFonts w:ascii="Times New Roman" w:hAnsi="Times New Roman" w:cs="Times New Roman"/>
          <w:sz w:val="24"/>
          <w:szCs w:val="24"/>
        </w:rPr>
        <w:t>“</w:t>
      </w:r>
      <w:r w:rsidR="009944E3" w:rsidRPr="00943504">
        <w:rPr>
          <w:rFonts w:ascii="Times New Roman" w:hAnsi="Times New Roman" w:cs="Times New Roman"/>
          <w:sz w:val="24"/>
          <w:szCs w:val="24"/>
        </w:rPr>
        <w:t>Where</w:t>
      </w:r>
      <w:r w:rsidRPr="00943504">
        <w:rPr>
          <w:rFonts w:ascii="Times New Roman" w:hAnsi="Times New Roman" w:cs="Times New Roman"/>
          <w:sz w:val="24"/>
          <w:szCs w:val="24"/>
        </w:rPr>
        <w:t xml:space="preserve"> the explanation for the delay is far from satisfactory, the court will still exercise its discretion in favour of granting the indulgence of condonation provided the proposed appeal is arguable. The role of the judge in an application of this nature is to stand sentinel at the gates of the court guarding against those desirous of making a </w:t>
      </w:r>
      <w:r w:rsidRPr="00943504">
        <w:rPr>
          <w:rFonts w:ascii="Times New Roman" w:hAnsi="Times New Roman" w:cs="Times New Roman"/>
          <w:sz w:val="24"/>
          <w:szCs w:val="24"/>
        </w:rPr>
        <w:lastRenderedPageBreak/>
        <w:t>grand entrance into the court with unarguable appeals. In respect of those, the gate must be firmly shut.”</w:t>
      </w:r>
    </w:p>
    <w:p w14:paraId="0B90E504" w14:textId="77777777" w:rsidR="00BE264A" w:rsidRDefault="00BE264A" w:rsidP="00BE264A">
      <w:pPr>
        <w:spacing w:after="0" w:line="240" w:lineRule="auto"/>
        <w:ind w:left="567"/>
        <w:jc w:val="both"/>
        <w:rPr>
          <w:rFonts w:ascii="Times New Roman" w:hAnsi="Times New Roman" w:cs="Times New Roman"/>
          <w:sz w:val="24"/>
          <w:szCs w:val="24"/>
        </w:rPr>
      </w:pPr>
    </w:p>
    <w:p w14:paraId="50AE9455" w14:textId="77777777" w:rsidR="00BE264A" w:rsidRPr="00943504" w:rsidRDefault="00BE264A" w:rsidP="00BE264A">
      <w:pPr>
        <w:spacing w:after="0" w:line="240" w:lineRule="auto"/>
        <w:ind w:left="567"/>
        <w:jc w:val="both"/>
        <w:rPr>
          <w:rFonts w:ascii="Times New Roman" w:hAnsi="Times New Roman" w:cs="Times New Roman"/>
          <w:sz w:val="24"/>
          <w:szCs w:val="24"/>
        </w:rPr>
      </w:pPr>
    </w:p>
    <w:p w14:paraId="547D5E77" w14:textId="77777777" w:rsidR="00A939BB" w:rsidRPr="00943504" w:rsidRDefault="009602C1"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w:t>
      </w:r>
      <w:r w:rsidR="00A939BB" w:rsidRPr="00943504">
        <w:rPr>
          <w:rFonts w:ascii="Times New Roman" w:hAnsi="Times New Roman" w:cs="Times New Roman"/>
          <w:sz w:val="24"/>
          <w:szCs w:val="24"/>
        </w:rPr>
        <w:t xml:space="preserve">he approach to follow was </w:t>
      </w:r>
      <w:r w:rsidR="002466C2" w:rsidRPr="00943504">
        <w:rPr>
          <w:rFonts w:ascii="Times New Roman" w:hAnsi="Times New Roman" w:cs="Times New Roman"/>
          <w:sz w:val="24"/>
          <w:szCs w:val="24"/>
        </w:rPr>
        <w:t xml:space="preserve">also </w:t>
      </w:r>
      <w:r w:rsidR="00A939BB" w:rsidRPr="00943504">
        <w:rPr>
          <w:rFonts w:ascii="Times New Roman" w:hAnsi="Times New Roman" w:cs="Times New Roman"/>
          <w:sz w:val="24"/>
          <w:szCs w:val="24"/>
        </w:rPr>
        <w:t xml:space="preserve">delineated in </w:t>
      </w:r>
      <w:r w:rsidR="00A939BB" w:rsidRPr="00943504">
        <w:rPr>
          <w:rFonts w:ascii="Times New Roman" w:hAnsi="Times New Roman" w:cs="Times New Roman"/>
          <w:i/>
          <w:sz w:val="24"/>
          <w:szCs w:val="24"/>
        </w:rPr>
        <w:t>Mutizhe v Ganda &amp; Ors</w:t>
      </w:r>
      <w:r w:rsidR="00A939BB" w:rsidRPr="00943504">
        <w:rPr>
          <w:rFonts w:ascii="Times New Roman" w:hAnsi="Times New Roman" w:cs="Times New Roman"/>
          <w:sz w:val="24"/>
          <w:szCs w:val="24"/>
        </w:rPr>
        <w:t xml:space="preserve"> SC 17/2009 at 7, where it was stated that:</w:t>
      </w:r>
    </w:p>
    <w:p w14:paraId="689DD00C" w14:textId="77777777" w:rsidR="00A939BB" w:rsidRPr="00943504" w:rsidRDefault="00A939BB" w:rsidP="00BE264A">
      <w:pPr>
        <w:spacing w:after="0" w:line="240" w:lineRule="auto"/>
        <w:ind w:left="567"/>
        <w:jc w:val="both"/>
        <w:rPr>
          <w:rFonts w:ascii="Times New Roman" w:hAnsi="Times New Roman" w:cs="Times New Roman"/>
          <w:sz w:val="24"/>
          <w:szCs w:val="24"/>
        </w:rPr>
      </w:pPr>
      <w:r w:rsidRPr="00943504">
        <w:rPr>
          <w:rFonts w:ascii="Times New Roman" w:hAnsi="Times New Roman" w:cs="Times New Roman"/>
          <w:sz w:val="24"/>
          <w:szCs w:val="24"/>
        </w:rPr>
        <w:t>“One looks at the founding affidavit for evidence of the facts stated as grounds of appeal.  Considering these facts together with the reasons for the judgment appealed against and applying the relevant law, one can decide whether there are good prospects of success on appeal.”</w:t>
      </w:r>
    </w:p>
    <w:p w14:paraId="09434DE1" w14:textId="77777777" w:rsidR="00812F1E" w:rsidRPr="00943504" w:rsidRDefault="00812F1E" w:rsidP="00943504">
      <w:pPr>
        <w:spacing w:after="0" w:line="480" w:lineRule="auto"/>
        <w:ind w:left="720"/>
        <w:jc w:val="both"/>
        <w:rPr>
          <w:rFonts w:ascii="Times New Roman" w:hAnsi="Times New Roman" w:cs="Times New Roman"/>
          <w:sz w:val="24"/>
          <w:szCs w:val="24"/>
        </w:rPr>
      </w:pPr>
    </w:p>
    <w:p w14:paraId="760F6B54" w14:textId="77777777" w:rsidR="00300DF4" w:rsidRPr="00943504" w:rsidRDefault="00A939BB"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The facts </w:t>
      </w:r>
      <w:r w:rsidR="005602E3" w:rsidRPr="00943504">
        <w:rPr>
          <w:rFonts w:ascii="Times New Roman" w:hAnsi="Times New Roman" w:cs="Times New Roman"/>
          <w:sz w:val="24"/>
          <w:szCs w:val="24"/>
        </w:rPr>
        <w:t xml:space="preserve">upon which the applicant seeks to impugn the judgment of the court </w:t>
      </w:r>
      <w:r w:rsidR="005602E3" w:rsidRPr="00943504">
        <w:rPr>
          <w:rFonts w:ascii="Times New Roman" w:hAnsi="Times New Roman" w:cs="Times New Roman"/>
          <w:i/>
          <w:sz w:val="24"/>
          <w:szCs w:val="24"/>
        </w:rPr>
        <w:t xml:space="preserve">a quo </w:t>
      </w:r>
      <w:r w:rsidR="005602E3" w:rsidRPr="00943504">
        <w:rPr>
          <w:rFonts w:ascii="Times New Roman" w:hAnsi="Times New Roman" w:cs="Times New Roman"/>
          <w:sz w:val="24"/>
          <w:szCs w:val="24"/>
        </w:rPr>
        <w:t xml:space="preserve">were that the mean valuation of the immovable property upon which the applicant was bought out by the respondent was partly </w:t>
      </w:r>
      <w:r w:rsidR="00384BA8" w:rsidRPr="00943504">
        <w:rPr>
          <w:rFonts w:ascii="Times New Roman" w:hAnsi="Times New Roman" w:cs="Times New Roman"/>
          <w:sz w:val="24"/>
          <w:szCs w:val="24"/>
        </w:rPr>
        <w:t>based on an inexplicable US$100 </w:t>
      </w:r>
      <w:r w:rsidR="005602E3" w:rsidRPr="00943504">
        <w:rPr>
          <w:rFonts w:ascii="Times New Roman" w:hAnsi="Times New Roman" w:cs="Times New Roman"/>
          <w:sz w:val="24"/>
          <w:szCs w:val="24"/>
        </w:rPr>
        <w:t>000 reduction of the initial valuation report prepared by one of the parties valu</w:t>
      </w:r>
      <w:r w:rsidR="002C244B" w:rsidRPr="00943504">
        <w:rPr>
          <w:rFonts w:ascii="Times New Roman" w:hAnsi="Times New Roman" w:cs="Times New Roman"/>
          <w:sz w:val="24"/>
          <w:szCs w:val="24"/>
        </w:rPr>
        <w:t xml:space="preserve">ators </w:t>
      </w:r>
      <w:r w:rsidR="005602E3" w:rsidRPr="00943504">
        <w:rPr>
          <w:rFonts w:ascii="Times New Roman" w:hAnsi="Times New Roman" w:cs="Times New Roman"/>
          <w:sz w:val="24"/>
          <w:szCs w:val="24"/>
        </w:rPr>
        <w:t>of choice, Guest and T</w:t>
      </w:r>
      <w:r w:rsidR="002C244B" w:rsidRPr="00943504">
        <w:rPr>
          <w:rFonts w:ascii="Times New Roman" w:hAnsi="Times New Roman" w:cs="Times New Roman"/>
          <w:sz w:val="24"/>
          <w:szCs w:val="24"/>
        </w:rPr>
        <w:t xml:space="preserve">anner. The first report of 30 March 2017, </w:t>
      </w:r>
      <w:r w:rsidR="00AC5BF1" w:rsidRPr="00943504">
        <w:rPr>
          <w:rFonts w:ascii="Times New Roman" w:hAnsi="Times New Roman" w:cs="Times New Roman"/>
          <w:sz w:val="24"/>
          <w:szCs w:val="24"/>
        </w:rPr>
        <w:t xml:space="preserve">placed an </w:t>
      </w:r>
      <w:r w:rsidR="002C244B" w:rsidRPr="00943504">
        <w:rPr>
          <w:rFonts w:ascii="Times New Roman" w:hAnsi="Times New Roman" w:cs="Times New Roman"/>
          <w:sz w:val="24"/>
          <w:szCs w:val="24"/>
        </w:rPr>
        <w:t xml:space="preserve">open market </w:t>
      </w:r>
      <w:r w:rsidR="00AC5BF1" w:rsidRPr="00943504">
        <w:rPr>
          <w:rFonts w:ascii="Times New Roman" w:hAnsi="Times New Roman" w:cs="Times New Roman"/>
          <w:sz w:val="24"/>
          <w:szCs w:val="24"/>
        </w:rPr>
        <w:t xml:space="preserve">value of the property </w:t>
      </w:r>
      <w:r w:rsidR="002C244B" w:rsidRPr="00943504">
        <w:rPr>
          <w:rFonts w:ascii="Times New Roman" w:hAnsi="Times New Roman" w:cs="Times New Roman"/>
          <w:sz w:val="24"/>
          <w:szCs w:val="24"/>
        </w:rPr>
        <w:t xml:space="preserve">at US$292 000. </w:t>
      </w:r>
      <w:r w:rsidR="00AC5BF1" w:rsidRPr="00943504">
        <w:rPr>
          <w:rFonts w:ascii="Times New Roman" w:hAnsi="Times New Roman" w:cs="Times New Roman"/>
          <w:sz w:val="24"/>
          <w:szCs w:val="24"/>
        </w:rPr>
        <w:t xml:space="preserve">That report was received by the respective legal practitioners of the parties. </w:t>
      </w:r>
      <w:r w:rsidR="00FB65C0" w:rsidRPr="00943504">
        <w:rPr>
          <w:rFonts w:ascii="Times New Roman" w:hAnsi="Times New Roman" w:cs="Times New Roman"/>
          <w:sz w:val="24"/>
          <w:szCs w:val="24"/>
        </w:rPr>
        <w:t xml:space="preserve">The property consisted of </w:t>
      </w:r>
      <w:r w:rsidR="00B354F5" w:rsidRPr="00943504">
        <w:rPr>
          <w:rFonts w:ascii="Times New Roman" w:hAnsi="Times New Roman" w:cs="Times New Roman"/>
          <w:sz w:val="24"/>
          <w:szCs w:val="24"/>
        </w:rPr>
        <w:t xml:space="preserve">the land, </w:t>
      </w:r>
      <w:r w:rsidR="00FB65C0" w:rsidRPr="00943504">
        <w:rPr>
          <w:rFonts w:ascii="Times New Roman" w:hAnsi="Times New Roman" w:cs="Times New Roman"/>
          <w:sz w:val="24"/>
          <w:szCs w:val="24"/>
        </w:rPr>
        <w:t xml:space="preserve">various outbuildings in a state of disrepair and a one storey incomplete brick and </w:t>
      </w:r>
      <w:r w:rsidR="00822DA5" w:rsidRPr="00943504">
        <w:rPr>
          <w:rFonts w:ascii="Times New Roman" w:hAnsi="Times New Roman" w:cs="Times New Roman"/>
          <w:sz w:val="24"/>
          <w:szCs w:val="24"/>
        </w:rPr>
        <w:t xml:space="preserve">mortar and </w:t>
      </w:r>
      <w:r w:rsidR="00FB65C0" w:rsidRPr="00943504">
        <w:rPr>
          <w:rFonts w:ascii="Times New Roman" w:hAnsi="Times New Roman" w:cs="Times New Roman"/>
          <w:sz w:val="24"/>
          <w:szCs w:val="24"/>
        </w:rPr>
        <w:t>concrete unroofed superstructure</w:t>
      </w:r>
      <w:r w:rsidR="00751BAC" w:rsidRPr="00943504">
        <w:rPr>
          <w:rFonts w:ascii="Times New Roman" w:hAnsi="Times New Roman" w:cs="Times New Roman"/>
          <w:sz w:val="24"/>
          <w:szCs w:val="24"/>
        </w:rPr>
        <w:t>.</w:t>
      </w:r>
      <w:r w:rsidR="00FB65C0" w:rsidRPr="00943504">
        <w:rPr>
          <w:rFonts w:ascii="Times New Roman" w:hAnsi="Times New Roman" w:cs="Times New Roman"/>
          <w:sz w:val="24"/>
          <w:szCs w:val="24"/>
        </w:rPr>
        <w:t xml:space="preserve"> </w:t>
      </w:r>
    </w:p>
    <w:p w14:paraId="4895775E" w14:textId="77777777" w:rsidR="00300DF4" w:rsidRPr="00943504" w:rsidRDefault="00300DF4" w:rsidP="00943504">
      <w:pPr>
        <w:spacing w:after="0" w:line="480" w:lineRule="auto"/>
        <w:ind w:firstLine="1134"/>
        <w:jc w:val="both"/>
        <w:rPr>
          <w:rFonts w:ascii="Times New Roman" w:hAnsi="Times New Roman" w:cs="Times New Roman"/>
          <w:sz w:val="24"/>
          <w:szCs w:val="24"/>
        </w:rPr>
      </w:pPr>
    </w:p>
    <w:p w14:paraId="291122BF" w14:textId="77777777" w:rsidR="00484F0F" w:rsidRDefault="00FB65C0"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T</w:t>
      </w:r>
      <w:r w:rsidR="00751BAC" w:rsidRPr="00943504">
        <w:rPr>
          <w:rFonts w:ascii="Times New Roman" w:hAnsi="Times New Roman" w:cs="Times New Roman"/>
          <w:sz w:val="24"/>
          <w:szCs w:val="24"/>
        </w:rPr>
        <w:t>he</w:t>
      </w:r>
      <w:r w:rsidRPr="00943504">
        <w:rPr>
          <w:rFonts w:ascii="Times New Roman" w:hAnsi="Times New Roman" w:cs="Times New Roman"/>
          <w:sz w:val="24"/>
          <w:szCs w:val="24"/>
        </w:rPr>
        <w:t xml:space="preserve"> applicant’s legal practitioners filed the report away without much ado. The respondent’s legal practitioners scrutinized it and by letter of 26 M</w:t>
      </w:r>
      <w:r w:rsidR="00F62F49" w:rsidRPr="00943504">
        <w:rPr>
          <w:rFonts w:ascii="Times New Roman" w:hAnsi="Times New Roman" w:cs="Times New Roman"/>
          <w:sz w:val="24"/>
          <w:szCs w:val="24"/>
        </w:rPr>
        <w:t xml:space="preserve">ay 2017, </w:t>
      </w:r>
      <w:r w:rsidRPr="00943504">
        <w:rPr>
          <w:rFonts w:ascii="Times New Roman" w:hAnsi="Times New Roman" w:cs="Times New Roman"/>
          <w:sz w:val="24"/>
          <w:szCs w:val="24"/>
        </w:rPr>
        <w:t xml:space="preserve">sought </w:t>
      </w:r>
      <w:r w:rsidR="00751BAC" w:rsidRPr="00943504">
        <w:rPr>
          <w:rFonts w:ascii="Times New Roman" w:hAnsi="Times New Roman" w:cs="Times New Roman"/>
          <w:sz w:val="24"/>
          <w:szCs w:val="24"/>
        </w:rPr>
        <w:t xml:space="preserve">certain </w:t>
      </w:r>
      <w:r w:rsidRPr="00943504">
        <w:rPr>
          <w:rFonts w:ascii="Times New Roman" w:hAnsi="Times New Roman" w:cs="Times New Roman"/>
          <w:sz w:val="24"/>
          <w:szCs w:val="24"/>
        </w:rPr>
        <w:t>clarification</w:t>
      </w:r>
      <w:r w:rsidR="0098641C" w:rsidRPr="00943504">
        <w:rPr>
          <w:rFonts w:ascii="Times New Roman" w:hAnsi="Times New Roman" w:cs="Times New Roman"/>
          <w:sz w:val="24"/>
          <w:szCs w:val="24"/>
        </w:rPr>
        <w:t>s on the methodologies used to valu</w:t>
      </w:r>
      <w:r w:rsidRPr="00943504">
        <w:rPr>
          <w:rFonts w:ascii="Times New Roman" w:hAnsi="Times New Roman" w:cs="Times New Roman"/>
          <w:sz w:val="24"/>
          <w:szCs w:val="24"/>
        </w:rPr>
        <w:t xml:space="preserve">e the </w:t>
      </w:r>
      <w:r w:rsidR="00F62F49" w:rsidRPr="00943504">
        <w:rPr>
          <w:rFonts w:ascii="Times New Roman" w:hAnsi="Times New Roman" w:cs="Times New Roman"/>
          <w:sz w:val="24"/>
          <w:szCs w:val="24"/>
        </w:rPr>
        <w:t>property</w:t>
      </w:r>
      <w:r w:rsidRPr="00943504">
        <w:rPr>
          <w:rFonts w:ascii="Times New Roman" w:hAnsi="Times New Roman" w:cs="Times New Roman"/>
          <w:sz w:val="24"/>
          <w:szCs w:val="24"/>
        </w:rPr>
        <w:t xml:space="preserve">. </w:t>
      </w:r>
      <w:r w:rsidR="00751BAC" w:rsidRPr="00943504">
        <w:rPr>
          <w:rFonts w:ascii="Times New Roman" w:hAnsi="Times New Roman" w:cs="Times New Roman"/>
          <w:sz w:val="24"/>
          <w:szCs w:val="24"/>
        </w:rPr>
        <w:t xml:space="preserve"> </w:t>
      </w:r>
      <w:r w:rsidR="00F62F49" w:rsidRPr="00943504">
        <w:rPr>
          <w:rFonts w:ascii="Times New Roman" w:hAnsi="Times New Roman" w:cs="Times New Roman"/>
          <w:sz w:val="24"/>
          <w:szCs w:val="24"/>
        </w:rPr>
        <w:t>Even though they insinuated that the enquiry was from both parties, the</w:t>
      </w:r>
      <w:r w:rsidR="00254273" w:rsidRPr="00943504">
        <w:rPr>
          <w:rFonts w:ascii="Times New Roman" w:hAnsi="Times New Roman" w:cs="Times New Roman"/>
          <w:sz w:val="24"/>
          <w:szCs w:val="24"/>
        </w:rPr>
        <w:t>y</w:t>
      </w:r>
      <w:r w:rsidR="00F62F49" w:rsidRPr="00943504">
        <w:rPr>
          <w:rFonts w:ascii="Times New Roman" w:hAnsi="Times New Roman" w:cs="Times New Roman"/>
          <w:sz w:val="24"/>
          <w:szCs w:val="24"/>
        </w:rPr>
        <w:t xml:space="preserve"> did not copy the letter </w:t>
      </w:r>
      <w:r w:rsidR="00822DA5" w:rsidRPr="00943504">
        <w:rPr>
          <w:rFonts w:ascii="Times New Roman" w:hAnsi="Times New Roman" w:cs="Times New Roman"/>
          <w:sz w:val="24"/>
          <w:szCs w:val="24"/>
        </w:rPr>
        <w:t xml:space="preserve">of enquiry </w:t>
      </w:r>
      <w:r w:rsidR="00F62F49" w:rsidRPr="00943504">
        <w:rPr>
          <w:rFonts w:ascii="Times New Roman" w:hAnsi="Times New Roman" w:cs="Times New Roman"/>
          <w:sz w:val="24"/>
          <w:szCs w:val="24"/>
        </w:rPr>
        <w:t>to the applicant’s legal practitioners</w:t>
      </w:r>
      <w:r w:rsidR="00254273" w:rsidRPr="00943504">
        <w:rPr>
          <w:rFonts w:ascii="Times New Roman" w:hAnsi="Times New Roman" w:cs="Times New Roman"/>
          <w:sz w:val="24"/>
          <w:szCs w:val="24"/>
        </w:rPr>
        <w:t xml:space="preserve">. </w:t>
      </w:r>
      <w:r w:rsidR="00106A2F" w:rsidRPr="00943504">
        <w:rPr>
          <w:rFonts w:ascii="Times New Roman" w:hAnsi="Times New Roman" w:cs="Times New Roman"/>
          <w:sz w:val="24"/>
          <w:szCs w:val="24"/>
        </w:rPr>
        <w:t>In the</w:t>
      </w:r>
      <w:r w:rsidR="00FE10DF" w:rsidRPr="00943504">
        <w:rPr>
          <w:rFonts w:ascii="Times New Roman" w:hAnsi="Times New Roman" w:cs="Times New Roman"/>
          <w:sz w:val="24"/>
          <w:szCs w:val="24"/>
        </w:rPr>
        <w:t xml:space="preserve"> response of 23 June </w:t>
      </w:r>
      <w:r w:rsidR="00751BAC" w:rsidRPr="00943504">
        <w:rPr>
          <w:rFonts w:ascii="Times New Roman" w:hAnsi="Times New Roman" w:cs="Times New Roman"/>
          <w:sz w:val="24"/>
          <w:szCs w:val="24"/>
        </w:rPr>
        <w:t>2017, Guest and Tanner sincerely apologized “for the typographical error in the valuation certificate that erroneously reflected the open market value as US$292 000 instead of US$192 000.” They enclos</w:t>
      </w:r>
      <w:r w:rsidR="00484F0F" w:rsidRPr="00943504">
        <w:rPr>
          <w:rFonts w:ascii="Times New Roman" w:hAnsi="Times New Roman" w:cs="Times New Roman"/>
          <w:sz w:val="24"/>
          <w:szCs w:val="24"/>
        </w:rPr>
        <w:t xml:space="preserve">ed the second valuation report </w:t>
      </w:r>
      <w:r w:rsidR="00751BAC" w:rsidRPr="00943504">
        <w:rPr>
          <w:rFonts w:ascii="Times New Roman" w:hAnsi="Times New Roman" w:cs="Times New Roman"/>
          <w:sz w:val="24"/>
          <w:szCs w:val="24"/>
        </w:rPr>
        <w:t>with the corrected values and highlighted that they had used the c</w:t>
      </w:r>
      <w:r w:rsidR="007C1AA5" w:rsidRPr="00943504">
        <w:rPr>
          <w:rFonts w:ascii="Times New Roman" w:hAnsi="Times New Roman" w:cs="Times New Roman"/>
          <w:sz w:val="24"/>
          <w:szCs w:val="24"/>
        </w:rPr>
        <w:t>omposite method of valuation. Guest and Tanner further</w:t>
      </w:r>
      <w:r w:rsidR="00484F0F" w:rsidRPr="00943504">
        <w:rPr>
          <w:rFonts w:ascii="Times New Roman" w:hAnsi="Times New Roman" w:cs="Times New Roman"/>
          <w:sz w:val="24"/>
          <w:szCs w:val="24"/>
        </w:rPr>
        <w:t xml:space="preserve"> affirmed that the sum of US$192 000 </w:t>
      </w:r>
      <w:r w:rsidR="00254273" w:rsidRPr="00943504">
        <w:rPr>
          <w:rFonts w:ascii="Times New Roman" w:hAnsi="Times New Roman" w:cs="Times New Roman"/>
          <w:sz w:val="24"/>
          <w:szCs w:val="24"/>
        </w:rPr>
        <w:t xml:space="preserve">would </w:t>
      </w:r>
      <w:r w:rsidR="00254273" w:rsidRPr="00943504">
        <w:rPr>
          <w:rFonts w:ascii="Times New Roman" w:hAnsi="Times New Roman" w:cs="Times New Roman"/>
          <w:sz w:val="24"/>
          <w:szCs w:val="24"/>
        </w:rPr>
        <w:lastRenderedPageBreak/>
        <w:t xml:space="preserve">continue to reflect </w:t>
      </w:r>
      <w:r w:rsidR="007C1AA5" w:rsidRPr="00943504">
        <w:rPr>
          <w:rFonts w:ascii="Times New Roman" w:hAnsi="Times New Roman" w:cs="Times New Roman"/>
          <w:sz w:val="24"/>
          <w:szCs w:val="24"/>
        </w:rPr>
        <w:t>the reasonable</w:t>
      </w:r>
      <w:r w:rsidR="00484F0F" w:rsidRPr="00943504">
        <w:rPr>
          <w:rFonts w:ascii="Times New Roman" w:hAnsi="Times New Roman" w:cs="Times New Roman"/>
          <w:sz w:val="24"/>
          <w:szCs w:val="24"/>
        </w:rPr>
        <w:t xml:space="preserve"> realisable open market value of the property </w:t>
      </w:r>
      <w:r w:rsidR="00106A2F" w:rsidRPr="00943504">
        <w:rPr>
          <w:rFonts w:ascii="Times New Roman" w:hAnsi="Times New Roman" w:cs="Times New Roman"/>
          <w:sz w:val="24"/>
          <w:szCs w:val="24"/>
        </w:rPr>
        <w:t xml:space="preserve">in the upcoming 6 month periods contemplated in the consent orders of </w:t>
      </w:r>
      <w:r w:rsidR="007C1AA5" w:rsidRPr="00943504">
        <w:rPr>
          <w:rFonts w:ascii="Times New Roman" w:hAnsi="Times New Roman" w:cs="Times New Roman"/>
          <w:sz w:val="24"/>
          <w:szCs w:val="24"/>
        </w:rPr>
        <w:t xml:space="preserve">the High Court. </w:t>
      </w:r>
    </w:p>
    <w:p w14:paraId="116ECBD0" w14:textId="77777777" w:rsidR="00BE264A" w:rsidRPr="00943504" w:rsidRDefault="00BE264A" w:rsidP="00943504">
      <w:pPr>
        <w:spacing w:after="0" w:line="480" w:lineRule="auto"/>
        <w:ind w:firstLine="1134"/>
        <w:jc w:val="both"/>
        <w:rPr>
          <w:rFonts w:ascii="Times New Roman" w:hAnsi="Times New Roman" w:cs="Times New Roman"/>
          <w:sz w:val="24"/>
          <w:szCs w:val="24"/>
        </w:rPr>
      </w:pPr>
    </w:p>
    <w:p w14:paraId="628D968B" w14:textId="77777777" w:rsidR="007240F3" w:rsidRPr="00943504" w:rsidRDefault="00484F0F"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On 26 July 2017, the respondent’s legal practitioners dispatched the corrected valuation report</w:t>
      </w:r>
      <w:r w:rsidR="00AA1D6E" w:rsidRPr="00943504">
        <w:rPr>
          <w:rFonts w:ascii="Times New Roman" w:hAnsi="Times New Roman" w:cs="Times New Roman"/>
          <w:sz w:val="24"/>
          <w:szCs w:val="24"/>
        </w:rPr>
        <w:t>, without the related correspondence, and the valuation from Dawn Pr</w:t>
      </w:r>
      <w:r w:rsidR="00106A2F" w:rsidRPr="00943504">
        <w:rPr>
          <w:rFonts w:ascii="Times New Roman" w:hAnsi="Times New Roman" w:cs="Times New Roman"/>
          <w:sz w:val="24"/>
          <w:szCs w:val="24"/>
        </w:rPr>
        <w:t>operties</w:t>
      </w:r>
      <w:r w:rsidR="0016741C" w:rsidRPr="00943504">
        <w:rPr>
          <w:rFonts w:ascii="Times New Roman" w:hAnsi="Times New Roman" w:cs="Times New Roman"/>
          <w:sz w:val="24"/>
          <w:szCs w:val="24"/>
        </w:rPr>
        <w:t>, to the applicant’s legal practitioners</w:t>
      </w:r>
      <w:r w:rsidR="00AA1D6E" w:rsidRPr="00943504">
        <w:rPr>
          <w:rFonts w:ascii="Times New Roman" w:hAnsi="Times New Roman" w:cs="Times New Roman"/>
          <w:sz w:val="24"/>
          <w:szCs w:val="24"/>
        </w:rPr>
        <w:t>.</w:t>
      </w:r>
      <w:r w:rsidR="0016741C" w:rsidRPr="00943504">
        <w:rPr>
          <w:rFonts w:ascii="Times New Roman" w:hAnsi="Times New Roman" w:cs="Times New Roman"/>
          <w:sz w:val="24"/>
          <w:szCs w:val="24"/>
        </w:rPr>
        <w:t xml:space="preserve"> T</w:t>
      </w:r>
      <w:r w:rsidR="00AA1D6E" w:rsidRPr="00943504">
        <w:rPr>
          <w:rFonts w:ascii="Times New Roman" w:hAnsi="Times New Roman" w:cs="Times New Roman"/>
          <w:sz w:val="24"/>
          <w:szCs w:val="24"/>
        </w:rPr>
        <w:t xml:space="preserve">he applicant </w:t>
      </w:r>
      <w:r w:rsidR="0016741C" w:rsidRPr="00943504">
        <w:rPr>
          <w:rFonts w:ascii="Times New Roman" w:hAnsi="Times New Roman" w:cs="Times New Roman"/>
          <w:sz w:val="24"/>
          <w:szCs w:val="24"/>
        </w:rPr>
        <w:t xml:space="preserve">thereafter </w:t>
      </w:r>
      <w:r w:rsidR="00AA1D6E" w:rsidRPr="00943504">
        <w:rPr>
          <w:rFonts w:ascii="Times New Roman" w:hAnsi="Times New Roman" w:cs="Times New Roman"/>
          <w:sz w:val="24"/>
          <w:szCs w:val="24"/>
        </w:rPr>
        <w:t>co</w:t>
      </w:r>
      <w:r w:rsidR="00106A2F" w:rsidRPr="00943504">
        <w:rPr>
          <w:rFonts w:ascii="Times New Roman" w:hAnsi="Times New Roman" w:cs="Times New Roman"/>
          <w:sz w:val="24"/>
          <w:szCs w:val="24"/>
        </w:rPr>
        <w:t>nsented to the mean value of</w:t>
      </w:r>
      <w:r w:rsidR="00AA1D6E" w:rsidRPr="00943504">
        <w:rPr>
          <w:rFonts w:ascii="Times New Roman" w:hAnsi="Times New Roman" w:cs="Times New Roman"/>
          <w:sz w:val="24"/>
          <w:szCs w:val="24"/>
        </w:rPr>
        <w:t xml:space="preserve"> the property. She </w:t>
      </w:r>
      <w:r w:rsidR="0016741C" w:rsidRPr="00943504">
        <w:rPr>
          <w:rFonts w:ascii="Times New Roman" w:hAnsi="Times New Roman" w:cs="Times New Roman"/>
          <w:sz w:val="24"/>
          <w:szCs w:val="24"/>
        </w:rPr>
        <w:t>purported</w:t>
      </w:r>
      <w:r w:rsidR="009E54F8" w:rsidRPr="00943504">
        <w:rPr>
          <w:rFonts w:ascii="Times New Roman" w:hAnsi="Times New Roman" w:cs="Times New Roman"/>
          <w:sz w:val="24"/>
          <w:szCs w:val="24"/>
        </w:rPr>
        <w:t xml:space="preserve"> to have acted in blissful</w:t>
      </w:r>
      <w:r w:rsidR="0016741C" w:rsidRPr="00943504">
        <w:rPr>
          <w:rFonts w:ascii="Times New Roman" w:hAnsi="Times New Roman" w:cs="Times New Roman"/>
          <w:sz w:val="24"/>
          <w:szCs w:val="24"/>
        </w:rPr>
        <w:t xml:space="preserve"> ignorance</w:t>
      </w:r>
      <w:r w:rsidR="00AA1D6E" w:rsidRPr="00943504">
        <w:rPr>
          <w:rFonts w:ascii="Times New Roman" w:hAnsi="Times New Roman" w:cs="Times New Roman"/>
          <w:sz w:val="24"/>
          <w:szCs w:val="24"/>
        </w:rPr>
        <w:t xml:space="preserve"> of the existence of t</w:t>
      </w:r>
      <w:r w:rsidR="00106A2F" w:rsidRPr="00943504">
        <w:rPr>
          <w:rFonts w:ascii="Times New Roman" w:hAnsi="Times New Roman" w:cs="Times New Roman"/>
          <w:sz w:val="24"/>
          <w:szCs w:val="24"/>
        </w:rPr>
        <w:t xml:space="preserve">he first </w:t>
      </w:r>
      <w:r w:rsidR="0016741C" w:rsidRPr="00943504">
        <w:rPr>
          <w:rFonts w:ascii="Times New Roman" w:hAnsi="Times New Roman" w:cs="Times New Roman"/>
          <w:sz w:val="24"/>
          <w:szCs w:val="24"/>
        </w:rPr>
        <w:t xml:space="preserve">Guest and Tanner </w:t>
      </w:r>
      <w:r w:rsidR="00106A2F" w:rsidRPr="00943504">
        <w:rPr>
          <w:rFonts w:ascii="Times New Roman" w:hAnsi="Times New Roman" w:cs="Times New Roman"/>
          <w:sz w:val="24"/>
          <w:szCs w:val="24"/>
        </w:rPr>
        <w:t>report, which carried the</w:t>
      </w:r>
      <w:r w:rsidR="00AA1D6E" w:rsidRPr="00943504">
        <w:rPr>
          <w:rFonts w:ascii="Times New Roman" w:hAnsi="Times New Roman" w:cs="Times New Roman"/>
          <w:sz w:val="24"/>
          <w:szCs w:val="24"/>
        </w:rPr>
        <w:t xml:space="preserve"> higher value. She provided her legal practitioners with her bank account</w:t>
      </w:r>
      <w:r w:rsidR="005E64A7" w:rsidRPr="00943504">
        <w:rPr>
          <w:rFonts w:ascii="Times New Roman" w:hAnsi="Times New Roman" w:cs="Times New Roman"/>
          <w:sz w:val="24"/>
          <w:szCs w:val="24"/>
        </w:rPr>
        <w:t xml:space="preserve"> on or about 19 September 2017. T</w:t>
      </w:r>
      <w:r w:rsidR="00AA1D6E" w:rsidRPr="00943504">
        <w:rPr>
          <w:rFonts w:ascii="Times New Roman" w:hAnsi="Times New Roman" w:cs="Times New Roman"/>
          <w:sz w:val="24"/>
          <w:szCs w:val="24"/>
        </w:rPr>
        <w:t>he respondent deposited her half-share</w:t>
      </w:r>
      <w:r w:rsidR="005E64A7" w:rsidRPr="00943504">
        <w:rPr>
          <w:rFonts w:ascii="Times New Roman" w:hAnsi="Times New Roman" w:cs="Times New Roman"/>
          <w:sz w:val="24"/>
          <w:szCs w:val="24"/>
        </w:rPr>
        <w:t xml:space="preserve"> therein, within the pr</w:t>
      </w:r>
      <w:r w:rsidR="008B1B43" w:rsidRPr="00943504">
        <w:rPr>
          <w:rFonts w:ascii="Times New Roman" w:hAnsi="Times New Roman" w:cs="Times New Roman"/>
          <w:sz w:val="24"/>
          <w:szCs w:val="24"/>
        </w:rPr>
        <w:t>escribed 6 months, on 5 January </w:t>
      </w:r>
      <w:r w:rsidR="005E64A7" w:rsidRPr="00943504">
        <w:rPr>
          <w:rFonts w:ascii="Times New Roman" w:hAnsi="Times New Roman" w:cs="Times New Roman"/>
          <w:sz w:val="24"/>
          <w:szCs w:val="24"/>
        </w:rPr>
        <w:t>2018</w:t>
      </w:r>
      <w:r w:rsidR="00AA1D6E" w:rsidRPr="00943504">
        <w:rPr>
          <w:rFonts w:ascii="Times New Roman" w:hAnsi="Times New Roman" w:cs="Times New Roman"/>
          <w:sz w:val="24"/>
          <w:szCs w:val="24"/>
        </w:rPr>
        <w:t xml:space="preserve">. </w:t>
      </w:r>
    </w:p>
    <w:p w14:paraId="6CD5443C" w14:textId="77777777" w:rsidR="007240F3" w:rsidRPr="00943504" w:rsidRDefault="007240F3" w:rsidP="00943504">
      <w:pPr>
        <w:spacing w:after="0" w:line="480" w:lineRule="auto"/>
        <w:ind w:firstLine="1134"/>
        <w:jc w:val="both"/>
        <w:rPr>
          <w:rFonts w:ascii="Times New Roman" w:hAnsi="Times New Roman" w:cs="Times New Roman"/>
          <w:sz w:val="24"/>
          <w:szCs w:val="24"/>
        </w:rPr>
      </w:pPr>
    </w:p>
    <w:p w14:paraId="4CA7A7A9" w14:textId="77777777" w:rsidR="008F57C6" w:rsidRPr="00943504" w:rsidRDefault="00C02D6C"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She did not voluntarily transfer her half-share to the respondent. The respondent sued her for transfer </w:t>
      </w:r>
      <w:r w:rsidR="00383D34" w:rsidRPr="00943504">
        <w:rPr>
          <w:rFonts w:ascii="Times New Roman" w:hAnsi="Times New Roman" w:cs="Times New Roman"/>
          <w:sz w:val="24"/>
          <w:szCs w:val="24"/>
        </w:rPr>
        <w:t>on 5 March 2018, and obtained judgment on 14 November 2018</w:t>
      </w:r>
      <w:r w:rsidRPr="00943504">
        <w:rPr>
          <w:rFonts w:ascii="Times New Roman" w:hAnsi="Times New Roman" w:cs="Times New Roman"/>
          <w:sz w:val="24"/>
          <w:szCs w:val="24"/>
        </w:rPr>
        <w:t>. It was in th</w:t>
      </w:r>
      <w:r w:rsidR="0032694B" w:rsidRPr="00943504">
        <w:rPr>
          <w:rFonts w:ascii="Times New Roman" w:hAnsi="Times New Roman" w:cs="Times New Roman"/>
          <w:sz w:val="24"/>
          <w:szCs w:val="24"/>
        </w:rPr>
        <w:t xml:space="preserve">ose proceedings </w:t>
      </w:r>
      <w:r w:rsidR="008F57C6" w:rsidRPr="00943504">
        <w:rPr>
          <w:rFonts w:ascii="Times New Roman" w:hAnsi="Times New Roman" w:cs="Times New Roman"/>
          <w:sz w:val="24"/>
          <w:szCs w:val="24"/>
        </w:rPr>
        <w:t>that she disclosed the basis for her attempted repudiation of</w:t>
      </w:r>
      <w:r w:rsidRPr="00943504">
        <w:rPr>
          <w:rFonts w:ascii="Times New Roman" w:hAnsi="Times New Roman" w:cs="Times New Roman"/>
          <w:sz w:val="24"/>
          <w:szCs w:val="24"/>
        </w:rPr>
        <w:t xml:space="preserve"> the </w:t>
      </w:r>
      <w:r w:rsidR="008F57C6" w:rsidRPr="00943504">
        <w:rPr>
          <w:rFonts w:ascii="Times New Roman" w:hAnsi="Times New Roman" w:cs="Times New Roman"/>
          <w:sz w:val="24"/>
          <w:szCs w:val="24"/>
        </w:rPr>
        <w:t xml:space="preserve">agreement to transfer her half-share on payment of the agreed purchase price. </w:t>
      </w:r>
      <w:r w:rsidR="005E64A7" w:rsidRPr="00943504">
        <w:rPr>
          <w:rFonts w:ascii="Times New Roman" w:hAnsi="Times New Roman" w:cs="Times New Roman"/>
          <w:sz w:val="24"/>
          <w:szCs w:val="24"/>
        </w:rPr>
        <w:t xml:space="preserve">She suspected </w:t>
      </w:r>
      <w:r w:rsidR="00FD0996" w:rsidRPr="00943504">
        <w:rPr>
          <w:rFonts w:ascii="Times New Roman" w:hAnsi="Times New Roman" w:cs="Times New Roman"/>
          <w:sz w:val="24"/>
          <w:szCs w:val="24"/>
        </w:rPr>
        <w:t xml:space="preserve">that </w:t>
      </w:r>
      <w:r w:rsidR="005E64A7" w:rsidRPr="00943504">
        <w:rPr>
          <w:rFonts w:ascii="Times New Roman" w:hAnsi="Times New Roman" w:cs="Times New Roman"/>
          <w:sz w:val="24"/>
          <w:szCs w:val="24"/>
        </w:rPr>
        <w:t>the respondent had</w:t>
      </w:r>
      <w:r w:rsidR="00FD0996" w:rsidRPr="00943504">
        <w:rPr>
          <w:rFonts w:ascii="Times New Roman" w:hAnsi="Times New Roman" w:cs="Times New Roman"/>
          <w:sz w:val="24"/>
          <w:szCs w:val="24"/>
        </w:rPr>
        <w:t>,</w:t>
      </w:r>
      <w:r w:rsidR="005E64A7" w:rsidRPr="00943504">
        <w:rPr>
          <w:rFonts w:ascii="Times New Roman" w:hAnsi="Times New Roman" w:cs="Times New Roman"/>
          <w:sz w:val="24"/>
          <w:szCs w:val="24"/>
        </w:rPr>
        <w:t xml:space="preserve"> in the undisclosed letter of </w:t>
      </w:r>
      <w:r w:rsidR="00075E9E" w:rsidRPr="00943504">
        <w:rPr>
          <w:rFonts w:ascii="Times New Roman" w:hAnsi="Times New Roman" w:cs="Times New Roman"/>
          <w:sz w:val="24"/>
          <w:szCs w:val="24"/>
        </w:rPr>
        <w:t>26 May </w:t>
      </w:r>
      <w:r w:rsidR="00FD0996" w:rsidRPr="00943504">
        <w:rPr>
          <w:rFonts w:ascii="Times New Roman" w:hAnsi="Times New Roman" w:cs="Times New Roman"/>
          <w:sz w:val="24"/>
          <w:szCs w:val="24"/>
        </w:rPr>
        <w:t xml:space="preserve">2017, </w:t>
      </w:r>
      <w:r w:rsidR="005E64A7" w:rsidRPr="00943504">
        <w:rPr>
          <w:rFonts w:ascii="Times New Roman" w:hAnsi="Times New Roman" w:cs="Times New Roman"/>
          <w:sz w:val="24"/>
          <w:szCs w:val="24"/>
        </w:rPr>
        <w:t>influenced Guest and Tanner to reduce the value of the property.</w:t>
      </w:r>
      <w:r w:rsidR="00FD0996" w:rsidRPr="00943504">
        <w:rPr>
          <w:rFonts w:ascii="Times New Roman" w:hAnsi="Times New Roman" w:cs="Times New Roman"/>
          <w:sz w:val="24"/>
          <w:szCs w:val="24"/>
        </w:rPr>
        <w:t xml:space="preserve"> The letter in question formed part of the attachments to the pleadings filed </w:t>
      </w:r>
      <w:r w:rsidR="00FD0996" w:rsidRPr="00943504">
        <w:rPr>
          <w:rFonts w:ascii="Times New Roman" w:hAnsi="Times New Roman" w:cs="Times New Roman"/>
          <w:i/>
          <w:sz w:val="24"/>
          <w:szCs w:val="24"/>
        </w:rPr>
        <w:t>a quo</w:t>
      </w:r>
      <w:r w:rsidR="00FD0996" w:rsidRPr="00943504">
        <w:rPr>
          <w:rFonts w:ascii="Times New Roman" w:hAnsi="Times New Roman" w:cs="Times New Roman"/>
          <w:sz w:val="24"/>
          <w:szCs w:val="24"/>
        </w:rPr>
        <w:t xml:space="preserve">. </w:t>
      </w:r>
    </w:p>
    <w:p w14:paraId="56D7CD98" w14:textId="77777777" w:rsidR="0011737D" w:rsidRDefault="0011737D" w:rsidP="00943504">
      <w:pPr>
        <w:spacing w:after="0" w:line="240" w:lineRule="auto"/>
        <w:jc w:val="both"/>
        <w:rPr>
          <w:rFonts w:ascii="Times New Roman" w:hAnsi="Times New Roman" w:cs="Times New Roman"/>
          <w:sz w:val="24"/>
          <w:szCs w:val="24"/>
        </w:rPr>
      </w:pPr>
    </w:p>
    <w:p w14:paraId="2FF719D6" w14:textId="77777777" w:rsidR="00BE264A" w:rsidRPr="00943504" w:rsidRDefault="00BE264A" w:rsidP="00943504">
      <w:pPr>
        <w:spacing w:after="0" w:line="240" w:lineRule="auto"/>
        <w:jc w:val="both"/>
        <w:rPr>
          <w:rFonts w:ascii="Times New Roman" w:hAnsi="Times New Roman" w:cs="Times New Roman"/>
          <w:sz w:val="24"/>
          <w:szCs w:val="24"/>
        </w:rPr>
      </w:pPr>
    </w:p>
    <w:p w14:paraId="35A6E383" w14:textId="77777777" w:rsidR="00FE6051" w:rsidRPr="00943504" w:rsidRDefault="001D53C9" w:rsidP="00943504">
      <w:pPr>
        <w:spacing w:after="0" w:line="240" w:lineRule="auto"/>
        <w:jc w:val="both"/>
        <w:rPr>
          <w:rFonts w:ascii="Times New Roman" w:hAnsi="Times New Roman" w:cs="Times New Roman"/>
          <w:sz w:val="24"/>
          <w:szCs w:val="24"/>
        </w:rPr>
      </w:pPr>
      <w:r w:rsidRPr="00943504">
        <w:rPr>
          <w:rFonts w:ascii="Times New Roman" w:hAnsi="Times New Roman" w:cs="Times New Roman"/>
          <w:sz w:val="24"/>
          <w:szCs w:val="24"/>
        </w:rPr>
        <w:t xml:space="preserve">The court </w:t>
      </w:r>
      <w:r w:rsidRPr="00943504">
        <w:rPr>
          <w:rFonts w:ascii="Times New Roman" w:hAnsi="Times New Roman" w:cs="Times New Roman"/>
          <w:i/>
          <w:sz w:val="24"/>
          <w:szCs w:val="24"/>
        </w:rPr>
        <w:t>a quo</w:t>
      </w:r>
      <w:r w:rsidRPr="00943504">
        <w:rPr>
          <w:rFonts w:ascii="Times New Roman" w:hAnsi="Times New Roman" w:cs="Times New Roman"/>
          <w:sz w:val="24"/>
          <w:szCs w:val="24"/>
        </w:rPr>
        <w:t xml:space="preserve"> made certain findings of fact. These were that</w:t>
      </w:r>
      <w:r w:rsidR="00FE6051" w:rsidRPr="00943504">
        <w:rPr>
          <w:rFonts w:ascii="Times New Roman" w:hAnsi="Times New Roman" w:cs="Times New Roman"/>
          <w:sz w:val="24"/>
          <w:szCs w:val="24"/>
        </w:rPr>
        <w:t>:</w:t>
      </w:r>
    </w:p>
    <w:p w14:paraId="5E72D7FA" w14:textId="77777777" w:rsidR="00440BDD" w:rsidRPr="00943504" w:rsidRDefault="00440BDD" w:rsidP="00943504">
      <w:pPr>
        <w:spacing w:after="0" w:line="240" w:lineRule="auto"/>
        <w:jc w:val="both"/>
        <w:rPr>
          <w:rFonts w:ascii="Times New Roman" w:hAnsi="Times New Roman" w:cs="Times New Roman"/>
          <w:sz w:val="24"/>
          <w:szCs w:val="24"/>
        </w:rPr>
      </w:pPr>
    </w:p>
    <w:p w14:paraId="76D48548" w14:textId="77777777" w:rsidR="001D53C9" w:rsidRPr="00943504" w:rsidRDefault="00FE6051" w:rsidP="00BE264A">
      <w:pPr>
        <w:pStyle w:val="ListParagraph"/>
        <w:numPr>
          <w:ilvl w:val="0"/>
          <w:numId w:val="12"/>
        </w:numPr>
        <w:spacing w:after="0" w:line="48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The</w:t>
      </w:r>
      <w:r w:rsidR="001D53C9" w:rsidRPr="00943504">
        <w:rPr>
          <w:rFonts w:ascii="Times New Roman" w:hAnsi="Times New Roman" w:cs="Times New Roman"/>
          <w:sz w:val="24"/>
          <w:szCs w:val="24"/>
        </w:rPr>
        <w:t xml:space="preserve"> contents of the letter could not have influenced Guest and Tanner to rectify </w:t>
      </w:r>
      <w:r w:rsidRPr="00943504">
        <w:rPr>
          <w:rFonts w:ascii="Times New Roman" w:hAnsi="Times New Roman" w:cs="Times New Roman"/>
          <w:sz w:val="24"/>
          <w:szCs w:val="24"/>
        </w:rPr>
        <w:t>the value of the property, as the seven questions sought explanations of how the valuation was done</w:t>
      </w:r>
      <w:r w:rsidR="00C755AE" w:rsidRPr="00943504">
        <w:rPr>
          <w:rFonts w:ascii="Times New Roman" w:hAnsi="Times New Roman" w:cs="Times New Roman"/>
          <w:sz w:val="24"/>
          <w:szCs w:val="24"/>
        </w:rPr>
        <w:t xml:space="preserve"> and was therefore not prejudicial to the applicant</w:t>
      </w:r>
      <w:r w:rsidRPr="00943504">
        <w:rPr>
          <w:rFonts w:ascii="Times New Roman" w:hAnsi="Times New Roman" w:cs="Times New Roman"/>
          <w:sz w:val="24"/>
          <w:szCs w:val="24"/>
        </w:rPr>
        <w:t>. The avowed typing error was genuine.</w:t>
      </w:r>
    </w:p>
    <w:p w14:paraId="520A17D6" w14:textId="77777777" w:rsidR="00383D34" w:rsidRPr="00943504" w:rsidRDefault="00383D34" w:rsidP="00BE264A">
      <w:pPr>
        <w:pStyle w:val="ListParagraph"/>
        <w:numPr>
          <w:ilvl w:val="0"/>
          <w:numId w:val="12"/>
        </w:numPr>
        <w:spacing w:after="0" w:line="48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 xml:space="preserve">She had not established that the corrected value was incorrect. </w:t>
      </w:r>
    </w:p>
    <w:p w14:paraId="6841502B" w14:textId="77777777" w:rsidR="00FE6051" w:rsidRPr="00943504" w:rsidRDefault="00FE6051" w:rsidP="00BE264A">
      <w:pPr>
        <w:pStyle w:val="ListParagraph"/>
        <w:numPr>
          <w:ilvl w:val="0"/>
          <w:numId w:val="12"/>
        </w:numPr>
        <w:spacing w:after="0" w:line="48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lastRenderedPageBreak/>
        <w:t>The applicant’s legal practitioner had received the initial and subsequent valuation reports from Guest and Tanner, which had noticeable differenc</w:t>
      </w:r>
      <w:r w:rsidR="0032694B" w:rsidRPr="00943504">
        <w:rPr>
          <w:rFonts w:ascii="Times New Roman" w:hAnsi="Times New Roman" w:cs="Times New Roman"/>
          <w:sz w:val="24"/>
          <w:szCs w:val="24"/>
        </w:rPr>
        <w:t>es in the market value of the property.</w:t>
      </w:r>
    </w:p>
    <w:p w14:paraId="2CAD8340" w14:textId="77777777" w:rsidR="00383D34" w:rsidRPr="00943504" w:rsidRDefault="00365F1D" w:rsidP="00BE264A">
      <w:pPr>
        <w:pStyle w:val="ListParagraph"/>
        <w:numPr>
          <w:ilvl w:val="0"/>
          <w:numId w:val="12"/>
        </w:numPr>
        <w:spacing w:after="0" w:line="48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When the applicant beca</w:t>
      </w:r>
      <w:r w:rsidR="0032694B" w:rsidRPr="00943504">
        <w:rPr>
          <w:rFonts w:ascii="Times New Roman" w:hAnsi="Times New Roman" w:cs="Times New Roman"/>
          <w:sz w:val="24"/>
          <w:szCs w:val="24"/>
        </w:rPr>
        <w:t>me aware of the higher value</w:t>
      </w:r>
      <w:r w:rsidRPr="00943504">
        <w:rPr>
          <w:rFonts w:ascii="Times New Roman" w:hAnsi="Times New Roman" w:cs="Times New Roman"/>
          <w:sz w:val="24"/>
          <w:szCs w:val="24"/>
        </w:rPr>
        <w:t>, through her legal practitioner on 22 July 2017, she could have</w:t>
      </w:r>
      <w:r w:rsidR="008D6C23" w:rsidRPr="00943504">
        <w:rPr>
          <w:rFonts w:ascii="Times New Roman" w:hAnsi="Times New Roman" w:cs="Times New Roman"/>
          <w:sz w:val="24"/>
          <w:szCs w:val="24"/>
        </w:rPr>
        <w:t xml:space="preserve"> sought a third valuation and</w:t>
      </w:r>
      <w:r w:rsidRPr="00943504">
        <w:rPr>
          <w:rFonts w:ascii="Times New Roman" w:hAnsi="Times New Roman" w:cs="Times New Roman"/>
          <w:sz w:val="24"/>
          <w:szCs w:val="24"/>
        </w:rPr>
        <w:t xml:space="preserve"> dispensed with the mean average value</w:t>
      </w:r>
      <w:r w:rsidR="0032694B" w:rsidRPr="00943504">
        <w:rPr>
          <w:rFonts w:ascii="Times New Roman" w:hAnsi="Times New Roman" w:cs="Times New Roman"/>
          <w:sz w:val="24"/>
          <w:szCs w:val="24"/>
        </w:rPr>
        <w:t>, but failed to do so</w:t>
      </w:r>
      <w:r w:rsidR="00383D34" w:rsidRPr="00943504">
        <w:rPr>
          <w:rFonts w:ascii="Times New Roman" w:hAnsi="Times New Roman" w:cs="Times New Roman"/>
          <w:sz w:val="24"/>
          <w:szCs w:val="24"/>
        </w:rPr>
        <w:t xml:space="preserve">. </w:t>
      </w:r>
    </w:p>
    <w:p w14:paraId="1790EADF" w14:textId="77777777" w:rsidR="000C743A" w:rsidRPr="00943504" w:rsidRDefault="000C743A" w:rsidP="00943504">
      <w:pPr>
        <w:spacing w:after="0" w:line="240" w:lineRule="auto"/>
        <w:jc w:val="both"/>
        <w:rPr>
          <w:rFonts w:ascii="Times New Roman" w:hAnsi="Times New Roman" w:cs="Times New Roman"/>
          <w:sz w:val="24"/>
          <w:szCs w:val="24"/>
        </w:rPr>
      </w:pPr>
    </w:p>
    <w:p w14:paraId="2D8F1E77" w14:textId="77777777" w:rsidR="001E10CF" w:rsidRPr="00943504" w:rsidRDefault="001E10CF" w:rsidP="00BE264A">
      <w:pPr>
        <w:pStyle w:val="ListParagraph"/>
        <w:numPr>
          <w:ilvl w:val="0"/>
          <w:numId w:val="12"/>
        </w:numPr>
        <w:spacing w:after="0" w:line="48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She accepted a one off payment and not part payments with knowledge of the two Guest and Tanner valuations.</w:t>
      </w:r>
    </w:p>
    <w:p w14:paraId="66909092" w14:textId="77777777" w:rsidR="001E10CF" w:rsidRPr="00943504" w:rsidRDefault="001E10CF" w:rsidP="00BE264A">
      <w:pPr>
        <w:pStyle w:val="ListParagraph"/>
        <w:numPr>
          <w:ilvl w:val="0"/>
          <w:numId w:val="12"/>
        </w:numPr>
        <w:spacing w:after="0" w:line="48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She was estopped from rejecting transfer after misleading the respondent that her acceptance was with full knowledge of the facts pertaining to the two Guest and Tanner valuations.</w:t>
      </w:r>
    </w:p>
    <w:p w14:paraId="53072CF8" w14:textId="77777777" w:rsidR="00F96B82" w:rsidRPr="00943504" w:rsidRDefault="00F96B82" w:rsidP="00BE264A">
      <w:pPr>
        <w:pStyle w:val="ListParagraph"/>
        <w:numPr>
          <w:ilvl w:val="0"/>
          <w:numId w:val="12"/>
        </w:numPr>
        <w:spacing w:after="0" w:line="240" w:lineRule="auto"/>
        <w:ind w:left="1134" w:hanging="567"/>
        <w:jc w:val="both"/>
        <w:rPr>
          <w:rFonts w:ascii="Times New Roman" w:hAnsi="Times New Roman" w:cs="Times New Roman"/>
          <w:sz w:val="24"/>
          <w:szCs w:val="24"/>
        </w:rPr>
      </w:pPr>
      <w:r w:rsidRPr="00943504">
        <w:rPr>
          <w:rFonts w:ascii="Times New Roman" w:hAnsi="Times New Roman" w:cs="Times New Roman"/>
          <w:sz w:val="24"/>
          <w:szCs w:val="24"/>
        </w:rPr>
        <w:t xml:space="preserve">The consent court order upon which their respective actions </w:t>
      </w:r>
      <w:r w:rsidR="00FE2AE1" w:rsidRPr="00943504">
        <w:rPr>
          <w:rFonts w:ascii="Times New Roman" w:hAnsi="Times New Roman" w:cs="Times New Roman"/>
          <w:sz w:val="24"/>
          <w:szCs w:val="24"/>
        </w:rPr>
        <w:t>were</w:t>
      </w:r>
      <w:r w:rsidRPr="00943504">
        <w:rPr>
          <w:rFonts w:ascii="Times New Roman" w:hAnsi="Times New Roman" w:cs="Times New Roman"/>
          <w:sz w:val="24"/>
          <w:szCs w:val="24"/>
        </w:rPr>
        <w:t xml:space="preserve"> based had to be obeyed or enforced.</w:t>
      </w:r>
    </w:p>
    <w:p w14:paraId="55551091" w14:textId="77777777" w:rsidR="00AC20A8" w:rsidRPr="00943504" w:rsidRDefault="00AC20A8" w:rsidP="00943504">
      <w:pPr>
        <w:pStyle w:val="ListParagraph"/>
        <w:spacing w:after="0" w:line="240" w:lineRule="auto"/>
        <w:jc w:val="both"/>
        <w:rPr>
          <w:rFonts w:ascii="Times New Roman" w:hAnsi="Times New Roman" w:cs="Times New Roman"/>
          <w:sz w:val="24"/>
          <w:szCs w:val="24"/>
        </w:rPr>
      </w:pPr>
    </w:p>
    <w:p w14:paraId="3B6968C9" w14:textId="77777777" w:rsidR="00AC20A8" w:rsidRPr="00943504" w:rsidRDefault="00AC20A8" w:rsidP="00943504">
      <w:pPr>
        <w:pStyle w:val="ListParagraph"/>
        <w:spacing w:after="0" w:line="240" w:lineRule="auto"/>
        <w:jc w:val="both"/>
        <w:rPr>
          <w:rFonts w:ascii="Times New Roman" w:hAnsi="Times New Roman" w:cs="Times New Roman"/>
          <w:sz w:val="24"/>
          <w:szCs w:val="24"/>
        </w:rPr>
      </w:pPr>
    </w:p>
    <w:p w14:paraId="55E5C641" w14:textId="77777777" w:rsidR="00C755AE" w:rsidRPr="00943504" w:rsidRDefault="00C755AE" w:rsidP="00943504">
      <w:pPr>
        <w:spacing w:after="0" w:line="240" w:lineRule="auto"/>
        <w:ind w:left="360"/>
        <w:jc w:val="both"/>
        <w:rPr>
          <w:rFonts w:ascii="Times New Roman" w:hAnsi="Times New Roman" w:cs="Times New Roman"/>
          <w:sz w:val="24"/>
          <w:szCs w:val="24"/>
        </w:rPr>
      </w:pPr>
    </w:p>
    <w:p w14:paraId="6AF38048" w14:textId="77777777" w:rsidR="00A84510" w:rsidRPr="00943504" w:rsidRDefault="00AC20A8" w:rsidP="00943504">
      <w:pPr>
        <w:tabs>
          <w:tab w:val="left" w:pos="1134"/>
        </w:tabs>
        <w:spacing w:after="0" w:line="480" w:lineRule="auto"/>
        <w:jc w:val="both"/>
        <w:rPr>
          <w:rFonts w:ascii="Times New Roman" w:hAnsi="Times New Roman" w:cs="Times New Roman"/>
          <w:sz w:val="24"/>
          <w:szCs w:val="24"/>
        </w:rPr>
      </w:pPr>
      <w:r w:rsidRPr="00943504">
        <w:rPr>
          <w:rFonts w:ascii="Times New Roman" w:hAnsi="Times New Roman" w:cs="Times New Roman"/>
          <w:sz w:val="24"/>
          <w:szCs w:val="24"/>
        </w:rPr>
        <w:tab/>
      </w:r>
      <w:r w:rsidR="00FF79AF" w:rsidRPr="00943504">
        <w:rPr>
          <w:rFonts w:ascii="Times New Roman" w:hAnsi="Times New Roman" w:cs="Times New Roman"/>
          <w:sz w:val="24"/>
          <w:szCs w:val="24"/>
        </w:rPr>
        <w:t xml:space="preserve">At the hearing, Mr </w:t>
      </w:r>
      <w:r w:rsidR="00FF79AF" w:rsidRPr="00943504">
        <w:rPr>
          <w:rFonts w:ascii="Times New Roman" w:hAnsi="Times New Roman" w:cs="Times New Roman"/>
          <w:i/>
          <w:sz w:val="24"/>
          <w:szCs w:val="24"/>
        </w:rPr>
        <w:t>Paul</w:t>
      </w:r>
      <w:r w:rsidR="00FF79AF" w:rsidRPr="00943504">
        <w:rPr>
          <w:rFonts w:ascii="Times New Roman" w:hAnsi="Times New Roman" w:cs="Times New Roman"/>
          <w:sz w:val="24"/>
          <w:szCs w:val="24"/>
        </w:rPr>
        <w:t xml:space="preserve"> conceded that in the circumstances of this case, the failure by the respondent’s legal practitioners to copy the letter of 26 May 2017 to the applicant’s legal practitioners could not constitute fraudulent non-disclosure</w:t>
      </w:r>
      <w:r w:rsidRPr="00943504">
        <w:rPr>
          <w:rFonts w:ascii="Times New Roman" w:hAnsi="Times New Roman" w:cs="Times New Roman"/>
          <w:sz w:val="24"/>
          <w:szCs w:val="24"/>
        </w:rPr>
        <w:t xml:space="preserve"> </w:t>
      </w:r>
      <w:r w:rsidR="0032694B" w:rsidRPr="00943504">
        <w:rPr>
          <w:rFonts w:ascii="Times New Roman" w:hAnsi="Times New Roman" w:cs="Times New Roman"/>
          <w:sz w:val="24"/>
          <w:szCs w:val="24"/>
        </w:rPr>
        <w:t xml:space="preserve">but argued </w:t>
      </w:r>
      <w:r w:rsidR="00FF79AF" w:rsidRPr="00943504">
        <w:rPr>
          <w:rFonts w:ascii="Times New Roman" w:hAnsi="Times New Roman" w:cs="Times New Roman"/>
          <w:sz w:val="24"/>
          <w:szCs w:val="24"/>
        </w:rPr>
        <w:t xml:space="preserve">that it constituted material non-disclosure. Mr </w:t>
      </w:r>
      <w:r w:rsidR="00FF79AF" w:rsidRPr="00943504">
        <w:rPr>
          <w:rFonts w:ascii="Times New Roman" w:hAnsi="Times New Roman" w:cs="Times New Roman"/>
          <w:i/>
          <w:sz w:val="24"/>
          <w:szCs w:val="24"/>
        </w:rPr>
        <w:t>Mhlanga</w:t>
      </w:r>
      <w:r w:rsidR="00FF79AF" w:rsidRPr="00943504">
        <w:rPr>
          <w:rFonts w:ascii="Times New Roman" w:hAnsi="Times New Roman" w:cs="Times New Roman"/>
          <w:sz w:val="24"/>
          <w:szCs w:val="24"/>
        </w:rPr>
        <w:t xml:space="preserve"> strongly argued that it did not constitute either fraudulent or material non-disclosure as the contents of that letter did not question the initial value provided by Guest and Tanner but sought to understand the manner in which the valuation had been done. O</w:t>
      </w:r>
      <w:r w:rsidR="00960FEE" w:rsidRPr="00943504">
        <w:rPr>
          <w:rFonts w:ascii="Times New Roman" w:hAnsi="Times New Roman" w:cs="Times New Roman"/>
          <w:sz w:val="24"/>
          <w:szCs w:val="24"/>
        </w:rPr>
        <w:t xml:space="preserve">ne of the pertinent questions pertained to whether the comparative method of valuation related to analogous </w:t>
      </w:r>
      <w:r w:rsidR="0032694B" w:rsidRPr="00943504">
        <w:rPr>
          <w:rFonts w:ascii="Times New Roman" w:hAnsi="Times New Roman" w:cs="Times New Roman"/>
          <w:sz w:val="24"/>
          <w:szCs w:val="24"/>
        </w:rPr>
        <w:t>incomplete superstructures in comparable localities or</w:t>
      </w:r>
      <w:r w:rsidR="00960FEE" w:rsidRPr="00943504">
        <w:rPr>
          <w:rFonts w:ascii="Times New Roman" w:hAnsi="Times New Roman" w:cs="Times New Roman"/>
          <w:sz w:val="24"/>
          <w:szCs w:val="24"/>
        </w:rPr>
        <w:t xml:space="preserve"> completed house</w:t>
      </w:r>
      <w:r w:rsidR="0032694B" w:rsidRPr="00943504">
        <w:rPr>
          <w:rFonts w:ascii="Times New Roman" w:hAnsi="Times New Roman" w:cs="Times New Roman"/>
          <w:sz w:val="24"/>
          <w:szCs w:val="24"/>
        </w:rPr>
        <w:t>s</w:t>
      </w:r>
      <w:r w:rsidR="00960FEE" w:rsidRPr="00943504">
        <w:rPr>
          <w:rFonts w:ascii="Times New Roman" w:hAnsi="Times New Roman" w:cs="Times New Roman"/>
          <w:sz w:val="24"/>
          <w:szCs w:val="24"/>
        </w:rPr>
        <w:t xml:space="preserve">. </w:t>
      </w:r>
      <w:r w:rsidR="0032694B" w:rsidRPr="00943504">
        <w:rPr>
          <w:rFonts w:ascii="Times New Roman" w:hAnsi="Times New Roman" w:cs="Times New Roman"/>
          <w:sz w:val="24"/>
          <w:szCs w:val="24"/>
        </w:rPr>
        <w:t>This and the other questions were relevant</w:t>
      </w:r>
      <w:r w:rsidR="00D65844" w:rsidRPr="00943504">
        <w:rPr>
          <w:rFonts w:ascii="Times New Roman" w:hAnsi="Times New Roman" w:cs="Times New Roman"/>
          <w:sz w:val="24"/>
          <w:szCs w:val="24"/>
        </w:rPr>
        <w:t xml:space="preserve"> in view of the </w:t>
      </w:r>
      <w:r w:rsidR="001D79E4" w:rsidRPr="00943504">
        <w:rPr>
          <w:rFonts w:ascii="Times New Roman" w:hAnsi="Times New Roman" w:cs="Times New Roman"/>
          <w:i/>
          <w:sz w:val="24"/>
          <w:szCs w:val="24"/>
        </w:rPr>
        <w:t>caveat</w:t>
      </w:r>
      <w:r w:rsidR="001D79E4" w:rsidRPr="00943504">
        <w:rPr>
          <w:rFonts w:ascii="Times New Roman" w:hAnsi="Times New Roman" w:cs="Times New Roman"/>
          <w:sz w:val="24"/>
          <w:szCs w:val="24"/>
        </w:rPr>
        <w:t xml:space="preserve"> in both reports that there were insufficient comparable sales of analogous properties. </w:t>
      </w:r>
      <w:r w:rsidR="002802B9" w:rsidRPr="00943504">
        <w:rPr>
          <w:rFonts w:ascii="Times New Roman" w:hAnsi="Times New Roman" w:cs="Times New Roman"/>
          <w:sz w:val="24"/>
          <w:szCs w:val="24"/>
        </w:rPr>
        <w:t xml:space="preserve">The valuator </w:t>
      </w:r>
      <w:r w:rsidR="002802B9" w:rsidRPr="00943504">
        <w:rPr>
          <w:rFonts w:ascii="Times New Roman" w:hAnsi="Times New Roman" w:cs="Times New Roman"/>
          <w:sz w:val="24"/>
          <w:szCs w:val="24"/>
        </w:rPr>
        <w:lastRenderedPageBreak/>
        <w:t>apparently applied the residual method estimate formu</w:t>
      </w:r>
      <w:r w:rsidR="00EC5521" w:rsidRPr="00943504">
        <w:rPr>
          <w:rFonts w:ascii="Times New Roman" w:hAnsi="Times New Roman" w:cs="Times New Roman"/>
          <w:sz w:val="24"/>
          <w:szCs w:val="24"/>
        </w:rPr>
        <w:t>la to cross check the value of the property against those of similar but completed houses</w:t>
      </w:r>
      <w:r w:rsidR="002802B9" w:rsidRPr="00943504">
        <w:rPr>
          <w:rFonts w:ascii="Times New Roman" w:hAnsi="Times New Roman" w:cs="Times New Roman"/>
          <w:sz w:val="24"/>
          <w:szCs w:val="24"/>
        </w:rPr>
        <w:t xml:space="preserve">. </w:t>
      </w:r>
    </w:p>
    <w:p w14:paraId="1A8D2DBD" w14:textId="77777777" w:rsidR="00AC20A8" w:rsidRPr="00943504" w:rsidRDefault="00AC20A8" w:rsidP="00943504">
      <w:pPr>
        <w:tabs>
          <w:tab w:val="left" w:pos="1134"/>
        </w:tabs>
        <w:spacing w:after="0" w:line="480" w:lineRule="auto"/>
        <w:jc w:val="both"/>
        <w:rPr>
          <w:rFonts w:ascii="Times New Roman" w:hAnsi="Times New Roman" w:cs="Times New Roman"/>
          <w:sz w:val="24"/>
          <w:szCs w:val="24"/>
        </w:rPr>
      </w:pPr>
    </w:p>
    <w:p w14:paraId="35206E92" w14:textId="77777777" w:rsidR="00F5094A" w:rsidRPr="00943504" w:rsidRDefault="007B5DF3" w:rsidP="00943504">
      <w:pPr>
        <w:tabs>
          <w:tab w:val="left" w:pos="1134"/>
        </w:tabs>
        <w:spacing w:after="0" w:line="480" w:lineRule="auto"/>
        <w:jc w:val="both"/>
        <w:rPr>
          <w:rFonts w:ascii="Times New Roman" w:hAnsi="Times New Roman" w:cs="Times New Roman"/>
          <w:sz w:val="24"/>
          <w:szCs w:val="24"/>
        </w:rPr>
      </w:pPr>
      <w:r w:rsidRPr="00943504">
        <w:rPr>
          <w:rFonts w:ascii="Times New Roman" w:hAnsi="Times New Roman" w:cs="Times New Roman"/>
          <w:sz w:val="24"/>
          <w:szCs w:val="24"/>
        </w:rPr>
        <w:tab/>
      </w:r>
      <w:r w:rsidR="00960FEE" w:rsidRPr="00943504">
        <w:rPr>
          <w:rFonts w:ascii="Times New Roman" w:hAnsi="Times New Roman" w:cs="Times New Roman"/>
          <w:sz w:val="24"/>
          <w:szCs w:val="24"/>
        </w:rPr>
        <w:t xml:space="preserve">The </w:t>
      </w:r>
      <w:r w:rsidR="002802B9" w:rsidRPr="00943504">
        <w:rPr>
          <w:rFonts w:ascii="Times New Roman" w:hAnsi="Times New Roman" w:cs="Times New Roman"/>
          <w:sz w:val="24"/>
          <w:szCs w:val="24"/>
        </w:rPr>
        <w:t xml:space="preserve">court </w:t>
      </w:r>
      <w:r w:rsidR="002802B9" w:rsidRPr="00943504">
        <w:rPr>
          <w:rFonts w:ascii="Times New Roman" w:hAnsi="Times New Roman" w:cs="Times New Roman"/>
          <w:i/>
          <w:sz w:val="24"/>
          <w:szCs w:val="24"/>
        </w:rPr>
        <w:t>a quo</w:t>
      </w:r>
      <w:r w:rsidR="002802B9" w:rsidRPr="00943504">
        <w:rPr>
          <w:rFonts w:ascii="Times New Roman" w:hAnsi="Times New Roman" w:cs="Times New Roman"/>
          <w:sz w:val="24"/>
          <w:szCs w:val="24"/>
        </w:rPr>
        <w:t xml:space="preserve"> </w:t>
      </w:r>
      <w:r w:rsidR="00A84510" w:rsidRPr="00943504">
        <w:rPr>
          <w:rFonts w:ascii="Times New Roman" w:hAnsi="Times New Roman" w:cs="Times New Roman"/>
          <w:sz w:val="24"/>
          <w:szCs w:val="24"/>
        </w:rPr>
        <w:t xml:space="preserve">reasoned that as the seven questions were innocuous, banal and general, they </w:t>
      </w:r>
      <w:r w:rsidR="00960FEE" w:rsidRPr="00943504">
        <w:rPr>
          <w:rFonts w:ascii="Times New Roman" w:hAnsi="Times New Roman" w:cs="Times New Roman"/>
          <w:sz w:val="24"/>
          <w:szCs w:val="24"/>
        </w:rPr>
        <w:t>could not conceivably have influenced Guest and Tanner to rectify the value of the immovable property.</w:t>
      </w:r>
      <w:r w:rsidR="006C652F" w:rsidRPr="00943504">
        <w:rPr>
          <w:rFonts w:ascii="Times New Roman" w:hAnsi="Times New Roman" w:cs="Times New Roman"/>
          <w:sz w:val="24"/>
          <w:szCs w:val="24"/>
        </w:rPr>
        <w:t xml:space="preserve"> </w:t>
      </w:r>
      <w:r w:rsidR="00532A96" w:rsidRPr="00943504">
        <w:rPr>
          <w:rFonts w:ascii="Times New Roman" w:hAnsi="Times New Roman" w:cs="Times New Roman"/>
          <w:sz w:val="24"/>
          <w:szCs w:val="24"/>
        </w:rPr>
        <w:t>I</w:t>
      </w:r>
      <w:r w:rsidR="00B90C77" w:rsidRPr="00943504">
        <w:rPr>
          <w:rFonts w:ascii="Times New Roman" w:hAnsi="Times New Roman" w:cs="Times New Roman"/>
          <w:sz w:val="24"/>
          <w:szCs w:val="24"/>
        </w:rPr>
        <w:t>n my view, that finding i</w:t>
      </w:r>
      <w:r w:rsidR="00532A96" w:rsidRPr="00943504">
        <w:rPr>
          <w:rFonts w:ascii="Times New Roman" w:hAnsi="Times New Roman" w:cs="Times New Roman"/>
          <w:sz w:val="24"/>
          <w:szCs w:val="24"/>
        </w:rPr>
        <w:t xml:space="preserve">s unimpeachable. </w:t>
      </w:r>
    </w:p>
    <w:p w14:paraId="383EB8BF" w14:textId="77777777" w:rsidR="00F5094A" w:rsidRPr="00943504" w:rsidRDefault="00F5094A" w:rsidP="00943504">
      <w:pPr>
        <w:tabs>
          <w:tab w:val="left" w:pos="2368"/>
        </w:tabs>
        <w:spacing w:after="0" w:line="240" w:lineRule="auto"/>
        <w:jc w:val="both"/>
        <w:rPr>
          <w:rFonts w:ascii="Times New Roman" w:hAnsi="Times New Roman" w:cs="Times New Roman"/>
          <w:sz w:val="24"/>
          <w:szCs w:val="24"/>
        </w:rPr>
      </w:pPr>
    </w:p>
    <w:p w14:paraId="59424BD4" w14:textId="77777777" w:rsidR="00B90C77" w:rsidRPr="00943504" w:rsidRDefault="00943504" w:rsidP="00943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E264A">
        <w:rPr>
          <w:rFonts w:ascii="Times New Roman" w:hAnsi="Times New Roman" w:cs="Times New Roman"/>
          <w:sz w:val="24"/>
          <w:szCs w:val="24"/>
        </w:rPr>
        <w:tab/>
      </w:r>
      <w:r w:rsidR="00B90C77" w:rsidRPr="00943504">
        <w:rPr>
          <w:rFonts w:ascii="Times New Roman" w:hAnsi="Times New Roman" w:cs="Times New Roman"/>
          <w:sz w:val="24"/>
          <w:szCs w:val="24"/>
        </w:rPr>
        <w:t>I</w:t>
      </w:r>
      <w:r w:rsidR="008B3548" w:rsidRPr="00943504">
        <w:rPr>
          <w:rFonts w:ascii="Times New Roman" w:hAnsi="Times New Roman" w:cs="Times New Roman"/>
          <w:sz w:val="24"/>
          <w:szCs w:val="24"/>
        </w:rPr>
        <w:t xml:space="preserve">n </w:t>
      </w:r>
      <w:r w:rsidR="00E81DE4" w:rsidRPr="00943504">
        <w:rPr>
          <w:rFonts w:ascii="Times New Roman" w:hAnsi="Times New Roman" w:cs="Times New Roman"/>
          <w:i/>
          <w:sz w:val="24"/>
          <w:szCs w:val="24"/>
        </w:rPr>
        <w:t>A</w:t>
      </w:r>
      <w:r w:rsidR="00B90C77" w:rsidRPr="00943504">
        <w:rPr>
          <w:rFonts w:ascii="Times New Roman" w:hAnsi="Times New Roman" w:cs="Times New Roman"/>
          <w:i/>
          <w:sz w:val="24"/>
          <w:szCs w:val="24"/>
        </w:rPr>
        <w:t>ttorney</w:t>
      </w:r>
      <w:r w:rsidR="00E81DE4" w:rsidRPr="00943504">
        <w:rPr>
          <w:rFonts w:ascii="Times New Roman" w:hAnsi="Times New Roman" w:cs="Times New Roman"/>
          <w:i/>
          <w:sz w:val="24"/>
          <w:szCs w:val="24"/>
        </w:rPr>
        <w:t>-G</w:t>
      </w:r>
      <w:r w:rsidR="00B90C77" w:rsidRPr="00943504">
        <w:rPr>
          <w:rFonts w:ascii="Times New Roman" w:hAnsi="Times New Roman" w:cs="Times New Roman"/>
          <w:i/>
          <w:sz w:val="24"/>
          <w:szCs w:val="24"/>
        </w:rPr>
        <w:t>eneral</w:t>
      </w:r>
      <w:r w:rsidR="00E81DE4" w:rsidRPr="00943504">
        <w:rPr>
          <w:rFonts w:ascii="Times New Roman" w:hAnsi="Times New Roman" w:cs="Times New Roman"/>
          <w:i/>
          <w:sz w:val="24"/>
          <w:szCs w:val="24"/>
        </w:rPr>
        <w:t xml:space="preserve"> v P</w:t>
      </w:r>
      <w:r w:rsidR="00B90C77" w:rsidRPr="00943504">
        <w:rPr>
          <w:rFonts w:ascii="Times New Roman" w:hAnsi="Times New Roman" w:cs="Times New Roman"/>
          <w:i/>
          <w:sz w:val="24"/>
          <w:szCs w:val="24"/>
        </w:rPr>
        <w:t>aweni</w:t>
      </w:r>
      <w:r w:rsidR="00E81DE4" w:rsidRPr="00943504">
        <w:rPr>
          <w:rFonts w:ascii="Times New Roman" w:hAnsi="Times New Roman" w:cs="Times New Roman"/>
          <w:i/>
          <w:sz w:val="24"/>
          <w:szCs w:val="24"/>
        </w:rPr>
        <w:t xml:space="preserve"> T</w:t>
      </w:r>
      <w:r w:rsidR="00B90C77" w:rsidRPr="00943504">
        <w:rPr>
          <w:rFonts w:ascii="Times New Roman" w:hAnsi="Times New Roman" w:cs="Times New Roman"/>
          <w:i/>
          <w:sz w:val="24"/>
          <w:szCs w:val="24"/>
        </w:rPr>
        <w:t>rade Corp (Pvt) Ltd &amp; Ors</w:t>
      </w:r>
      <w:r w:rsidR="00E81DE4" w:rsidRPr="00943504">
        <w:rPr>
          <w:rFonts w:ascii="Times New Roman" w:hAnsi="Times New Roman" w:cs="Times New Roman"/>
          <w:sz w:val="24"/>
          <w:szCs w:val="24"/>
        </w:rPr>
        <w:t xml:space="preserve"> 1990 (1)ZLR 24 (S)</w:t>
      </w:r>
      <w:r w:rsidR="007D26B9" w:rsidRPr="00943504">
        <w:rPr>
          <w:rFonts w:ascii="Times New Roman" w:hAnsi="Times New Roman" w:cs="Times New Roman"/>
          <w:sz w:val="24"/>
          <w:szCs w:val="24"/>
        </w:rPr>
        <w:t xml:space="preserve"> at 27</w:t>
      </w:r>
      <w:r w:rsidR="00E81DE4" w:rsidRPr="00943504">
        <w:rPr>
          <w:rFonts w:ascii="Times New Roman" w:hAnsi="Times New Roman" w:cs="Times New Roman"/>
          <w:sz w:val="24"/>
          <w:szCs w:val="24"/>
        </w:rPr>
        <w:t>G</w:t>
      </w:r>
      <w:r w:rsidR="00B90C77" w:rsidRPr="00943504">
        <w:rPr>
          <w:rFonts w:ascii="Times New Roman" w:hAnsi="Times New Roman" w:cs="Times New Roman"/>
          <w:sz w:val="24"/>
          <w:szCs w:val="24"/>
        </w:rPr>
        <w:t>, KORSAH JA defined fraud as follows:</w:t>
      </w:r>
    </w:p>
    <w:p w14:paraId="5F63F90D" w14:textId="77777777" w:rsidR="00B90C77" w:rsidRPr="00943504" w:rsidRDefault="00E81DE4" w:rsidP="00943504">
      <w:pPr>
        <w:tabs>
          <w:tab w:val="left" w:pos="2368"/>
        </w:tabs>
        <w:spacing w:after="0" w:line="240" w:lineRule="auto"/>
        <w:ind w:left="720"/>
        <w:jc w:val="both"/>
        <w:rPr>
          <w:rFonts w:ascii="Times New Roman" w:hAnsi="Times New Roman" w:cs="Times New Roman"/>
          <w:sz w:val="24"/>
          <w:szCs w:val="24"/>
        </w:rPr>
      </w:pPr>
      <w:r w:rsidRPr="00943504">
        <w:rPr>
          <w:rFonts w:ascii="Times New Roman" w:hAnsi="Times New Roman" w:cs="Times New Roman"/>
          <w:sz w:val="24"/>
          <w:szCs w:val="24"/>
        </w:rPr>
        <w:t>“Generally speaking, fraud consists in knowingly making a false representation of fact with the intention to defraud the party t</w:t>
      </w:r>
      <w:r w:rsidR="00B90C77" w:rsidRPr="00943504">
        <w:rPr>
          <w:rFonts w:ascii="Times New Roman" w:hAnsi="Times New Roman" w:cs="Times New Roman"/>
          <w:sz w:val="24"/>
          <w:szCs w:val="24"/>
        </w:rPr>
        <w:t xml:space="preserve">o whom it is made, and such </w:t>
      </w:r>
      <w:r w:rsidRPr="00943504">
        <w:rPr>
          <w:rFonts w:ascii="Times New Roman" w:hAnsi="Times New Roman" w:cs="Times New Roman"/>
          <w:sz w:val="24"/>
          <w:szCs w:val="24"/>
        </w:rPr>
        <w:t xml:space="preserve">false representation actually causes prejudice or is potentially prejudicial to another”. </w:t>
      </w:r>
    </w:p>
    <w:p w14:paraId="19565D4A" w14:textId="77777777" w:rsidR="002128EA" w:rsidRDefault="00EA3CD3" w:rsidP="00BE264A">
      <w:pPr>
        <w:tabs>
          <w:tab w:val="left" w:pos="1134"/>
        </w:tabs>
        <w:spacing w:after="0" w:line="240" w:lineRule="auto"/>
        <w:jc w:val="both"/>
        <w:rPr>
          <w:rFonts w:ascii="Times New Roman" w:hAnsi="Times New Roman" w:cs="Times New Roman"/>
          <w:sz w:val="24"/>
          <w:szCs w:val="24"/>
        </w:rPr>
      </w:pPr>
      <w:r w:rsidRPr="00943504">
        <w:rPr>
          <w:rFonts w:ascii="Times New Roman" w:hAnsi="Times New Roman" w:cs="Times New Roman"/>
          <w:sz w:val="24"/>
          <w:szCs w:val="24"/>
        </w:rPr>
        <w:tab/>
      </w:r>
    </w:p>
    <w:p w14:paraId="21459323" w14:textId="77777777" w:rsidR="00BE264A" w:rsidRPr="00943504" w:rsidRDefault="00BE264A" w:rsidP="00BE264A">
      <w:pPr>
        <w:tabs>
          <w:tab w:val="left" w:pos="1134"/>
        </w:tabs>
        <w:spacing w:after="0" w:line="240" w:lineRule="auto"/>
        <w:jc w:val="both"/>
        <w:rPr>
          <w:rFonts w:ascii="Times New Roman" w:hAnsi="Times New Roman" w:cs="Times New Roman"/>
          <w:sz w:val="24"/>
          <w:szCs w:val="24"/>
        </w:rPr>
      </w:pPr>
    </w:p>
    <w:p w14:paraId="052A627C" w14:textId="77777777" w:rsidR="002128EA" w:rsidRPr="00943504" w:rsidRDefault="00943504" w:rsidP="00943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E264A">
        <w:rPr>
          <w:rFonts w:ascii="Times New Roman" w:hAnsi="Times New Roman" w:cs="Times New Roman"/>
          <w:sz w:val="24"/>
          <w:szCs w:val="24"/>
        </w:rPr>
        <w:tab/>
      </w:r>
      <w:r w:rsidR="00B90C77" w:rsidRPr="00943504">
        <w:rPr>
          <w:rFonts w:ascii="Times New Roman" w:hAnsi="Times New Roman" w:cs="Times New Roman"/>
          <w:sz w:val="24"/>
          <w:szCs w:val="24"/>
        </w:rPr>
        <w:t xml:space="preserve">See also </w:t>
      </w:r>
      <w:r w:rsidR="00B90C77" w:rsidRPr="00943504">
        <w:rPr>
          <w:rFonts w:ascii="Times New Roman" w:hAnsi="Times New Roman" w:cs="Times New Roman"/>
          <w:i/>
          <w:sz w:val="24"/>
          <w:szCs w:val="24"/>
        </w:rPr>
        <w:t>Wamambo v General Accident Insurance Co of Zimbabwe</w:t>
      </w:r>
      <w:r w:rsidR="00B90C77" w:rsidRPr="00943504">
        <w:rPr>
          <w:rFonts w:ascii="Times New Roman" w:hAnsi="Times New Roman" w:cs="Times New Roman"/>
          <w:sz w:val="24"/>
          <w:szCs w:val="24"/>
        </w:rPr>
        <w:t xml:space="preserve"> </w:t>
      </w:r>
      <w:r w:rsidR="00B90C77" w:rsidRPr="00BE264A">
        <w:rPr>
          <w:rFonts w:ascii="Times New Roman" w:hAnsi="Times New Roman" w:cs="Times New Roman"/>
          <w:i/>
          <w:sz w:val="24"/>
          <w:szCs w:val="24"/>
        </w:rPr>
        <w:t>Ltd</w:t>
      </w:r>
      <w:r w:rsidR="00B90C77" w:rsidRPr="00943504">
        <w:rPr>
          <w:rFonts w:ascii="Times New Roman" w:hAnsi="Times New Roman" w:cs="Times New Roman"/>
          <w:sz w:val="24"/>
          <w:szCs w:val="24"/>
        </w:rPr>
        <w:t xml:space="preserve"> 1997 (1) ZLR</w:t>
      </w:r>
      <w:r w:rsidR="009B6737" w:rsidRPr="00943504">
        <w:rPr>
          <w:rFonts w:ascii="Times New Roman" w:hAnsi="Times New Roman" w:cs="Times New Roman"/>
          <w:sz w:val="24"/>
          <w:szCs w:val="24"/>
        </w:rPr>
        <w:t xml:space="preserve"> </w:t>
      </w:r>
      <w:r w:rsidR="00B90C77" w:rsidRPr="00943504">
        <w:rPr>
          <w:rFonts w:ascii="Times New Roman" w:hAnsi="Times New Roman" w:cs="Times New Roman"/>
          <w:sz w:val="24"/>
          <w:szCs w:val="24"/>
        </w:rPr>
        <w:t>299 (H) a</w:t>
      </w:r>
      <w:r w:rsidR="004A7DC4" w:rsidRPr="00943504">
        <w:rPr>
          <w:rFonts w:ascii="Times New Roman" w:hAnsi="Times New Roman" w:cs="Times New Roman"/>
          <w:sz w:val="24"/>
          <w:szCs w:val="24"/>
        </w:rPr>
        <w:t>t 309G and</w:t>
      </w:r>
      <w:r w:rsidR="00B90C77" w:rsidRPr="00943504">
        <w:rPr>
          <w:rFonts w:ascii="Times New Roman" w:hAnsi="Times New Roman" w:cs="Times New Roman"/>
          <w:sz w:val="24"/>
          <w:szCs w:val="24"/>
        </w:rPr>
        <w:t xml:space="preserve"> </w:t>
      </w:r>
      <w:r w:rsidR="00206478" w:rsidRPr="00943504">
        <w:rPr>
          <w:rFonts w:ascii="Times New Roman" w:hAnsi="Times New Roman" w:cs="Times New Roman"/>
          <w:i/>
          <w:sz w:val="24"/>
          <w:szCs w:val="24"/>
        </w:rPr>
        <w:t>S v Dzawo</w:t>
      </w:r>
      <w:r w:rsidR="00206478" w:rsidRPr="00943504">
        <w:rPr>
          <w:rFonts w:ascii="Times New Roman" w:hAnsi="Times New Roman" w:cs="Times New Roman"/>
          <w:sz w:val="24"/>
          <w:szCs w:val="24"/>
        </w:rPr>
        <w:t xml:space="preserve"> 1999 (2) ZLR 303 (H) at 305H-306A</w:t>
      </w:r>
      <w:r w:rsidR="004A7DC4" w:rsidRPr="00943504">
        <w:rPr>
          <w:rFonts w:ascii="Times New Roman" w:hAnsi="Times New Roman" w:cs="Times New Roman"/>
          <w:sz w:val="24"/>
          <w:szCs w:val="24"/>
        </w:rPr>
        <w:t>.</w:t>
      </w:r>
      <w:r w:rsidR="0025666A" w:rsidRPr="00943504">
        <w:rPr>
          <w:rFonts w:ascii="Times New Roman" w:hAnsi="Times New Roman" w:cs="Times New Roman"/>
          <w:sz w:val="24"/>
          <w:szCs w:val="24"/>
        </w:rPr>
        <w:t xml:space="preserve"> </w:t>
      </w:r>
    </w:p>
    <w:p w14:paraId="4610EE70" w14:textId="77777777" w:rsidR="002128EA" w:rsidRPr="00943504" w:rsidRDefault="002128EA" w:rsidP="00BE264A">
      <w:pPr>
        <w:tabs>
          <w:tab w:val="left" w:pos="1134"/>
        </w:tabs>
        <w:spacing w:after="0" w:line="240" w:lineRule="auto"/>
        <w:jc w:val="both"/>
        <w:rPr>
          <w:rFonts w:ascii="Times New Roman" w:hAnsi="Times New Roman" w:cs="Times New Roman"/>
          <w:sz w:val="24"/>
          <w:szCs w:val="24"/>
        </w:rPr>
      </w:pPr>
    </w:p>
    <w:p w14:paraId="12980BCB" w14:textId="77777777" w:rsidR="00790F54" w:rsidRPr="00943504" w:rsidRDefault="00483A90" w:rsidP="00943504">
      <w:pPr>
        <w:tabs>
          <w:tab w:val="left" w:pos="1134"/>
        </w:tabs>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 xml:space="preserve">The letter was </w:t>
      </w:r>
      <w:r w:rsidR="00AB6299" w:rsidRPr="00943504">
        <w:rPr>
          <w:rFonts w:ascii="Times New Roman" w:hAnsi="Times New Roman" w:cs="Times New Roman"/>
          <w:sz w:val="24"/>
          <w:szCs w:val="24"/>
        </w:rPr>
        <w:t xml:space="preserve">clearly </w:t>
      </w:r>
      <w:r w:rsidRPr="00943504">
        <w:rPr>
          <w:rFonts w:ascii="Times New Roman" w:hAnsi="Times New Roman" w:cs="Times New Roman"/>
          <w:sz w:val="24"/>
          <w:szCs w:val="24"/>
        </w:rPr>
        <w:t xml:space="preserve">not calculated to induce Guest and Tanner to </w:t>
      </w:r>
      <w:r w:rsidR="000948E9" w:rsidRPr="00943504">
        <w:rPr>
          <w:rFonts w:ascii="Times New Roman" w:hAnsi="Times New Roman" w:cs="Times New Roman"/>
          <w:sz w:val="24"/>
          <w:szCs w:val="24"/>
        </w:rPr>
        <w:t>lower the value of the property</w:t>
      </w:r>
      <w:r w:rsidR="00FB279E" w:rsidRPr="00943504">
        <w:rPr>
          <w:rFonts w:ascii="Times New Roman" w:hAnsi="Times New Roman" w:cs="Times New Roman"/>
          <w:sz w:val="24"/>
          <w:szCs w:val="24"/>
        </w:rPr>
        <w:t xml:space="preserve">. She also </w:t>
      </w:r>
      <w:r w:rsidR="00AB6299" w:rsidRPr="00943504">
        <w:rPr>
          <w:rFonts w:ascii="Times New Roman" w:hAnsi="Times New Roman" w:cs="Times New Roman"/>
          <w:sz w:val="24"/>
          <w:szCs w:val="24"/>
        </w:rPr>
        <w:t xml:space="preserve">patently </w:t>
      </w:r>
      <w:r w:rsidR="00FB279E" w:rsidRPr="00943504">
        <w:rPr>
          <w:rFonts w:ascii="Times New Roman" w:hAnsi="Times New Roman" w:cs="Times New Roman"/>
          <w:sz w:val="24"/>
          <w:szCs w:val="24"/>
        </w:rPr>
        <w:t xml:space="preserve">failed to establish that the conduct of the respondent’s legal practitioner </w:t>
      </w:r>
      <w:r w:rsidR="00E077B8" w:rsidRPr="00943504">
        <w:rPr>
          <w:rFonts w:ascii="Times New Roman" w:hAnsi="Times New Roman" w:cs="Times New Roman"/>
          <w:sz w:val="24"/>
          <w:szCs w:val="24"/>
        </w:rPr>
        <w:t>materially induced her to</w:t>
      </w:r>
      <w:r w:rsidR="00AB6299" w:rsidRPr="00943504">
        <w:rPr>
          <w:rFonts w:ascii="Times New Roman" w:hAnsi="Times New Roman" w:cs="Times New Roman"/>
          <w:sz w:val="24"/>
          <w:szCs w:val="24"/>
        </w:rPr>
        <w:t xml:space="preserve"> accept the purchase price offered by the respondent.</w:t>
      </w:r>
      <w:r w:rsidR="00E077B8" w:rsidRPr="00943504">
        <w:rPr>
          <w:rFonts w:ascii="Times New Roman" w:hAnsi="Times New Roman" w:cs="Times New Roman"/>
          <w:sz w:val="24"/>
          <w:szCs w:val="24"/>
        </w:rPr>
        <w:t xml:space="preserve"> </w:t>
      </w:r>
      <w:r w:rsidR="00AB6299" w:rsidRPr="00943504">
        <w:rPr>
          <w:rFonts w:ascii="Times New Roman" w:hAnsi="Times New Roman" w:cs="Times New Roman"/>
          <w:sz w:val="24"/>
          <w:szCs w:val="24"/>
        </w:rPr>
        <w:t>In</w:t>
      </w:r>
      <w:r w:rsidRPr="00943504">
        <w:rPr>
          <w:rFonts w:ascii="Times New Roman" w:hAnsi="Times New Roman" w:cs="Times New Roman"/>
          <w:sz w:val="24"/>
          <w:szCs w:val="24"/>
        </w:rPr>
        <w:t xml:space="preserve"> any event, the applicant’s legal practitioner was served with both valuations from the same </w:t>
      </w:r>
      <w:r w:rsidR="004A7DC4" w:rsidRPr="00943504">
        <w:rPr>
          <w:rFonts w:ascii="Times New Roman" w:hAnsi="Times New Roman" w:cs="Times New Roman"/>
          <w:sz w:val="24"/>
          <w:szCs w:val="24"/>
        </w:rPr>
        <w:t>valuer</w:t>
      </w:r>
      <w:r w:rsidRPr="00943504">
        <w:rPr>
          <w:rFonts w:ascii="Times New Roman" w:hAnsi="Times New Roman" w:cs="Times New Roman"/>
          <w:sz w:val="24"/>
          <w:szCs w:val="24"/>
        </w:rPr>
        <w:t>, with different dates and values</w:t>
      </w:r>
      <w:r w:rsidR="006C652F" w:rsidRPr="00943504">
        <w:rPr>
          <w:rFonts w:ascii="Times New Roman" w:hAnsi="Times New Roman" w:cs="Times New Roman"/>
          <w:sz w:val="24"/>
          <w:szCs w:val="24"/>
        </w:rPr>
        <w:t>.</w:t>
      </w:r>
      <w:r w:rsidR="00F307CF" w:rsidRPr="00943504">
        <w:rPr>
          <w:rFonts w:ascii="Times New Roman" w:hAnsi="Times New Roman" w:cs="Times New Roman"/>
          <w:sz w:val="24"/>
          <w:szCs w:val="24"/>
        </w:rPr>
        <w:t xml:space="preserve"> </w:t>
      </w:r>
    </w:p>
    <w:p w14:paraId="6E091AB3" w14:textId="77777777" w:rsidR="00790F54" w:rsidRPr="00943504" w:rsidRDefault="00790F54" w:rsidP="00943504">
      <w:pPr>
        <w:tabs>
          <w:tab w:val="left" w:pos="2368"/>
        </w:tabs>
        <w:spacing w:after="0" w:line="240" w:lineRule="auto"/>
        <w:jc w:val="both"/>
        <w:rPr>
          <w:rFonts w:ascii="Times New Roman" w:hAnsi="Times New Roman" w:cs="Times New Roman"/>
          <w:sz w:val="24"/>
          <w:szCs w:val="24"/>
        </w:rPr>
      </w:pPr>
    </w:p>
    <w:p w14:paraId="6E522874" w14:textId="77777777" w:rsidR="00FD79B2" w:rsidRPr="00943504" w:rsidRDefault="00FD79B2" w:rsidP="00943504">
      <w:pPr>
        <w:tabs>
          <w:tab w:val="left" w:pos="2368"/>
        </w:tabs>
        <w:spacing w:after="0" w:line="240" w:lineRule="auto"/>
        <w:jc w:val="both"/>
        <w:rPr>
          <w:rFonts w:ascii="Times New Roman" w:hAnsi="Times New Roman" w:cs="Times New Roman"/>
          <w:sz w:val="24"/>
          <w:szCs w:val="24"/>
        </w:rPr>
      </w:pPr>
    </w:p>
    <w:p w14:paraId="60E6EBD7" w14:textId="77777777" w:rsidR="004C6069" w:rsidRPr="00943504" w:rsidRDefault="00FD79B2" w:rsidP="00943504">
      <w:pPr>
        <w:tabs>
          <w:tab w:val="left" w:pos="1134"/>
        </w:tabs>
        <w:spacing w:after="0" w:line="480" w:lineRule="auto"/>
        <w:jc w:val="both"/>
        <w:rPr>
          <w:rFonts w:ascii="Times New Roman" w:hAnsi="Times New Roman" w:cs="Times New Roman"/>
          <w:sz w:val="24"/>
          <w:szCs w:val="24"/>
        </w:rPr>
      </w:pPr>
      <w:r w:rsidRPr="00943504">
        <w:rPr>
          <w:rFonts w:ascii="Times New Roman" w:hAnsi="Times New Roman" w:cs="Times New Roman"/>
          <w:sz w:val="24"/>
          <w:szCs w:val="24"/>
        </w:rPr>
        <w:tab/>
      </w:r>
      <w:r w:rsidR="00483A90" w:rsidRPr="00943504">
        <w:rPr>
          <w:rFonts w:ascii="Times New Roman" w:hAnsi="Times New Roman" w:cs="Times New Roman"/>
          <w:sz w:val="24"/>
          <w:szCs w:val="24"/>
        </w:rPr>
        <w:t xml:space="preserve">The duty of a legal practitioner </w:t>
      </w:r>
      <w:r w:rsidR="006D3E91" w:rsidRPr="00943504">
        <w:rPr>
          <w:rFonts w:ascii="Times New Roman" w:hAnsi="Times New Roman" w:cs="Times New Roman"/>
          <w:sz w:val="24"/>
          <w:szCs w:val="24"/>
        </w:rPr>
        <w:t>to his client was articulated</w:t>
      </w:r>
      <w:r w:rsidR="004C6069" w:rsidRPr="00943504">
        <w:rPr>
          <w:rFonts w:ascii="Times New Roman" w:hAnsi="Times New Roman" w:cs="Times New Roman"/>
          <w:sz w:val="24"/>
          <w:szCs w:val="24"/>
        </w:rPr>
        <w:t xml:space="preserve"> in </w:t>
      </w:r>
      <w:r w:rsidR="004C6069" w:rsidRPr="00943504">
        <w:rPr>
          <w:rFonts w:ascii="Times New Roman" w:hAnsi="Times New Roman" w:cs="Times New Roman"/>
          <w:i/>
          <w:sz w:val="24"/>
          <w:szCs w:val="24"/>
        </w:rPr>
        <w:t>M M Pretorious (Pvt) Ltd &amp; Anor v Mutyambizi</w:t>
      </w:r>
      <w:r w:rsidR="004C6069" w:rsidRPr="00943504">
        <w:rPr>
          <w:rFonts w:ascii="Times New Roman" w:hAnsi="Times New Roman" w:cs="Times New Roman"/>
          <w:sz w:val="24"/>
          <w:szCs w:val="24"/>
        </w:rPr>
        <w:t xml:space="preserve"> SC 39/12 </w:t>
      </w:r>
      <w:r w:rsidR="004610FB" w:rsidRPr="00943504">
        <w:rPr>
          <w:rFonts w:ascii="Times New Roman" w:hAnsi="Times New Roman" w:cs="Times New Roman"/>
          <w:sz w:val="24"/>
          <w:szCs w:val="24"/>
        </w:rPr>
        <w:t xml:space="preserve">at p. 4 </w:t>
      </w:r>
      <w:r w:rsidR="00790F54" w:rsidRPr="00943504">
        <w:rPr>
          <w:rFonts w:ascii="Times New Roman" w:hAnsi="Times New Roman" w:cs="Times New Roman"/>
          <w:sz w:val="24"/>
          <w:szCs w:val="24"/>
        </w:rPr>
        <w:t>in these words</w:t>
      </w:r>
      <w:r w:rsidR="004C6069" w:rsidRPr="00943504">
        <w:rPr>
          <w:rFonts w:ascii="Times New Roman" w:hAnsi="Times New Roman" w:cs="Times New Roman"/>
          <w:sz w:val="24"/>
          <w:szCs w:val="24"/>
        </w:rPr>
        <w:t>:</w:t>
      </w:r>
    </w:p>
    <w:p w14:paraId="15F28122" w14:textId="77777777" w:rsidR="00790F54" w:rsidRPr="00943504" w:rsidRDefault="004C6069" w:rsidP="00BE264A">
      <w:pPr>
        <w:spacing w:after="0" w:line="240" w:lineRule="auto"/>
        <w:ind w:left="567"/>
        <w:jc w:val="both"/>
        <w:rPr>
          <w:rFonts w:ascii="Times New Roman" w:hAnsi="Times New Roman" w:cs="Times New Roman"/>
          <w:sz w:val="24"/>
          <w:szCs w:val="24"/>
        </w:rPr>
      </w:pPr>
      <w:r w:rsidRPr="00943504">
        <w:rPr>
          <w:rFonts w:ascii="Times New Roman" w:hAnsi="Times New Roman" w:cs="Times New Roman"/>
          <w:sz w:val="24"/>
          <w:szCs w:val="24"/>
        </w:rPr>
        <w:t>“A legal practitioner is not engaged by his client to make omissions and to commit ‘oversights’.  He is paid for his professional advice and for the use of his skills in the representation of his client. He is not paid to make mistakes. These could be costly to his client. He is professionally, ethically and morally bound to exercise the utmost diligence in handling the affairs of his client</w:t>
      </w:r>
      <w:r w:rsidR="00357B76" w:rsidRPr="00943504">
        <w:rPr>
          <w:rFonts w:ascii="Times New Roman" w:hAnsi="Times New Roman" w:cs="Times New Roman"/>
          <w:sz w:val="24"/>
          <w:szCs w:val="24"/>
        </w:rPr>
        <w:t>.</w:t>
      </w:r>
      <w:r w:rsidRPr="00943504">
        <w:rPr>
          <w:rFonts w:ascii="Times New Roman" w:hAnsi="Times New Roman" w:cs="Times New Roman"/>
          <w:sz w:val="24"/>
          <w:szCs w:val="24"/>
        </w:rPr>
        <w:t>”</w:t>
      </w:r>
    </w:p>
    <w:p w14:paraId="1350A9A8" w14:textId="77777777" w:rsidR="00357B76" w:rsidRPr="00943504" w:rsidRDefault="00357B76" w:rsidP="00943504">
      <w:pPr>
        <w:spacing w:after="0" w:line="240" w:lineRule="auto"/>
        <w:ind w:left="720"/>
        <w:jc w:val="both"/>
        <w:rPr>
          <w:rFonts w:ascii="Times New Roman" w:hAnsi="Times New Roman" w:cs="Times New Roman"/>
          <w:sz w:val="24"/>
          <w:szCs w:val="24"/>
        </w:rPr>
      </w:pPr>
    </w:p>
    <w:p w14:paraId="18893D45" w14:textId="77777777" w:rsidR="00357B76" w:rsidRPr="00943504" w:rsidRDefault="00357B76" w:rsidP="00943504">
      <w:pPr>
        <w:spacing w:after="0" w:line="240" w:lineRule="auto"/>
        <w:ind w:left="720"/>
        <w:jc w:val="both"/>
        <w:rPr>
          <w:rFonts w:ascii="Times New Roman" w:hAnsi="Times New Roman" w:cs="Times New Roman"/>
          <w:sz w:val="24"/>
          <w:szCs w:val="24"/>
        </w:rPr>
      </w:pPr>
    </w:p>
    <w:p w14:paraId="64002C1F" w14:textId="77777777" w:rsidR="00276620" w:rsidRPr="00943504" w:rsidRDefault="004610FB"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lastRenderedPageBreak/>
        <w:t xml:space="preserve">The </w:t>
      </w:r>
      <w:r w:rsidR="00D518F8" w:rsidRPr="00943504">
        <w:rPr>
          <w:rFonts w:ascii="Times New Roman" w:hAnsi="Times New Roman" w:cs="Times New Roman"/>
          <w:sz w:val="24"/>
          <w:szCs w:val="24"/>
        </w:rPr>
        <w:t xml:space="preserve">supporting affidavit of the applicant’s </w:t>
      </w:r>
      <w:r w:rsidRPr="00943504">
        <w:rPr>
          <w:rFonts w:ascii="Times New Roman" w:hAnsi="Times New Roman" w:cs="Times New Roman"/>
          <w:sz w:val="24"/>
          <w:szCs w:val="24"/>
        </w:rPr>
        <w:t>leg</w:t>
      </w:r>
      <w:r w:rsidR="00D518F8" w:rsidRPr="00943504">
        <w:rPr>
          <w:rFonts w:ascii="Times New Roman" w:hAnsi="Times New Roman" w:cs="Times New Roman"/>
          <w:sz w:val="24"/>
          <w:szCs w:val="24"/>
        </w:rPr>
        <w:t>al practitioner at the time demonstrated that he acutely failed to handle his client’s mandate with probity</w:t>
      </w:r>
      <w:r w:rsidRPr="00943504">
        <w:rPr>
          <w:rFonts w:ascii="Times New Roman" w:hAnsi="Times New Roman" w:cs="Times New Roman"/>
          <w:sz w:val="24"/>
          <w:szCs w:val="24"/>
        </w:rPr>
        <w:t xml:space="preserve">. A </w:t>
      </w:r>
      <w:r w:rsidR="00EE66BC" w:rsidRPr="00943504">
        <w:rPr>
          <w:rFonts w:ascii="Times New Roman" w:hAnsi="Times New Roman" w:cs="Times New Roman"/>
          <w:sz w:val="24"/>
          <w:szCs w:val="24"/>
        </w:rPr>
        <w:t>diligent legal practitioner would keep the documents pertainin</w:t>
      </w:r>
      <w:r w:rsidR="00794242" w:rsidRPr="00943504">
        <w:rPr>
          <w:rFonts w:ascii="Times New Roman" w:hAnsi="Times New Roman" w:cs="Times New Roman"/>
          <w:sz w:val="24"/>
          <w:szCs w:val="24"/>
        </w:rPr>
        <w:t>g to the applicant in one</w:t>
      </w:r>
      <w:r w:rsidR="00EE66BC" w:rsidRPr="00943504">
        <w:rPr>
          <w:rFonts w:ascii="Times New Roman" w:hAnsi="Times New Roman" w:cs="Times New Roman"/>
          <w:sz w:val="24"/>
          <w:szCs w:val="24"/>
        </w:rPr>
        <w:t xml:space="preserve"> file from which he would constantly refer before acting on information received from other legal practitioners. </w:t>
      </w:r>
      <w:r w:rsidR="009759CA" w:rsidRPr="00943504">
        <w:rPr>
          <w:rFonts w:ascii="Times New Roman" w:hAnsi="Times New Roman" w:cs="Times New Roman"/>
          <w:sz w:val="24"/>
          <w:szCs w:val="24"/>
        </w:rPr>
        <w:t>He would also be expected to</w:t>
      </w:r>
      <w:r w:rsidR="00790F54" w:rsidRPr="00943504">
        <w:rPr>
          <w:rFonts w:ascii="Times New Roman" w:hAnsi="Times New Roman" w:cs="Times New Roman"/>
          <w:sz w:val="24"/>
          <w:szCs w:val="24"/>
        </w:rPr>
        <w:t xml:space="preserve"> constantly appraise his client</w:t>
      </w:r>
      <w:r w:rsidR="009759CA" w:rsidRPr="00943504">
        <w:rPr>
          <w:rFonts w:ascii="Times New Roman" w:hAnsi="Times New Roman" w:cs="Times New Roman"/>
          <w:sz w:val="24"/>
          <w:szCs w:val="24"/>
        </w:rPr>
        <w:t xml:space="preserve"> on </w:t>
      </w:r>
      <w:r w:rsidR="00790F54" w:rsidRPr="00943504">
        <w:rPr>
          <w:rFonts w:ascii="Times New Roman" w:hAnsi="Times New Roman" w:cs="Times New Roman"/>
          <w:sz w:val="24"/>
          <w:szCs w:val="24"/>
        </w:rPr>
        <w:t xml:space="preserve">the progress of her case. </w:t>
      </w:r>
      <w:r w:rsidR="00EE66BC" w:rsidRPr="00943504">
        <w:rPr>
          <w:rFonts w:ascii="Times New Roman" w:hAnsi="Times New Roman" w:cs="Times New Roman"/>
          <w:sz w:val="24"/>
          <w:szCs w:val="24"/>
        </w:rPr>
        <w:t xml:space="preserve">It is </w:t>
      </w:r>
      <w:r w:rsidR="00F55D1A" w:rsidRPr="00943504">
        <w:rPr>
          <w:rFonts w:ascii="Times New Roman" w:hAnsi="Times New Roman" w:cs="Times New Roman"/>
          <w:sz w:val="24"/>
          <w:szCs w:val="24"/>
        </w:rPr>
        <w:t>inconceivable that the applicant’s legal practitioner would have failed to observe the initial valuation report and compare</w:t>
      </w:r>
      <w:r w:rsidR="00790F54" w:rsidRPr="00943504">
        <w:rPr>
          <w:rFonts w:ascii="Times New Roman" w:hAnsi="Times New Roman" w:cs="Times New Roman"/>
          <w:sz w:val="24"/>
          <w:szCs w:val="24"/>
        </w:rPr>
        <w:t>d</w:t>
      </w:r>
      <w:r w:rsidR="00F55D1A" w:rsidRPr="00943504">
        <w:rPr>
          <w:rFonts w:ascii="Times New Roman" w:hAnsi="Times New Roman" w:cs="Times New Roman"/>
          <w:sz w:val="24"/>
          <w:szCs w:val="24"/>
        </w:rPr>
        <w:t xml:space="preserve"> it with the rectified version. His main business at hand on receipt of the letter and attachments from the respondent’s legal practitioner suggesting the amount of the applicant’s half-share was to satisfy himself that the suggested amount was backed by the valuation reports and thereafter advise his client accordingly.</w:t>
      </w:r>
      <w:r w:rsidR="00790F54" w:rsidRPr="00943504">
        <w:rPr>
          <w:rFonts w:ascii="Times New Roman" w:hAnsi="Times New Roman" w:cs="Times New Roman"/>
          <w:sz w:val="24"/>
          <w:szCs w:val="24"/>
        </w:rPr>
        <w:t xml:space="preserve"> In any event,</w:t>
      </w:r>
      <w:r w:rsidR="00276620" w:rsidRPr="00943504">
        <w:rPr>
          <w:rFonts w:ascii="Times New Roman" w:hAnsi="Times New Roman" w:cs="Times New Roman"/>
          <w:sz w:val="24"/>
          <w:szCs w:val="24"/>
        </w:rPr>
        <w:t xml:space="preserve"> as was pronounced by this Court in </w:t>
      </w:r>
      <w:r w:rsidR="00276620" w:rsidRPr="00943504">
        <w:rPr>
          <w:rFonts w:ascii="Times New Roman" w:hAnsi="Times New Roman" w:cs="Times New Roman"/>
          <w:i/>
          <w:sz w:val="24"/>
          <w:szCs w:val="24"/>
        </w:rPr>
        <w:t xml:space="preserve">Apostolic Faith Mission in Zimbabwe </w:t>
      </w:r>
      <w:r w:rsidR="00790F54" w:rsidRPr="00943504">
        <w:rPr>
          <w:rFonts w:ascii="Times New Roman" w:hAnsi="Times New Roman" w:cs="Times New Roman"/>
          <w:i/>
          <w:sz w:val="24"/>
          <w:szCs w:val="24"/>
        </w:rPr>
        <w:t xml:space="preserve">&amp; </w:t>
      </w:r>
      <w:r w:rsidR="00276620" w:rsidRPr="00943504">
        <w:rPr>
          <w:rFonts w:ascii="Times New Roman" w:hAnsi="Times New Roman" w:cs="Times New Roman"/>
          <w:i/>
          <w:sz w:val="24"/>
          <w:szCs w:val="24"/>
        </w:rPr>
        <w:t xml:space="preserve">Ors v Titus Innocent Murefu </w:t>
      </w:r>
      <w:r w:rsidR="00276620" w:rsidRPr="00943504">
        <w:rPr>
          <w:rFonts w:ascii="Times New Roman" w:hAnsi="Times New Roman" w:cs="Times New Roman"/>
          <w:sz w:val="24"/>
          <w:szCs w:val="24"/>
        </w:rPr>
        <w:t>SC28/03, which cited with approval the sentiments of STEYN CJ</w:t>
      </w:r>
      <w:r w:rsidR="00F50B78" w:rsidRPr="00943504">
        <w:rPr>
          <w:rFonts w:ascii="Times New Roman" w:hAnsi="Times New Roman" w:cs="Times New Roman"/>
          <w:sz w:val="24"/>
          <w:szCs w:val="24"/>
        </w:rPr>
        <w:t xml:space="preserve"> in</w:t>
      </w:r>
      <w:r w:rsidR="00276620" w:rsidRPr="00943504">
        <w:rPr>
          <w:rFonts w:ascii="Times New Roman" w:hAnsi="Times New Roman" w:cs="Times New Roman"/>
          <w:sz w:val="24"/>
          <w:szCs w:val="24"/>
        </w:rPr>
        <w:t xml:space="preserve"> </w:t>
      </w:r>
      <w:r w:rsidR="00E62ACE" w:rsidRPr="00943504">
        <w:rPr>
          <w:rFonts w:ascii="Times New Roman" w:hAnsi="Times New Roman" w:cs="Times New Roman"/>
          <w:i/>
          <w:sz w:val="24"/>
          <w:szCs w:val="24"/>
        </w:rPr>
        <w:t>Salooj</w:t>
      </w:r>
      <w:r w:rsidR="00276620" w:rsidRPr="00943504">
        <w:rPr>
          <w:rFonts w:ascii="Times New Roman" w:hAnsi="Times New Roman" w:cs="Times New Roman"/>
          <w:i/>
          <w:sz w:val="24"/>
          <w:szCs w:val="24"/>
        </w:rPr>
        <w:t xml:space="preserve">ee &amp; Anor </w:t>
      </w:r>
      <w:r w:rsidR="00E62ACE" w:rsidRPr="00943504">
        <w:rPr>
          <w:rFonts w:ascii="Times New Roman" w:hAnsi="Times New Roman" w:cs="Times New Roman"/>
          <w:i/>
          <w:sz w:val="24"/>
          <w:szCs w:val="24"/>
        </w:rPr>
        <w:t xml:space="preserve">NNO </w:t>
      </w:r>
      <w:r w:rsidR="00276620" w:rsidRPr="00943504">
        <w:rPr>
          <w:rFonts w:ascii="Times New Roman" w:hAnsi="Times New Roman" w:cs="Times New Roman"/>
          <w:i/>
          <w:sz w:val="24"/>
          <w:szCs w:val="24"/>
        </w:rPr>
        <w:t xml:space="preserve">v Minister of Community Development </w:t>
      </w:r>
      <w:r w:rsidR="00E62ACE" w:rsidRPr="00943504">
        <w:rPr>
          <w:rFonts w:ascii="Times New Roman" w:hAnsi="Times New Roman" w:cs="Times New Roman"/>
          <w:sz w:val="24"/>
          <w:szCs w:val="24"/>
        </w:rPr>
        <w:t xml:space="preserve">1965 (2) 135 (A) </w:t>
      </w:r>
      <w:r w:rsidR="00276620" w:rsidRPr="00943504">
        <w:rPr>
          <w:rFonts w:ascii="Times New Roman" w:hAnsi="Times New Roman" w:cs="Times New Roman"/>
          <w:sz w:val="24"/>
          <w:szCs w:val="24"/>
        </w:rPr>
        <w:t>at p141 C</w:t>
      </w:r>
      <w:r w:rsidR="00E62ACE" w:rsidRPr="00943504">
        <w:rPr>
          <w:rFonts w:ascii="Times New Roman" w:hAnsi="Times New Roman" w:cs="Times New Roman"/>
          <w:sz w:val="24"/>
          <w:szCs w:val="24"/>
        </w:rPr>
        <w:t>-E</w:t>
      </w:r>
      <w:r w:rsidR="00276620" w:rsidRPr="00943504">
        <w:rPr>
          <w:rFonts w:ascii="Times New Roman" w:hAnsi="Times New Roman" w:cs="Times New Roman"/>
          <w:sz w:val="24"/>
          <w:szCs w:val="24"/>
        </w:rPr>
        <w:t>, there is a limit beyond which the client cannot escape the consequences of the conduct of his legal practiti</w:t>
      </w:r>
      <w:r w:rsidR="002B3292" w:rsidRPr="00943504">
        <w:rPr>
          <w:rFonts w:ascii="Times New Roman" w:hAnsi="Times New Roman" w:cs="Times New Roman"/>
          <w:sz w:val="24"/>
          <w:szCs w:val="24"/>
        </w:rPr>
        <w:t>oner and w</w:t>
      </w:r>
      <w:r w:rsidR="00E62ACE" w:rsidRPr="00943504">
        <w:rPr>
          <w:rFonts w:ascii="Times New Roman" w:hAnsi="Times New Roman" w:cs="Times New Roman"/>
          <w:sz w:val="24"/>
          <w:szCs w:val="24"/>
        </w:rPr>
        <w:t>here the limit has been exceeded, the sins of the legal practitioner will visit his client</w:t>
      </w:r>
      <w:r w:rsidR="00790F54" w:rsidRPr="00943504">
        <w:rPr>
          <w:rFonts w:ascii="Times New Roman" w:hAnsi="Times New Roman" w:cs="Times New Roman"/>
          <w:sz w:val="24"/>
          <w:szCs w:val="24"/>
        </w:rPr>
        <w:t>.</w:t>
      </w:r>
    </w:p>
    <w:p w14:paraId="75A999F8" w14:textId="77777777" w:rsidR="00357B76" w:rsidRPr="00943504" w:rsidRDefault="00357B76" w:rsidP="00943504">
      <w:pPr>
        <w:spacing w:after="0" w:line="480" w:lineRule="auto"/>
        <w:jc w:val="both"/>
        <w:rPr>
          <w:rFonts w:ascii="Times New Roman" w:hAnsi="Times New Roman" w:cs="Times New Roman"/>
          <w:sz w:val="24"/>
          <w:szCs w:val="24"/>
        </w:rPr>
      </w:pPr>
    </w:p>
    <w:p w14:paraId="0684B0D7" w14:textId="77777777" w:rsidR="004610FB" w:rsidRPr="00943504" w:rsidRDefault="00F55D1A" w:rsidP="00943504">
      <w:pPr>
        <w:spacing w:after="0" w:line="480" w:lineRule="auto"/>
        <w:ind w:firstLine="1134"/>
        <w:jc w:val="both"/>
        <w:rPr>
          <w:rFonts w:ascii="Times New Roman" w:hAnsi="Times New Roman" w:cs="Times New Roman"/>
          <w:sz w:val="24"/>
          <w:szCs w:val="24"/>
        </w:rPr>
      </w:pPr>
      <w:r w:rsidRPr="00943504">
        <w:rPr>
          <w:rFonts w:ascii="Times New Roman" w:hAnsi="Times New Roman" w:cs="Times New Roman"/>
          <w:sz w:val="24"/>
          <w:szCs w:val="24"/>
        </w:rPr>
        <w:t>It was also common ground that the legal practitioner in question</w:t>
      </w:r>
      <w:r w:rsidR="009F05E1" w:rsidRPr="00943504">
        <w:rPr>
          <w:rFonts w:ascii="Times New Roman" w:hAnsi="Times New Roman" w:cs="Times New Roman"/>
          <w:sz w:val="24"/>
          <w:szCs w:val="24"/>
        </w:rPr>
        <w:t xml:space="preserve"> was not only the legal practitioner of the applicant but also her agent. It is trite that the actions of an agent in the exercise of his mandate are attributed to </w:t>
      </w:r>
      <w:r w:rsidR="005727B3" w:rsidRPr="00943504">
        <w:rPr>
          <w:rFonts w:ascii="Times New Roman" w:hAnsi="Times New Roman" w:cs="Times New Roman"/>
          <w:sz w:val="24"/>
          <w:szCs w:val="24"/>
        </w:rPr>
        <w:t xml:space="preserve">and bind </w:t>
      </w:r>
      <w:r w:rsidR="009F05E1" w:rsidRPr="00943504">
        <w:rPr>
          <w:rFonts w:ascii="Times New Roman" w:hAnsi="Times New Roman" w:cs="Times New Roman"/>
          <w:sz w:val="24"/>
          <w:szCs w:val="24"/>
        </w:rPr>
        <w:t xml:space="preserve">his principal. In the present matter, the receipt of the two valuation reports by her legal practitioner </w:t>
      </w:r>
      <w:r w:rsidR="009F05E1" w:rsidRPr="00943504">
        <w:rPr>
          <w:rFonts w:ascii="Times New Roman" w:hAnsi="Times New Roman" w:cs="Times New Roman"/>
          <w:i/>
          <w:sz w:val="24"/>
          <w:szCs w:val="24"/>
        </w:rPr>
        <w:t>cum</w:t>
      </w:r>
      <w:r w:rsidR="009F05E1" w:rsidRPr="00943504">
        <w:rPr>
          <w:rFonts w:ascii="Times New Roman" w:hAnsi="Times New Roman" w:cs="Times New Roman"/>
          <w:sz w:val="24"/>
          <w:szCs w:val="24"/>
        </w:rPr>
        <w:t xml:space="preserve"> agent and his sworn shortcomings are ascribed to</w:t>
      </w:r>
      <w:r w:rsidR="005727B3" w:rsidRPr="00943504">
        <w:rPr>
          <w:rFonts w:ascii="Times New Roman" w:hAnsi="Times New Roman" w:cs="Times New Roman"/>
          <w:sz w:val="24"/>
          <w:szCs w:val="24"/>
        </w:rPr>
        <w:t xml:space="preserve"> and do bind</w:t>
      </w:r>
      <w:r w:rsidR="009F05E1" w:rsidRPr="00943504">
        <w:rPr>
          <w:rFonts w:ascii="Times New Roman" w:hAnsi="Times New Roman" w:cs="Times New Roman"/>
          <w:sz w:val="24"/>
          <w:szCs w:val="24"/>
        </w:rPr>
        <w:t xml:space="preserve"> her. See </w:t>
      </w:r>
      <w:r w:rsidR="008E1F0F" w:rsidRPr="00943504">
        <w:rPr>
          <w:rFonts w:ascii="Times New Roman" w:hAnsi="Times New Roman" w:cs="Times New Roman"/>
          <w:i/>
          <w:sz w:val="24"/>
          <w:szCs w:val="24"/>
        </w:rPr>
        <w:t>Rhodes Motors (Pvt) Ltd v Pr</w:t>
      </w:r>
      <w:r w:rsidR="005727B3" w:rsidRPr="00943504">
        <w:rPr>
          <w:rFonts w:ascii="Times New Roman" w:hAnsi="Times New Roman" w:cs="Times New Roman"/>
          <w:i/>
          <w:sz w:val="24"/>
          <w:szCs w:val="24"/>
        </w:rPr>
        <w:t>i</w:t>
      </w:r>
      <w:r w:rsidR="008E1F0F" w:rsidRPr="00943504">
        <w:rPr>
          <w:rFonts w:ascii="Times New Roman" w:hAnsi="Times New Roman" w:cs="Times New Roman"/>
          <w:i/>
          <w:sz w:val="24"/>
          <w:szCs w:val="24"/>
        </w:rPr>
        <w:t>ngle-Wood</w:t>
      </w:r>
      <w:r w:rsidR="008E1F0F" w:rsidRPr="00943504">
        <w:rPr>
          <w:rFonts w:ascii="Times New Roman" w:hAnsi="Times New Roman" w:cs="Times New Roman"/>
          <w:sz w:val="24"/>
          <w:szCs w:val="24"/>
        </w:rPr>
        <w:t>, NO 1965 (4) SA 40 (SRA) at p</w:t>
      </w:r>
      <w:r w:rsidR="005727B3" w:rsidRPr="00943504">
        <w:rPr>
          <w:rFonts w:ascii="Times New Roman" w:hAnsi="Times New Roman" w:cs="Times New Roman"/>
          <w:sz w:val="24"/>
          <w:szCs w:val="24"/>
        </w:rPr>
        <w:t>p. 44</w:t>
      </w:r>
      <w:r w:rsidR="00790F54" w:rsidRPr="00943504">
        <w:rPr>
          <w:rFonts w:ascii="Times New Roman" w:hAnsi="Times New Roman" w:cs="Times New Roman"/>
          <w:sz w:val="24"/>
          <w:szCs w:val="24"/>
        </w:rPr>
        <w:t>-46, and the cases cited therein</w:t>
      </w:r>
      <w:r w:rsidR="005727B3" w:rsidRPr="00943504">
        <w:rPr>
          <w:rFonts w:ascii="Times New Roman" w:hAnsi="Times New Roman" w:cs="Times New Roman"/>
          <w:sz w:val="24"/>
          <w:szCs w:val="24"/>
        </w:rPr>
        <w:t xml:space="preserve">. </w:t>
      </w:r>
      <w:r w:rsidR="008E1F0F" w:rsidRPr="00943504">
        <w:rPr>
          <w:rFonts w:ascii="Times New Roman" w:hAnsi="Times New Roman" w:cs="Times New Roman"/>
          <w:sz w:val="24"/>
          <w:szCs w:val="24"/>
        </w:rPr>
        <w:t xml:space="preserve"> </w:t>
      </w:r>
      <w:r w:rsidR="00790F54" w:rsidRPr="00943504">
        <w:rPr>
          <w:rFonts w:ascii="Times New Roman" w:hAnsi="Times New Roman" w:cs="Times New Roman"/>
          <w:sz w:val="24"/>
          <w:szCs w:val="24"/>
        </w:rPr>
        <w:t>It was on this twin</w:t>
      </w:r>
      <w:r w:rsidR="005727B3" w:rsidRPr="00943504">
        <w:rPr>
          <w:rFonts w:ascii="Times New Roman" w:hAnsi="Times New Roman" w:cs="Times New Roman"/>
          <w:sz w:val="24"/>
          <w:szCs w:val="24"/>
        </w:rPr>
        <w:t xml:space="preserve"> basis that the court </w:t>
      </w:r>
      <w:r w:rsidR="005727B3" w:rsidRPr="00943504">
        <w:rPr>
          <w:rFonts w:ascii="Times New Roman" w:hAnsi="Times New Roman" w:cs="Times New Roman"/>
          <w:i/>
          <w:sz w:val="24"/>
          <w:szCs w:val="24"/>
        </w:rPr>
        <w:t>a quo</w:t>
      </w:r>
      <w:r w:rsidR="005727B3" w:rsidRPr="00943504">
        <w:rPr>
          <w:rFonts w:ascii="Times New Roman" w:hAnsi="Times New Roman" w:cs="Times New Roman"/>
          <w:sz w:val="24"/>
          <w:szCs w:val="24"/>
        </w:rPr>
        <w:t xml:space="preserve"> correctly held at p 6 of the cyclostyled judgment that:</w:t>
      </w:r>
    </w:p>
    <w:p w14:paraId="2B80D164" w14:textId="77777777" w:rsidR="005727B3" w:rsidRPr="00943504" w:rsidRDefault="005727B3" w:rsidP="00BE264A">
      <w:pPr>
        <w:spacing w:after="0" w:line="240" w:lineRule="auto"/>
        <w:ind w:left="567"/>
        <w:jc w:val="both"/>
        <w:rPr>
          <w:rFonts w:ascii="Times New Roman" w:hAnsi="Times New Roman" w:cs="Times New Roman"/>
          <w:sz w:val="24"/>
          <w:szCs w:val="24"/>
        </w:rPr>
      </w:pPr>
      <w:r w:rsidRPr="00943504">
        <w:rPr>
          <w:rFonts w:ascii="Times New Roman" w:hAnsi="Times New Roman" w:cs="Times New Roman"/>
          <w:sz w:val="24"/>
          <w:szCs w:val="24"/>
        </w:rPr>
        <w:t>“It is not enough for Chijara or indeed the respondent</w:t>
      </w:r>
      <w:r w:rsidR="0064325A" w:rsidRPr="00943504">
        <w:rPr>
          <w:rFonts w:ascii="Times New Roman" w:hAnsi="Times New Roman" w:cs="Times New Roman"/>
          <w:sz w:val="24"/>
          <w:szCs w:val="24"/>
        </w:rPr>
        <w:t xml:space="preserve"> (applicant in the present application)</w:t>
      </w:r>
      <w:r w:rsidRPr="00943504">
        <w:rPr>
          <w:rFonts w:ascii="Times New Roman" w:hAnsi="Times New Roman" w:cs="Times New Roman"/>
          <w:sz w:val="24"/>
          <w:szCs w:val="24"/>
        </w:rPr>
        <w:t xml:space="preserve"> to say that after receiving the 2 reports they did not scrutinize them in order </w:t>
      </w:r>
      <w:r w:rsidRPr="00943504">
        <w:rPr>
          <w:rFonts w:ascii="Times New Roman" w:hAnsi="Times New Roman" w:cs="Times New Roman"/>
          <w:sz w:val="24"/>
          <w:szCs w:val="24"/>
        </w:rPr>
        <w:lastRenderedPageBreak/>
        <w:t xml:space="preserve">to see that they were different. That is their fault and in the process the applicant (respondent </w:t>
      </w:r>
      <w:r w:rsidR="0064325A" w:rsidRPr="00943504">
        <w:rPr>
          <w:rFonts w:ascii="Times New Roman" w:hAnsi="Times New Roman" w:cs="Times New Roman"/>
          <w:sz w:val="24"/>
          <w:szCs w:val="24"/>
        </w:rPr>
        <w:t>in the present case) prejudicially acted on the strength of their actions.”</w:t>
      </w:r>
      <w:r w:rsidRPr="00943504">
        <w:rPr>
          <w:rFonts w:ascii="Times New Roman" w:hAnsi="Times New Roman" w:cs="Times New Roman"/>
          <w:sz w:val="24"/>
          <w:szCs w:val="24"/>
        </w:rPr>
        <w:t xml:space="preserve"> </w:t>
      </w:r>
    </w:p>
    <w:p w14:paraId="07EDC665" w14:textId="77777777" w:rsidR="008D10D4" w:rsidRPr="00943504" w:rsidRDefault="008D10D4" w:rsidP="00943504">
      <w:pPr>
        <w:spacing w:after="0" w:line="240" w:lineRule="auto"/>
        <w:ind w:left="720"/>
        <w:jc w:val="both"/>
        <w:rPr>
          <w:rFonts w:ascii="Times New Roman" w:hAnsi="Times New Roman" w:cs="Times New Roman"/>
          <w:sz w:val="24"/>
          <w:szCs w:val="24"/>
        </w:rPr>
      </w:pPr>
    </w:p>
    <w:p w14:paraId="47E0B4BB" w14:textId="77777777" w:rsidR="008D10D4" w:rsidRPr="00943504" w:rsidRDefault="008D10D4" w:rsidP="00943504">
      <w:pPr>
        <w:spacing w:after="0" w:line="240" w:lineRule="auto"/>
        <w:ind w:left="720"/>
        <w:jc w:val="both"/>
        <w:rPr>
          <w:rFonts w:ascii="Times New Roman" w:hAnsi="Times New Roman" w:cs="Times New Roman"/>
          <w:sz w:val="24"/>
          <w:szCs w:val="24"/>
        </w:rPr>
      </w:pPr>
    </w:p>
    <w:p w14:paraId="128251F0" w14:textId="77777777" w:rsidR="002A650F" w:rsidRPr="00943504" w:rsidRDefault="009759CA" w:rsidP="00943504">
      <w:pPr>
        <w:spacing w:after="0" w:line="480" w:lineRule="auto"/>
        <w:ind w:firstLine="1134"/>
        <w:jc w:val="both"/>
        <w:rPr>
          <w:rFonts w:ascii="Times New Roman" w:eastAsia="Calibri" w:hAnsi="Times New Roman" w:cs="Times New Roman"/>
          <w:sz w:val="24"/>
          <w:szCs w:val="24"/>
        </w:rPr>
      </w:pPr>
      <w:r w:rsidRPr="00943504">
        <w:rPr>
          <w:rFonts w:ascii="Times New Roman" w:hAnsi="Times New Roman" w:cs="Times New Roman"/>
          <w:sz w:val="24"/>
          <w:szCs w:val="24"/>
        </w:rPr>
        <w:t xml:space="preserve">In the light of the limitations </w:t>
      </w:r>
      <w:r w:rsidR="00FB279E" w:rsidRPr="00943504">
        <w:rPr>
          <w:rFonts w:ascii="Times New Roman" w:hAnsi="Times New Roman" w:cs="Times New Roman"/>
          <w:sz w:val="24"/>
          <w:szCs w:val="24"/>
        </w:rPr>
        <w:t>to the power of</w:t>
      </w:r>
      <w:r w:rsidRPr="00943504">
        <w:rPr>
          <w:rFonts w:ascii="Times New Roman" w:hAnsi="Times New Roman" w:cs="Times New Roman"/>
          <w:sz w:val="24"/>
          <w:szCs w:val="24"/>
        </w:rPr>
        <w:t xml:space="preserve"> an appe</w:t>
      </w:r>
      <w:r w:rsidR="00DC14B9" w:rsidRPr="00943504">
        <w:rPr>
          <w:rFonts w:ascii="Times New Roman" w:hAnsi="Times New Roman" w:cs="Times New Roman"/>
          <w:sz w:val="24"/>
          <w:szCs w:val="24"/>
        </w:rPr>
        <w:t xml:space="preserve">al court on </w:t>
      </w:r>
      <w:r w:rsidR="00790F54" w:rsidRPr="00943504">
        <w:rPr>
          <w:rFonts w:ascii="Times New Roman" w:hAnsi="Times New Roman" w:cs="Times New Roman"/>
          <w:sz w:val="24"/>
          <w:szCs w:val="24"/>
        </w:rPr>
        <w:t>the discre</w:t>
      </w:r>
      <w:r w:rsidR="00FB279E" w:rsidRPr="00943504">
        <w:rPr>
          <w:rFonts w:ascii="Times New Roman" w:hAnsi="Times New Roman" w:cs="Times New Roman"/>
          <w:sz w:val="24"/>
          <w:szCs w:val="24"/>
        </w:rPr>
        <w:t>tion exercised by a court of first instance on</w:t>
      </w:r>
      <w:r w:rsidR="00790F54" w:rsidRPr="00943504">
        <w:rPr>
          <w:rFonts w:ascii="Times New Roman" w:hAnsi="Times New Roman" w:cs="Times New Roman"/>
          <w:sz w:val="24"/>
          <w:szCs w:val="24"/>
        </w:rPr>
        <w:t xml:space="preserve"> </w:t>
      </w:r>
      <w:r w:rsidR="00DC14B9" w:rsidRPr="00943504">
        <w:rPr>
          <w:rFonts w:ascii="Times New Roman" w:hAnsi="Times New Roman" w:cs="Times New Roman"/>
          <w:sz w:val="24"/>
          <w:szCs w:val="24"/>
        </w:rPr>
        <w:t>findings of fact</w:t>
      </w:r>
      <w:r w:rsidR="00FB279E" w:rsidRPr="00943504">
        <w:rPr>
          <w:rFonts w:ascii="Times New Roman" w:hAnsi="Times New Roman" w:cs="Times New Roman"/>
          <w:sz w:val="24"/>
          <w:szCs w:val="24"/>
        </w:rPr>
        <w:t>,</w:t>
      </w:r>
      <w:r w:rsidR="00DC14B9" w:rsidRPr="00943504">
        <w:rPr>
          <w:rFonts w:ascii="Times New Roman" w:hAnsi="Times New Roman" w:cs="Times New Roman"/>
          <w:sz w:val="24"/>
          <w:szCs w:val="24"/>
        </w:rPr>
        <w:t xml:space="preserve"> espoused in such cases as </w:t>
      </w:r>
      <w:r w:rsidR="00F71ED2" w:rsidRPr="00943504">
        <w:rPr>
          <w:rFonts w:ascii="Times New Roman" w:eastAsia="Calibri" w:hAnsi="Times New Roman" w:cs="Times New Roman"/>
          <w:sz w:val="24"/>
          <w:szCs w:val="24"/>
        </w:rPr>
        <w:t>of</w:t>
      </w:r>
      <w:r w:rsidR="00F71ED2" w:rsidRPr="00943504">
        <w:rPr>
          <w:rFonts w:ascii="Times New Roman" w:eastAsia="Calibri" w:hAnsi="Times New Roman" w:cs="Times New Roman"/>
          <w:i/>
          <w:sz w:val="24"/>
          <w:szCs w:val="24"/>
        </w:rPr>
        <w:t xml:space="preserve"> Hama v National Railways of Zimbabwe </w:t>
      </w:r>
      <w:r w:rsidR="00F71ED2" w:rsidRPr="00943504">
        <w:rPr>
          <w:rFonts w:ascii="Times New Roman" w:eastAsia="Calibri" w:hAnsi="Times New Roman" w:cs="Times New Roman"/>
          <w:sz w:val="24"/>
          <w:szCs w:val="24"/>
        </w:rPr>
        <w:t xml:space="preserve">1996 (1) ZLR 664 (S) at 670C-E, it is unlikely that the factual findings of the court a quo would be successfully impugned on appeal. I also do not find that the applicant would successfully impeach the add weight sentiments of the court </w:t>
      </w:r>
      <w:r w:rsidR="00F71ED2" w:rsidRPr="00943504">
        <w:rPr>
          <w:rFonts w:ascii="Times New Roman" w:eastAsia="Calibri" w:hAnsi="Times New Roman" w:cs="Times New Roman"/>
          <w:i/>
          <w:sz w:val="24"/>
          <w:szCs w:val="24"/>
        </w:rPr>
        <w:t>a quo</w:t>
      </w:r>
      <w:r w:rsidR="00F71ED2" w:rsidRPr="00943504">
        <w:rPr>
          <w:rFonts w:ascii="Times New Roman" w:eastAsia="Calibri" w:hAnsi="Times New Roman" w:cs="Times New Roman"/>
          <w:sz w:val="24"/>
          <w:szCs w:val="24"/>
        </w:rPr>
        <w:t xml:space="preserve"> on estoppel </w:t>
      </w:r>
      <w:r w:rsidR="00FB279E" w:rsidRPr="00943504">
        <w:rPr>
          <w:rFonts w:ascii="Times New Roman" w:eastAsia="Calibri" w:hAnsi="Times New Roman" w:cs="Times New Roman"/>
          <w:sz w:val="24"/>
          <w:szCs w:val="24"/>
        </w:rPr>
        <w:t>and the inviolability of the principle of obedience of</w:t>
      </w:r>
      <w:r w:rsidR="00F71ED2" w:rsidRPr="00943504">
        <w:rPr>
          <w:rFonts w:ascii="Times New Roman" w:eastAsia="Calibri" w:hAnsi="Times New Roman" w:cs="Times New Roman"/>
          <w:sz w:val="24"/>
          <w:szCs w:val="24"/>
        </w:rPr>
        <w:t xml:space="preserve"> court order</w:t>
      </w:r>
      <w:r w:rsidR="00FB279E" w:rsidRPr="00943504">
        <w:rPr>
          <w:rFonts w:ascii="Times New Roman" w:eastAsia="Calibri" w:hAnsi="Times New Roman" w:cs="Times New Roman"/>
          <w:sz w:val="24"/>
          <w:szCs w:val="24"/>
        </w:rPr>
        <w:t>s</w:t>
      </w:r>
      <w:r w:rsidR="00F71ED2" w:rsidRPr="00943504">
        <w:rPr>
          <w:rFonts w:ascii="Times New Roman" w:eastAsia="Calibri" w:hAnsi="Times New Roman" w:cs="Times New Roman"/>
          <w:sz w:val="24"/>
          <w:szCs w:val="24"/>
        </w:rPr>
        <w:t xml:space="preserve">, such as the </w:t>
      </w:r>
      <w:r w:rsidR="00FB279E" w:rsidRPr="00943504">
        <w:rPr>
          <w:rFonts w:ascii="Times New Roman" w:eastAsia="Calibri" w:hAnsi="Times New Roman" w:cs="Times New Roman"/>
          <w:sz w:val="24"/>
          <w:szCs w:val="24"/>
        </w:rPr>
        <w:t>consent orders of February 2017, upon which the payment of the applicant’s half-share was based</w:t>
      </w:r>
      <w:r w:rsidR="00F71ED2" w:rsidRPr="00943504">
        <w:rPr>
          <w:rFonts w:ascii="Times New Roman" w:eastAsia="Calibri" w:hAnsi="Times New Roman" w:cs="Times New Roman"/>
          <w:sz w:val="24"/>
          <w:szCs w:val="24"/>
        </w:rPr>
        <w:t xml:space="preserve">. </w:t>
      </w:r>
    </w:p>
    <w:p w14:paraId="2C8E1C29" w14:textId="77777777" w:rsidR="008D10D4" w:rsidRPr="00943504" w:rsidRDefault="008D10D4" w:rsidP="00943504">
      <w:pPr>
        <w:spacing w:after="0" w:line="480" w:lineRule="auto"/>
        <w:jc w:val="both"/>
        <w:rPr>
          <w:rFonts w:ascii="Times New Roman" w:eastAsia="Calibri" w:hAnsi="Times New Roman" w:cs="Times New Roman"/>
          <w:sz w:val="24"/>
          <w:szCs w:val="24"/>
        </w:rPr>
      </w:pPr>
    </w:p>
    <w:p w14:paraId="62DB1EAB" w14:textId="77777777" w:rsidR="00E077B8" w:rsidRPr="00943504" w:rsidRDefault="00E077B8" w:rsidP="00943504">
      <w:pPr>
        <w:spacing w:after="0" w:line="480" w:lineRule="auto"/>
        <w:ind w:firstLine="1134"/>
        <w:jc w:val="both"/>
        <w:rPr>
          <w:rFonts w:ascii="Times New Roman" w:eastAsia="Calibri" w:hAnsi="Times New Roman" w:cs="Times New Roman"/>
          <w:sz w:val="24"/>
          <w:szCs w:val="24"/>
        </w:rPr>
      </w:pPr>
      <w:r w:rsidRPr="00943504">
        <w:rPr>
          <w:rFonts w:ascii="Times New Roman" w:eastAsia="Calibri" w:hAnsi="Times New Roman" w:cs="Times New Roman"/>
          <w:sz w:val="24"/>
          <w:szCs w:val="24"/>
        </w:rPr>
        <w:t xml:space="preserve">I am satisfied that the applicant does not have an arguable case based on either fraudulent misrepresentation or material non-disclosure upon which an appeal court could find that she was induced by the conduct of the respondent or his legal practitioner to accept the mean value of the property </w:t>
      </w:r>
      <w:r w:rsidR="004434E5" w:rsidRPr="00943504">
        <w:rPr>
          <w:rFonts w:ascii="Times New Roman" w:eastAsia="Calibri" w:hAnsi="Times New Roman" w:cs="Times New Roman"/>
          <w:sz w:val="24"/>
          <w:szCs w:val="24"/>
        </w:rPr>
        <w:t>in question. There are, therefore, no reasonable prospects of success on appeal.</w:t>
      </w:r>
    </w:p>
    <w:p w14:paraId="0B3474CB" w14:textId="77777777" w:rsidR="008D10D4" w:rsidRPr="00943504" w:rsidRDefault="008D10D4" w:rsidP="00943504">
      <w:pPr>
        <w:spacing w:after="0" w:line="480" w:lineRule="auto"/>
        <w:jc w:val="both"/>
        <w:rPr>
          <w:rFonts w:ascii="Times New Roman" w:eastAsia="Calibri" w:hAnsi="Times New Roman" w:cs="Times New Roman"/>
          <w:sz w:val="24"/>
          <w:szCs w:val="24"/>
        </w:rPr>
      </w:pPr>
    </w:p>
    <w:p w14:paraId="76714E15" w14:textId="77777777" w:rsidR="00B9330D" w:rsidRPr="00943504" w:rsidRDefault="002A650F" w:rsidP="00943504">
      <w:pPr>
        <w:spacing w:after="0" w:line="480" w:lineRule="auto"/>
        <w:ind w:firstLine="1134"/>
        <w:jc w:val="both"/>
        <w:rPr>
          <w:rFonts w:ascii="Times New Roman" w:hAnsi="Times New Roman" w:cs="Times New Roman"/>
          <w:sz w:val="24"/>
          <w:szCs w:val="24"/>
        </w:rPr>
      </w:pPr>
      <w:r w:rsidRPr="00943504">
        <w:rPr>
          <w:rFonts w:ascii="Times New Roman" w:eastAsia="Calibri" w:hAnsi="Times New Roman" w:cs="Times New Roman"/>
          <w:sz w:val="24"/>
          <w:szCs w:val="24"/>
        </w:rPr>
        <w:t xml:space="preserve">In the end, there must be finality to litigation and the concomitant protection of the interests of the respondent who has been unable to execute his judgment. </w:t>
      </w:r>
      <w:r w:rsidR="00B9330D" w:rsidRPr="00943504">
        <w:rPr>
          <w:rFonts w:ascii="Times New Roman" w:eastAsia="Calibri" w:hAnsi="Times New Roman" w:cs="Times New Roman"/>
          <w:sz w:val="24"/>
          <w:szCs w:val="24"/>
        </w:rPr>
        <w:t>Some 30 years ago,</w:t>
      </w:r>
      <w:r w:rsidRPr="00943504">
        <w:rPr>
          <w:rFonts w:ascii="Times New Roman" w:eastAsia="Calibri" w:hAnsi="Times New Roman" w:cs="Times New Roman"/>
          <w:sz w:val="24"/>
          <w:szCs w:val="24"/>
        </w:rPr>
        <w:t xml:space="preserve"> in </w:t>
      </w:r>
      <w:r w:rsidRPr="00943504">
        <w:rPr>
          <w:rFonts w:ascii="Times New Roman" w:hAnsi="Times New Roman" w:cs="Times New Roman"/>
          <w:i/>
          <w:sz w:val="24"/>
          <w:szCs w:val="24"/>
        </w:rPr>
        <w:t>Ndebele v Ncube</w:t>
      </w:r>
      <w:r w:rsidRPr="00943504">
        <w:rPr>
          <w:rFonts w:ascii="Times New Roman" w:hAnsi="Times New Roman" w:cs="Times New Roman"/>
          <w:sz w:val="24"/>
          <w:szCs w:val="24"/>
        </w:rPr>
        <w:t xml:space="preserve"> 1992 (1) ZLR 288 (S) at 290 C- E</w:t>
      </w:r>
      <w:r w:rsidR="00B9330D" w:rsidRPr="00943504">
        <w:rPr>
          <w:rFonts w:ascii="Times New Roman" w:hAnsi="Times New Roman" w:cs="Times New Roman"/>
          <w:sz w:val="24"/>
          <w:szCs w:val="24"/>
        </w:rPr>
        <w:t>,</w:t>
      </w:r>
      <w:r w:rsidRPr="00943504">
        <w:rPr>
          <w:rFonts w:ascii="Times New Roman" w:hAnsi="Times New Roman" w:cs="Times New Roman"/>
          <w:sz w:val="24"/>
          <w:szCs w:val="24"/>
        </w:rPr>
        <w:t xml:space="preserve"> </w:t>
      </w:r>
      <w:r w:rsidR="00B9330D" w:rsidRPr="00943504">
        <w:rPr>
          <w:rFonts w:ascii="Times New Roman" w:hAnsi="Times New Roman" w:cs="Times New Roman"/>
          <w:sz w:val="24"/>
          <w:szCs w:val="24"/>
        </w:rPr>
        <w:t xml:space="preserve">McNally JA </w:t>
      </w:r>
      <w:r w:rsidR="004434E5" w:rsidRPr="00943504">
        <w:rPr>
          <w:rFonts w:ascii="Times New Roman" w:hAnsi="Times New Roman" w:cs="Times New Roman"/>
          <w:sz w:val="24"/>
          <w:szCs w:val="24"/>
        </w:rPr>
        <w:t>remarked that</w:t>
      </w:r>
      <w:r w:rsidR="00B9330D" w:rsidRPr="00943504">
        <w:rPr>
          <w:rFonts w:ascii="Times New Roman" w:hAnsi="Times New Roman" w:cs="Times New Roman"/>
          <w:sz w:val="24"/>
          <w:szCs w:val="24"/>
        </w:rPr>
        <w:t>:</w:t>
      </w:r>
    </w:p>
    <w:p w14:paraId="73CD80A0" w14:textId="77777777" w:rsidR="00B9330D" w:rsidRPr="00943504" w:rsidRDefault="00B9330D" w:rsidP="00BE264A">
      <w:pPr>
        <w:spacing w:after="0" w:line="240" w:lineRule="auto"/>
        <w:ind w:left="567"/>
        <w:jc w:val="both"/>
        <w:rPr>
          <w:rFonts w:ascii="Times New Roman" w:hAnsi="Times New Roman" w:cs="Times New Roman"/>
          <w:sz w:val="24"/>
          <w:szCs w:val="24"/>
        </w:rPr>
      </w:pPr>
      <w:r w:rsidRPr="00943504">
        <w:rPr>
          <w:rFonts w:ascii="Times New Roman" w:hAnsi="Times New Roman" w:cs="Times New Roman"/>
          <w:sz w:val="24"/>
          <w:szCs w:val="24"/>
        </w:rPr>
        <w:t xml:space="preserve">“It is the policy of the law that there should be finality in litigation. On the other hand one does not want to do injustice to litigants. But it must be observed that in recent years applications for rescission, for condonation, for leave to apply or appeal out of time, and for other relief arising out of delays either by the individual or his lawyer, have rocketed in numbers. We are bombarded with excuses for failure to act. We are beginning to hear more appeals for charity than for justice. Incompetence is becoming a growth industry. Petty disputes are argued and then re-argued until the costs far exceed the capital amount in dispute. </w:t>
      </w:r>
    </w:p>
    <w:p w14:paraId="2DCC63DA" w14:textId="77777777" w:rsidR="004434E5" w:rsidRPr="00943504" w:rsidRDefault="004434E5" w:rsidP="00943504">
      <w:pPr>
        <w:spacing w:after="0" w:line="240" w:lineRule="auto"/>
        <w:ind w:left="720"/>
        <w:jc w:val="both"/>
        <w:rPr>
          <w:rFonts w:ascii="Times New Roman" w:hAnsi="Times New Roman" w:cs="Times New Roman"/>
          <w:sz w:val="24"/>
          <w:szCs w:val="24"/>
        </w:rPr>
      </w:pPr>
    </w:p>
    <w:p w14:paraId="151F6110" w14:textId="77777777" w:rsidR="00B9330D" w:rsidRPr="00943504" w:rsidRDefault="00B9330D" w:rsidP="00BE264A">
      <w:pPr>
        <w:spacing w:after="0" w:line="240" w:lineRule="auto"/>
        <w:ind w:left="567"/>
        <w:jc w:val="both"/>
        <w:rPr>
          <w:rFonts w:ascii="Times New Roman" w:eastAsia="Calibri" w:hAnsi="Times New Roman" w:cs="Times New Roman"/>
          <w:i/>
          <w:sz w:val="24"/>
          <w:szCs w:val="24"/>
        </w:rPr>
      </w:pPr>
      <w:r w:rsidRPr="00943504">
        <w:rPr>
          <w:rFonts w:ascii="Times New Roman" w:hAnsi="Times New Roman" w:cs="Times New Roman"/>
          <w:sz w:val="24"/>
          <w:szCs w:val="24"/>
        </w:rPr>
        <w:lastRenderedPageBreak/>
        <w:t xml:space="preserve">The time has come to remind the legal profession of the old adage, </w:t>
      </w:r>
      <w:r w:rsidRPr="00943504">
        <w:rPr>
          <w:rFonts w:ascii="Times New Roman" w:hAnsi="Times New Roman" w:cs="Times New Roman"/>
          <w:i/>
          <w:sz w:val="24"/>
          <w:szCs w:val="24"/>
        </w:rPr>
        <w:t>vigilantibus non dormientibus jura subveniunt</w:t>
      </w:r>
      <w:r w:rsidRPr="00943504">
        <w:rPr>
          <w:rFonts w:ascii="Times New Roman" w:hAnsi="Times New Roman" w:cs="Times New Roman"/>
          <w:sz w:val="24"/>
          <w:szCs w:val="24"/>
        </w:rPr>
        <w:t xml:space="preserve">- roughly translated, the law will help the vigilant but not the sluggard.” </w:t>
      </w:r>
      <w:r w:rsidR="00F71ED2" w:rsidRPr="00943504">
        <w:rPr>
          <w:rFonts w:ascii="Times New Roman" w:eastAsia="Calibri" w:hAnsi="Times New Roman" w:cs="Times New Roman"/>
          <w:sz w:val="24"/>
          <w:szCs w:val="24"/>
        </w:rPr>
        <w:t xml:space="preserve"> </w:t>
      </w:r>
      <w:r w:rsidR="00F71ED2" w:rsidRPr="00943504">
        <w:rPr>
          <w:rFonts w:ascii="Times New Roman" w:eastAsia="Calibri" w:hAnsi="Times New Roman" w:cs="Times New Roman"/>
          <w:i/>
          <w:sz w:val="24"/>
          <w:szCs w:val="24"/>
        </w:rPr>
        <w:t xml:space="preserve"> </w:t>
      </w:r>
    </w:p>
    <w:p w14:paraId="6FDB657F" w14:textId="77777777" w:rsidR="007C57AD" w:rsidRPr="00943504" w:rsidRDefault="007C57AD" w:rsidP="00943504">
      <w:pPr>
        <w:spacing w:after="0" w:line="480" w:lineRule="auto"/>
        <w:ind w:left="720"/>
        <w:jc w:val="both"/>
        <w:rPr>
          <w:rFonts w:ascii="Times New Roman" w:eastAsia="Calibri" w:hAnsi="Times New Roman" w:cs="Times New Roman"/>
          <w:i/>
          <w:sz w:val="24"/>
          <w:szCs w:val="24"/>
        </w:rPr>
      </w:pPr>
    </w:p>
    <w:p w14:paraId="4ED1AC4D" w14:textId="77777777" w:rsidR="00B9330D" w:rsidRPr="00943504" w:rsidRDefault="004434E5" w:rsidP="00943504">
      <w:pPr>
        <w:spacing w:after="0" w:line="240" w:lineRule="auto"/>
        <w:ind w:firstLine="1134"/>
        <w:jc w:val="both"/>
        <w:rPr>
          <w:rFonts w:ascii="Times New Roman" w:eastAsia="Calibri" w:hAnsi="Times New Roman" w:cs="Times New Roman"/>
          <w:sz w:val="24"/>
          <w:szCs w:val="24"/>
        </w:rPr>
      </w:pPr>
      <w:r w:rsidRPr="00943504">
        <w:rPr>
          <w:rFonts w:ascii="Times New Roman" w:eastAsia="Calibri" w:hAnsi="Times New Roman" w:cs="Times New Roman"/>
          <w:sz w:val="24"/>
          <w:szCs w:val="24"/>
        </w:rPr>
        <w:t xml:space="preserve">These </w:t>
      </w:r>
      <w:r w:rsidR="00630086" w:rsidRPr="00943504">
        <w:rPr>
          <w:rFonts w:ascii="Times New Roman" w:eastAsia="Calibri" w:hAnsi="Times New Roman" w:cs="Times New Roman"/>
          <w:sz w:val="24"/>
          <w:szCs w:val="24"/>
        </w:rPr>
        <w:t>perceptive word</w:t>
      </w:r>
      <w:r w:rsidR="00740B8A" w:rsidRPr="00943504">
        <w:rPr>
          <w:rFonts w:ascii="Times New Roman" w:eastAsia="Calibri" w:hAnsi="Times New Roman" w:cs="Times New Roman"/>
          <w:sz w:val="24"/>
          <w:szCs w:val="24"/>
        </w:rPr>
        <w:t>s ring true to</w:t>
      </w:r>
      <w:r w:rsidR="00B9330D" w:rsidRPr="00943504">
        <w:rPr>
          <w:rFonts w:ascii="Times New Roman" w:eastAsia="Calibri" w:hAnsi="Times New Roman" w:cs="Times New Roman"/>
          <w:sz w:val="24"/>
          <w:szCs w:val="24"/>
        </w:rPr>
        <w:t xml:space="preserve"> the present matter.</w:t>
      </w:r>
    </w:p>
    <w:p w14:paraId="5CCBE6DA" w14:textId="77777777" w:rsidR="007C57AD" w:rsidRPr="00943504" w:rsidRDefault="007C57AD" w:rsidP="00943504">
      <w:pPr>
        <w:spacing w:after="0" w:line="480" w:lineRule="auto"/>
        <w:ind w:firstLine="1134"/>
        <w:jc w:val="both"/>
        <w:rPr>
          <w:rFonts w:ascii="Times New Roman" w:eastAsia="Calibri" w:hAnsi="Times New Roman" w:cs="Times New Roman"/>
          <w:sz w:val="24"/>
          <w:szCs w:val="24"/>
        </w:rPr>
      </w:pPr>
    </w:p>
    <w:p w14:paraId="15643415" w14:textId="77777777" w:rsidR="007C57AD" w:rsidRPr="00943504" w:rsidRDefault="00202588" w:rsidP="00943504">
      <w:pPr>
        <w:spacing w:after="0" w:line="480" w:lineRule="auto"/>
        <w:ind w:firstLine="1134"/>
        <w:jc w:val="both"/>
        <w:rPr>
          <w:rFonts w:ascii="Times New Roman" w:eastAsia="Calibri" w:hAnsi="Times New Roman" w:cs="Times New Roman"/>
          <w:sz w:val="24"/>
          <w:szCs w:val="24"/>
        </w:rPr>
      </w:pPr>
      <w:r w:rsidRPr="00943504">
        <w:rPr>
          <w:rFonts w:ascii="Times New Roman" w:eastAsia="Calibri" w:hAnsi="Times New Roman" w:cs="Times New Roman"/>
          <w:sz w:val="24"/>
          <w:szCs w:val="24"/>
        </w:rPr>
        <w:t xml:space="preserve">I am satisfied that there are no reasonable prospects </w:t>
      </w:r>
    </w:p>
    <w:p w14:paraId="402EB8E9" w14:textId="77777777" w:rsidR="00202588" w:rsidRDefault="00202588" w:rsidP="00943504">
      <w:pPr>
        <w:spacing w:after="0" w:line="480" w:lineRule="auto"/>
        <w:jc w:val="both"/>
        <w:rPr>
          <w:rFonts w:ascii="Times New Roman" w:eastAsia="Calibri" w:hAnsi="Times New Roman" w:cs="Times New Roman"/>
          <w:sz w:val="24"/>
          <w:szCs w:val="24"/>
        </w:rPr>
      </w:pPr>
      <w:r w:rsidRPr="00943504">
        <w:rPr>
          <w:rFonts w:ascii="Times New Roman" w:eastAsia="Calibri" w:hAnsi="Times New Roman" w:cs="Times New Roman"/>
          <w:sz w:val="24"/>
          <w:szCs w:val="24"/>
        </w:rPr>
        <w:t xml:space="preserve">of success in the appeal envisioned by the applicant. </w:t>
      </w:r>
    </w:p>
    <w:p w14:paraId="5B788DB9" w14:textId="77777777" w:rsidR="00BE264A" w:rsidRPr="00943504" w:rsidRDefault="00BE264A" w:rsidP="00943504">
      <w:pPr>
        <w:spacing w:after="0" w:line="480" w:lineRule="auto"/>
        <w:jc w:val="both"/>
        <w:rPr>
          <w:rFonts w:ascii="Times New Roman" w:eastAsia="Calibri" w:hAnsi="Times New Roman" w:cs="Times New Roman"/>
          <w:sz w:val="24"/>
          <w:szCs w:val="24"/>
        </w:rPr>
      </w:pPr>
    </w:p>
    <w:p w14:paraId="3AE1CC32" w14:textId="77777777" w:rsidR="00202588" w:rsidRPr="00943504" w:rsidRDefault="00202588" w:rsidP="00BE264A">
      <w:pPr>
        <w:spacing w:after="0" w:line="480" w:lineRule="auto"/>
        <w:ind w:firstLine="1134"/>
        <w:jc w:val="both"/>
        <w:rPr>
          <w:rFonts w:ascii="Times New Roman" w:eastAsia="Calibri" w:hAnsi="Times New Roman" w:cs="Times New Roman"/>
          <w:sz w:val="24"/>
          <w:szCs w:val="24"/>
        </w:rPr>
      </w:pPr>
      <w:r w:rsidRPr="00943504">
        <w:rPr>
          <w:rFonts w:ascii="Times New Roman" w:eastAsia="Calibri" w:hAnsi="Times New Roman" w:cs="Times New Roman"/>
          <w:sz w:val="24"/>
          <w:szCs w:val="24"/>
        </w:rPr>
        <w:t xml:space="preserve">I agree with Mr </w:t>
      </w:r>
      <w:r w:rsidRPr="00943504">
        <w:rPr>
          <w:rFonts w:ascii="Times New Roman" w:eastAsia="Calibri" w:hAnsi="Times New Roman" w:cs="Times New Roman"/>
          <w:i/>
          <w:sz w:val="24"/>
          <w:szCs w:val="24"/>
        </w:rPr>
        <w:t>Mhlanga</w:t>
      </w:r>
      <w:r w:rsidRPr="00943504">
        <w:rPr>
          <w:rFonts w:ascii="Times New Roman" w:eastAsia="Calibri" w:hAnsi="Times New Roman" w:cs="Times New Roman"/>
          <w:sz w:val="24"/>
          <w:szCs w:val="24"/>
        </w:rPr>
        <w:t xml:space="preserve"> that the applicant’s persistence in flogging a dead horse is not only an abuse of the court system but unnecessarily put the respondent out of pocket in opposing the futile and ill-fated application. This is a proper case for mulcting the applicant with punitive costs.</w:t>
      </w:r>
    </w:p>
    <w:p w14:paraId="036379C7" w14:textId="77777777" w:rsidR="007C57AD" w:rsidRPr="00943504" w:rsidRDefault="007C57AD" w:rsidP="00943504">
      <w:pPr>
        <w:spacing w:after="0" w:line="480" w:lineRule="auto"/>
        <w:jc w:val="both"/>
        <w:rPr>
          <w:rFonts w:ascii="Times New Roman" w:eastAsia="Calibri" w:hAnsi="Times New Roman" w:cs="Times New Roman"/>
          <w:sz w:val="24"/>
          <w:szCs w:val="24"/>
        </w:rPr>
      </w:pPr>
    </w:p>
    <w:p w14:paraId="1A437214" w14:textId="77777777" w:rsidR="003517A7" w:rsidRPr="00943504" w:rsidRDefault="00202588" w:rsidP="00943504">
      <w:pPr>
        <w:spacing w:after="0" w:line="480" w:lineRule="auto"/>
        <w:ind w:firstLine="1134"/>
        <w:jc w:val="both"/>
        <w:rPr>
          <w:rFonts w:ascii="Times New Roman" w:eastAsia="Calibri" w:hAnsi="Times New Roman" w:cs="Times New Roman"/>
          <w:sz w:val="24"/>
          <w:szCs w:val="24"/>
        </w:rPr>
      </w:pPr>
      <w:r w:rsidRPr="00943504">
        <w:rPr>
          <w:rFonts w:ascii="Times New Roman" w:eastAsia="Calibri" w:hAnsi="Times New Roman" w:cs="Times New Roman"/>
          <w:sz w:val="24"/>
          <w:szCs w:val="24"/>
        </w:rPr>
        <w:t>Accordingly, the application is dismissed with costs on the scale of legal practi</w:t>
      </w:r>
      <w:r w:rsidR="003517A7" w:rsidRPr="00943504">
        <w:rPr>
          <w:rFonts w:ascii="Times New Roman" w:eastAsia="Calibri" w:hAnsi="Times New Roman" w:cs="Times New Roman"/>
          <w:sz w:val="24"/>
          <w:szCs w:val="24"/>
        </w:rPr>
        <w:t>ti</w:t>
      </w:r>
      <w:r w:rsidRPr="00943504">
        <w:rPr>
          <w:rFonts w:ascii="Times New Roman" w:eastAsia="Calibri" w:hAnsi="Times New Roman" w:cs="Times New Roman"/>
          <w:sz w:val="24"/>
          <w:szCs w:val="24"/>
        </w:rPr>
        <w:t>oner and client</w:t>
      </w:r>
      <w:r w:rsidR="003517A7" w:rsidRPr="00943504">
        <w:rPr>
          <w:rFonts w:ascii="Times New Roman" w:eastAsia="Calibri" w:hAnsi="Times New Roman" w:cs="Times New Roman"/>
          <w:sz w:val="24"/>
          <w:szCs w:val="24"/>
        </w:rPr>
        <w:t>.</w:t>
      </w:r>
    </w:p>
    <w:p w14:paraId="287C383E" w14:textId="77777777" w:rsidR="003517A7" w:rsidRPr="00943504" w:rsidRDefault="003517A7" w:rsidP="00943504">
      <w:pPr>
        <w:spacing w:after="0" w:line="480" w:lineRule="auto"/>
        <w:jc w:val="both"/>
        <w:rPr>
          <w:rFonts w:ascii="Times New Roman" w:eastAsia="Calibri" w:hAnsi="Times New Roman" w:cs="Times New Roman"/>
          <w:sz w:val="24"/>
          <w:szCs w:val="24"/>
        </w:rPr>
      </w:pPr>
    </w:p>
    <w:p w14:paraId="4086673C" w14:textId="77777777" w:rsidR="00DE3F25" w:rsidRPr="00943504" w:rsidRDefault="00DE3F25" w:rsidP="00943504">
      <w:pPr>
        <w:spacing w:after="0" w:line="240" w:lineRule="auto"/>
        <w:jc w:val="both"/>
        <w:rPr>
          <w:rFonts w:ascii="Times New Roman" w:eastAsia="Calibri" w:hAnsi="Times New Roman" w:cs="Times New Roman"/>
          <w:sz w:val="24"/>
          <w:szCs w:val="24"/>
        </w:rPr>
      </w:pPr>
    </w:p>
    <w:p w14:paraId="7F3331EC" w14:textId="77777777" w:rsidR="00DE3F25" w:rsidRPr="00943504" w:rsidRDefault="00DE3F25" w:rsidP="00943504">
      <w:pPr>
        <w:spacing w:after="0" w:line="240" w:lineRule="auto"/>
        <w:jc w:val="both"/>
        <w:rPr>
          <w:rFonts w:ascii="Times New Roman" w:eastAsia="Calibri" w:hAnsi="Times New Roman" w:cs="Times New Roman"/>
          <w:sz w:val="24"/>
          <w:szCs w:val="24"/>
        </w:rPr>
      </w:pPr>
    </w:p>
    <w:p w14:paraId="6A0F35B9" w14:textId="77777777" w:rsidR="003517A7" w:rsidRPr="00943504" w:rsidRDefault="003517A7" w:rsidP="000F254B">
      <w:pPr>
        <w:spacing w:after="0" w:line="480" w:lineRule="auto"/>
        <w:jc w:val="both"/>
        <w:rPr>
          <w:rFonts w:ascii="Times New Roman" w:eastAsia="Calibri" w:hAnsi="Times New Roman" w:cs="Times New Roman"/>
          <w:sz w:val="24"/>
          <w:szCs w:val="24"/>
        </w:rPr>
      </w:pPr>
      <w:r w:rsidRPr="00943504">
        <w:rPr>
          <w:rFonts w:ascii="Times New Roman" w:eastAsia="Calibri" w:hAnsi="Times New Roman" w:cs="Times New Roman"/>
          <w:i/>
          <w:sz w:val="24"/>
          <w:szCs w:val="24"/>
        </w:rPr>
        <w:t xml:space="preserve">Wintertons, </w:t>
      </w:r>
      <w:r w:rsidRPr="00943504">
        <w:rPr>
          <w:rFonts w:ascii="Times New Roman" w:eastAsia="Calibri" w:hAnsi="Times New Roman" w:cs="Times New Roman"/>
          <w:sz w:val="24"/>
          <w:szCs w:val="24"/>
        </w:rPr>
        <w:t>the appellant’s legal practitioners</w:t>
      </w:r>
    </w:p>
    <w:p w14:paraId="648CF84F" w14:textId="77777777" w:rsidR="00202588" w:rsidRPr="00943504" w:rsidRDefault="003517A7" w:rsidP="00943504">
      <w:pPr>
        <w:spacing w:after="0" w:line="240" w:lineRule="auto"/>
        <w:jc w:val="both"/>
        <w:rPr>
          <w:rFonts w:ascii="Times New Roman" w:eastAsia="Calibri" w:hAnsi="Times New Roman" w:cs="Times New Roman"/>
          <w:sz w:val="24"/>
          <w:szCs w:val="24"/>
        </w:rPr>
      </w:pPr>
      <w:r w:rsidRPr="00943504">
        <w:rPr>
          <w:rFonts w:ascii="Times New Roman" w:eastAsia="Calibri" w:hAnsi="Times New Roman" w:cs="Times New Roman"/>
          <w:i/>
          <w:sz w:val="24"/>
          <w:szCs w:val="24"/>
        </w:rPr>
        <w:t>Chihambakwe Mutizwa &amp; Partners</w:t>
      </w:r>
      <w:r w:rsidRPr="00943504">
        <w:rPr>
          <w:rFonts w:ascii="Times New Roman" w:eastAsia="Calibri" w:hAnsi="Times New Roman" w:cs="Times New Roman"/>
          <w:sz w:val="24"/>
          <w:szCs w:val="24"/>
        </w:rPr>
        <w:t>, the respondent’s legal practitioners</w:t>
      </w:r>
      <w:r w:rsidR="00202588" w:rsidRPr="00943504">
        <w:rPr>
          <w:rFonts w:ascii="Times New Roman" w:eastAsia="Calibri" w:hAnsi="Times New Roman" w:cs="Times New Roman"/>
          <w:sz w:val="24"/>
          <w:szCs w:val="24"/>
        </w:rPr>
        <w:t xml:space="preserve"> </w:t>
      </w:r>
    </w:p>
    <w:p w14:paraId="0F1EE371" w14:textId="77777777" w:rsidR="00B9330D" w:rsidRPr="00943504" w:rsidRDefault="00B9330D" w:rsidP="00943504">
      <w:pPr>
        <w:spacing w:after="0" w:line="240" w:lineRule="auto"/>
        <w:jc w:val="both"/>
        <w:rPr>
          <w:rFonts w:ascii="Times New Roman" w:hAnsi="Times New Roman" w:cs="Times New Roman"/>
          <w:sz w:val="24"/>
          <w:szCs w:val="24"/>
        </w:rPr>
      </w:pPr>
    </w:p>
    <w:p w14:paraId="2F081961" w14:textId="77777777" w:rsidR="004C6069" w:rsidRPr="00943504" w:rsidRDefault="004C6069" w:rsidP="00943504">
      <w:pPr>
        <w:spacing w:after="0" w:line="240" w:lineRule="auto"/>
        <w:rPr>
          <w:rFonts w:ascii="Times New Roman" w:hAnsi="Times New Roman" w:cs="Times New Roman"/>
          <w:sz w:val="24"/>
          <w:szCs w:val="24"/>
        </w:rPr>
      </w:pPr>
    </w:p>
    <w:p w14:paraId="64C261F9" w14:textId="77777777" w:rsidR="006C652F" w:rsidRPr="00943504" w:rsidRDefault="006C652F" w:rsidP="00943504">
      <w:pPr>
        <w:tabs>
          <w:tab w:val="left" w:pos="2368"/>
        </w:tabs>
        <w:spacing w:after="0" w:line="240" w:lineRule="auto"/>
        <w:jc w:val="both"/>
        <w:rPr>
          <w:rFonts w:ascii="Times New Roman" w:hAnsi="Times New Roman" w:cs="Times New Roman"/>
          <w:sz w:val="24"/>
          <w:szCs w:val="24"/>
        </w:rPr>
      </w:pPr>
    </w:p>
    <w:p w14:paraId="10356F18" w14:textId="77777777" w:rsidR="008F57C6" w:rsidRPr="00943504" w:rsidRDefault="008F57C6" w:rsidP="00943504">
      <w:pPr>
        <w:spacing w:after="0" w:line="240" w:lineRule="auto"/>
        <w:jc w:val="both"/>
        <w:rPr>
          <w:rFonts w:ascii="Times New Roman" w:hAnsi="Times New Roman" w:cs="Times New Roman"/>
          <w:sz w:val="24"/>
          <w:szCs w:val="24"/>
        </w:rPr>
      </w:pPr>
    </w:p>
    <w:p w14:paraId="6CF392D4" w14:textId="77777777" w:rsidR="001C2425" w:rsidRPr="00943504" w:rsidRDefault="001C2425" w:rsidP="00943504">
      <w:pPr>
        <w:spacing w:after="0" w:line="240" w:lineRule="auto"/>
        <w:jc w:val="both"/>
        <w:rPr>
          <w:rFonts w:ascii="Times New Roman" w:hAnsi="Times New Roman" w:cs="Times New Roman"/>
          <w:b/>
          <w:sz w:val="24"/>
          <w:szCs w:val="24"/>
        </w:rPr>
      </w:pPr>
    </w:p>
    <w:p w14:paraId="5754C82C" w14:textId="77777777" w:rsidR="00291585" w:rsidRPr="00943504" w:rsidRDefault="00291585" w:rsidP="00943504">
      <w:pPr>
        <w:spacing w:after="0" w:line="240" w:lineRule="auto"/>
        <w:ind w:left="1350" w:hanging="630"/>
        <w:jc w:val="both"/>
        <w:rPr>
          <w:rFonts w:ascii="Times New Roman" w:hAnsi="Times New Roman" w:cs="Times New Roman"/>
          <w:sz w:val="24"/>
          <w:szCs w:val="24"/>
        </w:rPr>
      </w:pPr>
    </w:p>
    <w:p w14:paraId="6A90353F" w14:textId="77777777" w:rsidR="006479C4" w:rsidRPr="00943504" w:rsidRDefault="006479C4" w:rsidP="00943504">
      <w:pPr>
        <w:autoSpaceDE w:val="0"/>
        <w:autoSpaceDN w:val="0"/>
        <w:adjustRightInd w:val="0"/>
        <w:spacing w:after="0" w:line="240" w:lineRule="auto"/>
        <w:jc w:val="both"/>
        <w:rPr>
          <w:rFonts w:ascii="Times New Roman" w:hAnsi="Times New Roman" w:cs="Times New Roman"/>
          <w:sz w:val="24"/>
          <w:szCs w:val="24"/>
        </w:rPr>
      </w:pPr>
    </w:p>
    <w:sectPr w:rsidR="006479C4" w:rsidRPr="0094350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CE6CC" w14:textId="77777777" w:rsidR="00313DA2" w:rsidRDefault="00313DA2" w:rsidP="00A12B27">
      <w:pPr>
        <w:spacing w:after="0" w:line="240" w:lineRule="auto"/>
      </w:pPr>
      <w:r>
        <w:separator/>
      </w:r>
    </w:p>
  </w:endnote>
  <w:endnote w:type="continuationSeparator" w:id="0">
    <w:p w14:paraId="1A16EE1B" w14:textId="77777777" w:rsidR="00313DA2" w:rsidRDefault="00313DA2" w:rsidP="00A1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8DD1C" w14:textId="77777777" w:rsidR="00313DA2" w:rsidRDefault="00313DA2" w:rsidP="00A12B27">
      <w:pPr>
        <w:spacing w:after="0" w:line="240" w:lineRule="auto"/>
      </w:pPr>
      <w:r>
        <w:separator/>
      </w:r>
    </w:p>
  </w:footnote>
  <w:footnote w:type="continuationSeparator" w:id="0">
    <w:p w14:paraId="3164DF4C" w14:textId="77777777" w:rsidR="00313DA2" w:rsidRDefault="00313DA2" w:rsidP="00A12B27">
      <w:pPr>
        <w:spacing w:after="0" w:line="240" w:lineRule="auto"/>
      </w:pPr>
      <w:r>
        <w:continuationSeparator/>
      </w:r>
    </w:p>
  </w:footnote>
  <w:footnote w:id="1">
    <w:p w14:paraId="68F275C8" w14:textId="77777777" w:rsidR="00E87D54" w:rsidRDefault="00E87D54">
      <w:pPr>
        <w:pStyle w:val="FootnoteText"/>
      </w:pPr>
      <w:r>
        <w:rPr>
          <w:rStyle w:val="FootnoteReference"/>
        </w:rPr>
        <w:footnoteRef/>
      </w:r>
      <w:r>
        <w:t xml:space="preserve"> </w:t>
      </w:r>
      <w:r w:rsidRPr="00951C89">
        <w:rPr>
          <w:i/>
        </w:rPr>
        <w:t>Zimbabwe Open University v Mazombwe</w:t>
      </w:r>
      <w:r>
        <w:t xml:space="preserve"> 2009 (1) ZLR 101 (H).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1E96A" w14:textId="77777777" w:rsidR="00E87D54" w:rsidRDefault="00DF63D1">
    <w:pPr>
      <w:pStyle w:val="Header"/>
    </w:pPr>
    <w:r>
      <w:rPr>
        <w:noProof/>
        <w:lang w:eastAsia="en-ZW"/>
      </w:rPr>
      <mc:AlternateContent>
        <mc:Choice Requires="wps">
          <w:drawing>
            <wp:anchor distT="0" distB="0" distL="114300" distR="114300" simplePos="0" relativeHeight="251660288" behindDoc="0" locked="0" layoutInCell="0" allowOverlap="1" wp14:anchorId="79C49E21" wp14:editId="06F3463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8B432" w14:textId="7221913D" w:rsidR="00DF63D1" w:rsidRPr="00943504" w:rsidRDefault="00DF63D1" w:rsidP="00DF63D1">
                          <w:pPr>
                            <w:spacing w:after="0" w:line="240" w:lineRule="auto"/>
                            <w:ind w:left="2880" w:firstLine="720"/>
                            <w:jc w:val="center"/>
                            <w:rPr>
                              <w:rFonts w:ascii="Times New Roman" w:hAnsi="Times New Roman" w:cs="Times New Roman"/>
                              <w:noProof/>
                            </w:rPr>
                          </w:pPr>
                          <w:r>
                            <w:rPr>
                              <w:noProof/>
                            </w:rPr>
                            <w:t xml:space="preserve">                                        </w:t>
                          </w:r>
                          <w:r w:rsidR="0001528C">
                            <w:rPr>
                              <w:noProof/>
                            </w:rPr>
                            <w:t xml:space="preserve">            </w:t>
                          </w:r>
                          <w:r>
                            <w:rPr>
                              <w:noProof/>
                            </w:rPr>
                            <w:t xml:space="preserve">  </w:t>
                          </w:r>
                          <w:r w:rsidRPr="00943504">
                            <w:rPr>
                              <w:rFonts w:ascii="Times New Roman" w:hAnsi="Times New Roman" w:cs="Times New Roman"/>
                              <w:noProof/>
                            </w:rPr>
                            <w:t>Judgment No. SC</w:t>
                          </w:r>
                          <w:r w:rsidR="00943504">
                            <w:rPr>
                              <w:rFonts w:ascii="Times New Roman" w:hAnsi="Times New Roman" w:cs="Times New Roman"/>
                              <w:noProof/>
                            </w:rPr>
                            <w:t xml:space="preserve"> 41</w:t>
                          </w:r>
                          <w:r w:rsidRPr="00943504">
                            <w:rPr>
                              <w:rFonts w:ascii="Times New Roman" w:hAnsi="Times New Roman" w:cs="Times New Roman"/>
                              <w:noProof/>
                            </w:rPr>
                            <w:t>/21</w:t>
                          </w:r>
                        </w:p>
                        <w:p w14:paraId="53A592DE" w14:textId="77777777" w:rsidR="00DF63D1" w:rsidRPr="00943504" w:rsidRDefault="00DF63D1" w:rsidP="00DF63D1">
                          <w:pPr>
                            <w:spacing w:after="0" w:line="240" w:lineRule="auto"/>
                            <w:jc w:val="center"/>
                            <w:rPr>
                              <w:rFonts w:ascii="Times New Roman" w:hAnsi="Times New Roman" w:cs="Times New Roman"/>
                              <w:noProof/>
                            </w:rPr>
                          </w:pPr>
                          <w:r w:rsidRPr="00943504">
                            <w:rPr>
                              <w:rFonts w:ascii="Times New Roman" w:hAnsi="Times New Roman" w:cs="Times New Roman"/>
                              <w:noProof/>
                            </w:rPr>
                            <w:tab/>
                          </w:r>
                          <w:r w:rsidRPr="00943504">
                            <w:rPr>
                              <w:rFonts w:ascii="Times New Roman" w:hAnsi="Times New Roman" w:cs="Times New Roman"/>
                              <w:noProof/>
                            </w:rPr>
                            <w:tab/>
                          </w:r>
                          <w:r w:rsidRPr="00943504">
                            <w:rPr>
                              <w:rFonts w:ascii="Times New Roman" w:hAnsi="Times New Roman" w:cs="Times New Roman"/>
                              <w:noProof/>
                            </w:rPr>
                            <w:tab/>
                          </w:r>
                          <w:r w:rsidRPr="00943504">
                            <w:rPr>
                              <w:rFonts w:ascii="Times New Roman" w:hAnsi="Times New Roman" w:cs="Times New Roman"/>
                              <w:noProof/>
                            </w:rPr>
                            <w:tab/>
                          </w:r>
                          <w:r w:rsidRPr="00943504">
                            <w:rPr>
                              <w:rFonts w:ascii="Times New Roman" w:hAnsi="Times New Roman" w:cs="Times New Roman"/>
                              <w:noProof/>
                            </w:rPr>
                            <w:tab/>
                          </w:r>
                          <w:r w:rsidRPr="00943504">
                            <w:rPr>
                              <w:rFonts w:ascii="Times New Roman" w:hAnsi="Times New Roman" w:cs="Times New Roman"/>
                              <w:noProof/>
                            </w:rPr>
                            <w:tab/>
                          </w:r>
                          <w:r w:rsidRPr="00943504">
                            <w:rPr>
                              <w:rFonts w:ascii="Times New Roman" w:hAnsi="Times New Roman" w:cs="Times New Roman"/>
                              <w:noProof/>
                            </w:rPr>
                            <w:tab/>
                            <w:t xml:space="preserve">       Civil Appeal Case No. </w:t>
                          </w:r>
                          <w:r w:rsidR="006D0B1D">
                            <w:rPr>
                              <w:rFonts w:ascii="Times New Roman" w:hAnsi="Times New Roman" w:cs="Times New Roman"/>
                              <w:noProof/>
                            </w:rPr>
                            <w:t xml:space="preserve">SC </w:t>
                          </w:r>
                          <w:r w:rsidRPr="00943504">
                            <w:rPr>
                              <w:rFonts w:ascii="Times New Roman" w:hAnsi="Times New Roman" w:cs="Times New Roman"/>
                              <w:noProof/>
                            </w:rPr>
                            <w:t>629/19</w:t>
                          </w:r>
                        </w:p>
                        <w:p w14:paraId="12002B0A" w14:textId="77777777" w:rsidR="00DF63D1" w:rsidRDefault="00DF63D1">
                          <w:pPr>
                            <w:spacing w:after="0" w:line="240" w:lineRule="auto"/>
                            <w:jc w:val="right"/>
                            <w:rPr>
                              <w:noProof/>
                            </w:rPr>
                          </w:pPr>
                        </w:p>
                        <w:p w14:paraId="2B7FD0B0" w14:textId="77777777" w:rsidR="00DF63D1" w:rsidRDefault="00DF63D1">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A78B432" w14:textId="7221913D" w:rsidR="00DF63D1" w:rsidRPr="00943504" w:rsidRDefault="00DF63D1" w:rsidP="00DF63D1">
                    <w:pPr>
                      <w:spacing w:after="0" w:line="240" w:lineRule="auto"/>
                      <w:ind w:left="2880" w:firstLine="720"/>
                      <w:jc w:val="center"/>
                      <w:rPr>
                        <w:rFonts w:ascii="Times New Roman" w:hAnsi="Times New Roman" w:cs="Times New Roman"/>
                        <w:noProof/>
                      </w:rPr>
                    </w:pPr>
                    <w:r>
                      <w:rPr>
                        <w:noProof/>
                      </w:rPr>
                      <w:t xml:space="preserve">                                        </w:t>
                    </w:r>
                    <w:r w:rsidR="0001528C">
                      <w:rPr>
                        <w:noProof/>
                      </w:rPr>
                      <w:t xml:space="preserve">            </w:t>
                    </w:r>
                    <w:r>
                      <w:rPr>
                        <w:noProof/>
                      </w:rPr>
                      <w:t xml:space="preserve">  </w:t>
                    </w:r>
                    <w:r w:rsidRPr="00943504">
                      <w:rPr>
                        <w:rFonts w:ascii="Times New Roman" w:hAnsi="Times New Roman" w:cs="Times New Roman"/>
                        <w:noProof/>
                      </w:rPr>
                      <w:t>Judgment No. SC</w:t>
                    </w:r>
                    <w:r w:rsidR="00943504">
                      <w:rPr>
                        <w:rFonts w:ascii="Times New Roman" w:hAnsi="Times New Roman" w:cs="Times New Roman"/>
                        <w:noProof/>
                      </w:rPr>
                      <w:t xml:space="preserve"> 41</w:t>
                    </w:r>
                    <w:r w:rsidRPr="00943504">
                      <w:rPr>
                        <w:rFonts w:ascii="Times New Roman" w:hAnsi="Times New Roman" w:cs="Times New Roman"/>
                        <w:noProof/>
                      </w:rPr>
                      <w:t>/21</w:t>
                    </w:r>
                  </w:p>
                  <w:p w14:paraId="53A592DE" w14:textId="77777777" w:rsidR="00DF63D1" w:rsidRPr="00943504" w:rsidRDefault="00DF63D1" w:rsidP="00DF63D1">
                    <w:pPr>
                      <w:spacing w:after="0" w:line="240" w:lineRule="auto"/>
                      <w:jc w:val="center"/>
                      <w:rPr>
                        <w:rFonts w:ascii="Times New Roman" w:hAnsi="Times New Roman" w:cs="Times New Roman"/>
                        <w:noProof/>
                      </w:rPr>
                    </w:pPr>
                    <w:r w:rsidRPr="00943504">
                      <w:rPr>
                        <w:rFonts w:ascii="Times New Roman" w:hAnsi="Times New Roman" w:cs="Times New Roman"/>
                        <w:noProof/>
                      </w:rPr>
                      <w:tab/>
                    </w:r>
                    <w:r w:rsidRPr="00943504">
                      <w:rPr>
                        <w:rFonts w:ascii="Times New Roman" w:hAnsi="Times New Roman" w:cs="Times New Roman"/>
                        <w:noProof/>
                      </w:rPr>
                      <w:tab/>
                    </w:r>
                    <w:r w:rsidRPr="00943504">
                      <w:rPr>
                        <w:rFonts w:ascii="Times New Roman" w:hAnsi="Times New Roman" w:cs="Times New Roman"/>
                        <w:noProof/>
                      </w:rPr>
                      <w:tab/>
                    </w:r>
                    <w:r w:rsidRPr="00943504">
                      <w:rPr>
                        <w:rFonts w:ascii="Times New Roman" w:hAnsi="Times New Roman" w:cs="Times New Roman"/>
                        <w:noProof/>
                      </w:rPr>
                      <w:tab/>
                    </w:r>
                    <w:r w:rsidRPr="00943504">
                      <w:rPr>
                        <w:rFonts w:ascii="Times New Roman" w:hAnsi="Times New Roman" w:cs="Times New Roman"/>
                        <w:noProof/>
                      </w:rPr>
                      <w:tab/>
                    </w:r>
                    <w:r w:rsidRPr="00943504">
                      <w:rPr>
                        <w:rFonts w:ascii="Times New Roman" w:hAnsi="Times New Roman" w:cs="Times New Roman"/>
                        <w:noProof/>
                      </w:rPr>
                      <w:tab/>
                    </w:r>
                    <w:r w:rsidRPr="00943504">
                      <w:rPr>
                        <w:rFonts w:ascii="Times New Roman" w:hAnsi="Times New Roman" w:cs="Times New Roman"/>
                        <w:noProof/>
                      </w:rPr>
                      <w:tab/>
                      <w:t xml:space="preserve">       Civil Appeal Case No. </w:t>
                    </w:r>
                    <w:r w:rsidR="006D0B1D">
                      <w:rPr>
                        <w:rFonts w:ascii="Times New Roman" w:hAnsi="Times New Roman" w:cs="Times New Roman"/>
                        <w:noProof/>
                      </w:rPr>
                      <w:t xml:space="preserve">SC </w:t>
                    </w:r>
                    <w:r w:rsidRPr="00943504">
                      <w:rPr>
                        <w:rFonts w:ascii="Times New Roman" w:hAnsi="Times New Roman" w:cs="Times New Roman"/>
                        <w:noProof/>
                      </w:rPr>
                      <w:t>629/19</w:t>
                    </w:r>
                  </w:p>
                  <w:p w14:paraId="12002B0A" w14:textId="77777777" w:rsidR="00DF63D1" w:rsidRDefault="00DF63D1">
                    <w:pPr>
                      <w:spacing w:after="0" w:line="240" w:lineRule="auto"/>
                      <w:jc w:val="right"/>
                      <w:rPr>
                        <w:noProof/>
                      </w:rPr>
                    </w:pPr>
                  </w:p>
                  <w:p w14:paraId="2B7FD0B0" w14:textId="77777777" w:rsidR="00DF63D1" w:rsidRDefault="00DF63D1">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3DD94096" wp14:editId="528F927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AF954EF" w14:textId="77777777" w:rsidR="00DF63D1" w:rsidRDefault="00DF63D1">
                          <w:pPr>
                            <w:spacing w:after="0" w:line="240" w:lineRule="auto"/>
                            <w:rPr>
                              <w:color w:val="FFFFFF" w:themeColor="background1"/>
                            </w:rPr>
                          </w:pPr>
                          <w:r>
                            <w:fldChar w:fldCharType="begin"/>
                          </w:r>
                          <w:r>
                            <w:instrText xml:space="preserve"> PAGE   \* MERGEFORMAT </w:instrText>
                          </w:r>
                          <w:r>
                            <w:fldChar w:fldCharType="separate"/>
                          </w:r>
                          <w:r w:rsidR="00700D34" w:rsidRPr="00700D3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AF954EF" w14:textId="77777777" w:rsidR="00DF63D1" w:rsidRDefault="00DF63D1">
                    <w:pPr>
                      <w:spacing w:after="0" w:line="240" w:lineRule="auto"/>
                      <w:rPr>
                        <w:color w:val="FFFFFF" w:themeColor="background1"/>
                      </w:rPr>
                    </w:pPr>
                    <w:r>
                      <w:fldChar w:fldCharType="begin"/>
                    </w:r>
                    <w:r>
                      <w:instrText xml:space="preserve"> PAGE   \* MERGEFORMAT </w:instrText>
                    </w:r>
                    <w:r>
                      <w:fldChar w:fldCharType="separate"/>
                    </w:r>
                    <w:r w:rsidR="00700D34" w:rsidRPr="00700D3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6FFD"/>
    <w:multiLevelType w:val="hybridMultilevel"/>
    <w:tmpl w:val="89ECCDFC"/>
    <w:lvl w:ilvl="0" w:tplc="407420D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7DE4228"/>
    <w:multiLevelType w:val="hybridMultilevel"/>
    <w:tmpl w:val="402C6C4C"/>
    <w:lvl w:ilvl="0" w:tplc="414C6496">
      <w:start w:val="1"/>
      <w:numFmt w:val="lowerLetter"/>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19ED3FFF"/>
    <w:multiLevelType w:val="hybridMultilevel"/>
    <w:tmpl w:val="F4586E00"/>
    <w:lvl w:ilvl="0" w:tplc="BFB2A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390B02"/>
    <w:multiLevelType w:val="hybridMultilevel"/>
    <w:tmpl w:val="3CEA4814"/>
    <w:lvl w:ilvl="0" w:tplc="1F22A96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0B53FC"/>
    <w:multiLevelType w:val="hybridMultilevel"/>
    <w:tmpl w:val="EE3E854E"/>
    <w:lvl w:ilvl="0" w:tplc="6DC82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69337A"/>
    <w:multiLevelType w:val="hybridMultilevel"/>
    <w:tmpl w:val="29AABDA8"/>
    <w:lvl w:ilvl="0" w:tplc="1FF4384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0251542"/>
    <w:multiLevelType w:val="hybridMultilevel"/>
    <w:tmpl w:val="1B4CA856"/>
    <w:lvl w:ilvl="0" w:tplc="1BFABE2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3EA3D00"/>
    <w:multiLevelType w:val="hybridMultilevel"/>
    <w:tmpl w:val="F4CCE6B0"/>
    <w:lvl w:ilvl="0" w:tplc="6E2CEA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F39060A"/>
    <w:multiLevelType w:val="hybridMultilevel"/>
    <w:tmpl w:val="D5105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93DF0"/>
    <w:multiLevelType w:val="hybridMultilevel"/>
    <w:tmpl w:val="C2CEEFE4"/>
    <w:lvl w:ilvl="0" w:tplc="CB16B574">
      <w:start w:val="1"/>
      <w:numFmt w:val="decimal"/>
      <w:lvlText w:val="(%1)"/>
      <w:lvlJc w:val="left"/>
      <w:pPr>
        <w:ind w:left="870" w:hanging="720"/>
      </w:pPr>
      <w:rPr>
        <w:rFonts w:hint="default"/>
      </w:rPr>
    </w:lvl>
    <w:lvl w:ilvl="1" w:tplc="30090019" w:tentative="1">
      <w:start w:val="1"/>
      <w:numFmt w:val="lowerLetter"/>
      <w:lvlText w:val="%2."/>
      <w:lvlJc w:val="left"/>
      <w:pPr>
        <w:ind w:left="1230" w:hanging="360"/>
      </w:pPr>
    </w:lvl>
    <w:lvl w:ilvl="2" w:tplc="3009001B" w:tentative="1">
      <w:start w:val="1"/>
      <w:numFmt w:val="lowerRoman"/>
      <w:lvlText w:val="%3."/>
      <w:lvlJc w:val="right"/>
      <w:pPr>
        <w:ind w:left="1950" w:hanging="180"/>
      </w:pPr>
    </w:lvl>
    <w:lvl w:ilvl="3" w:tplc="3009000F" w:tentative="1">
      <w:start w:val="1"/>
      <w:numFmt w:val="decimal"/>
      <w:lvlText w:val="%4."/>
      <w:lvlJc w:val="left"/>
      <w:pPr>
        <w:ind w:left="2670" w:hanging="360"/>
      </w:pPr>
    </w:lvl>
    <w:lvl w:ilvl="4" w:tplc="30090019" w:tentative="1">
      <w:start w:val="1"/>
      <w:numFmt w:val="lowerLetter"/>
      <w:lvlText w:val="%5."/>
      <w:lvlJc w:val="left"/>
      <w:pPr>
        <w:ind w:left="3390" w:hanging="360"/>
      </w:pPr>
    </w:lvl>
    <w:lvl w:ilvl="5" w:tplc="3009001B" w:tentative="1">
      <w:start w:val="1"/>
      <w:numFmt w:val="lowerRoman"/>
      <w:lvlText w:val="%6."/>
      <w:lvlJc w:val="right"/>
      <w:pPr>
        <w:ind w:left="4110" w:hanging="180"/>
      </w:pPr>
    </w:lvl>
    <w:lvl w:ilvl="6" w:tplc="3009000F" w:tentative="1">
      <w:start w:val="1"/>
      <w:numFmt w:val="decimal"/>
      <w:lvlText w:val="%7."/>
      <w:lvlJc w:val="left"/>
      <w:pPr>
        <w:ind w:left="4830" w:hanging="360"/>
      </w:pPr>
    </w:lvl>
    <w:lvl w:ilvl="7" w:tplc="30090019" w:tentative="1">
      <w:start w:val="1"/>
      <w:numFmt w:val="lowerLetter"/>
      <w:lvlText w:val="%8."/>
      <w:lvlJc w:val="left"/>
      <w:pPr>
        <w:ind w:left="5550" w:hanging="360"/>
      </w:pPr>
    </w:lvl>
    <w:lvl w:ilvl="8" w:tplc="3009001B" w:tentative="1">
      <w:start w:val="1"/>
      <w:numFmt w:val="lowerRoman"/>
      <w:lvlText w:val="%9."/>
      <w:lvlJc w:val="right"/>
      <w:pPr>
        <w:ind w:left="6270" w:hanging="180"/>
      </w:pPr>
    </w:lvl>
  </w:abstractNum>
  <w:abstractNum w:abstractNumId="10">
    <w:nsid w:val="59F67D08"/>
    <w:multiLevelType w:val="hybridMultilevel"/>
    <w:tmpl w:val="EFF8B32C"/>
    <w:lvl w:ilvl="0" w:tplc="73A04046">
      <w:start w:val="2"/>
      <w:numFmt w:val="decimal"/>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1">
    <w:nsid w:val="5E622513"/>
    <w:multiLevelType w:val="hybridMultilevel"/>
    <w:tmpl w:val="656E831A"/>
    <w:lvl w:ilvl="0" w:tplc="E912F436">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0ED1E12"/>
    <w:multiLevelType w:val="hybridMultilevel"/>
    <w:tmpl w:val="F4BEC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B707CE"/>
    <w:multiLevelType w:val="hybridMultilevel"/>
    <w:tmpl w:val="B358C994"/>
    <w:lvl w:ilvl="0" w:tplc="0D1AE618">
      <w:start w:val="1"/>
      <w:numFmt w:val="lowerLetter"/>
      <w:lvlText w:val="(%1)"/>
      <w:lvlJc w:val="left"/>
      <w:pPr>
        <w:ind w:left="2385" w:hanging="72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4">
    <w:nsid w:val="6D9E2717"/>
    <w:multiLevelType w:val="hybridMultilevel"/>
    <w:tmpl w:val="AC721C30"/>
    <w:lvl w:ilvl="0" w:tplc="328A2E1E">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2"/>
  </w:num>
  <w:num w:numId="7">
    <w:abstractNumId w:val="7"/>
  </w:num>
  <w:num w:numId="8">
    <w:abstractNumId w:val="4"/>
  </w:num>
  <w:num w:numId="9">
    <w:abstractNumId w:val="8"/>
  </w:num>
  <w:num w:numId="10">
    <w:abstractNumId w:val="1"/>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B27"/>
    <w:rsid w:val="0000096F"/>
    <w:rsid w:val="00004A43"/>
    <w:rsid w:val="00007175"/>
    <w:rsid w:val="0001528C"/>
    <w:rsid w:val="00017597"/>
    <w:rsid w:val="00026FDB"/>
    <w:rsid w:val="00033BC1"/>
    <w:rsid w:val="000343DE"/>
    <w:rsid w:val="00035DE3"/>
    <w:rsid w:val="00042754"/>
    <w:rsid w:val="00052119"/>
    <w:rsid w:val="00054B97"/>
    <w:rsid w:val="0005568D"/>
    <w:rsid w:val="000557C4"/>
    <w:rsid w:val="00056CCA"/>
    <w:rsid w:val="0006194A"/>
    <w:rsid w:val="00063F72"/>
    <w:rsid w:val="00072659"/>
    <w:rsid w:val="00075380"/>
    <w:rsid w:val="00075E9E"/>
    <w:rsid w:val="0008062C"/>
    <w:rsid w:val="00081796"/>
    <w:rsid w:val="0008546E"/>
    <w:rsid w:val="000862D1"/>
    <w:rsid w:val="00090F37"/>
    <w:rsid w:val="00092BAF"/>
    <w:rsid w:val="00092BD6"/>
    <w:rsid w:val="000948E9"/>
    <w:rsid w:val="000B5A6C"/>
    <w:rsid w:val="000C0E3E"/>
    <w:rsid w:val="000C4CB1"/>
    <w:rsid w:val="000C4E0B"/>
    <w:rsid w:val="000C743A"/>
    <w:rsid w:val="000D18DE"/>
    <w:rsid w:val="000D227B"/>
    <w:rsid w:val="000E2776"/>
    <w:rsid w:val="000F254B"/>
    <w:rsid w:val="000F368E"/>
    <w:rsid w:val="000F402E"/>
    <w:rsid w:val="000F7F74"/>
    <w:rsid w:val="00102022"/>
    <w:rsid w:val="00105A74"/>
    <w:rsid w:val="00106A2F"/>
    <w:rsid w:val="00116174"/>
    <w:rsid w:val="0011737D"/>
    <w:rsid w:val="00120B38"/>
    <w:rsid w:val="00133EE8"/>
    <w:rsid w:val="00135BF9"/>
    <w:rsid w:val="001405BF"/>
    <w:rsid w:val="00141915"/>
    <w:rsid w:val="00141B51"/>
    <w:rsid w:val="0015286E"/>
    <w:rsid w:val="001602CF"/>
    <w:rsid w:val="00161EF2"/>
    <w:rsid w:val="0016408A"/>
    <w:rsid w:val="00167220"/>
    <w:rsid w:val="0016741C"/>
    <w:rsid w:val="001716A6"/>
    <w:rsid w:val="001772BC"/>
    <w:rsid w:val="001803AA"/>
    <w:rsid w:val="00181B10"/>
    <w:rsid w:val="00194947"/>
    <w:rsid w:val="00194A2C"/>
    <w:rsid w:val="0019589A"/>
    <w:rsid w:val="00195FFA"/>
    <w:rsid w:val="001A4C64"/>
    <w:rsid w:val="001A6805"/>
    <w:rsid w:val="001A71CB"/>
    <w:rsid w:val="001A7AE0"/>
    <w:rsid w:val="001B06BC"/>
    <w:rsid w:val="001B54AD"/>
    <w:rsid w:val="001B795D"/>
    <w:rsid w:val="001C104C"/>
    <w:rsid w:val="001C2425"/>
    <w:rsid w:val="001C4A68"/>
    <w:rsid w:val="001C55BD"/>
    <w:rsid w:val="001C63C7"/>
    <w:rsid w:val="001C7A5B"/>
    <w:rsid w:val="001D3728"/>
    <w:rsid w:val="001D53C9"/>
    <w:rsid w:val="001D79E4"/>
    <w:rsid w:val="001E10CF"/>
    <w:rsid w:val="001E12C8"/>
    <w:rsid w:val="001F55CC"/>
    <w:rsid w:val="00202588"/>
    <w:rsid w:val="00206478"/>
    <w:rsid w:val="00206C26"/>
    <w:rsid w:val="002128EA"/>
    <w:rsid w:val="002231D7"/>
    <w:rsid w:val="00227B99"/>
    <w:rsid w:val="00237C10"/>
    <w:rsid w:val="00241632"/>
    <w:rsid w:val="00242FEF"/>
    <w:rsid w:val="002466C2"/>
    <w:rsid w:val="002478F8"/>
    <w:rsid w:val="00250C33"/>
    <w:rsid w:val="002528DB"/>
    <w:rsid w:val="00254273"/>
    <w:rsid w:val="0025666A"/>
    <w:rsid w:val="00260876"/>
    <w:rsid w:val="00260D3E"/>
    <w:rsid w:val="00265C71"/>
    <w:rsid w:val="002677F8"/>
    <w:rsid w:val="002708F5"/>
    <w:rsid w:val="00275028"/>
    <w:rsid w:val="00276620"/>
    <w:rsid w:val="002802B9"/>
    <w:rsid w:val="0028115E"/>
    <w:rsid w:val="00282C4D"/>
    <w:rsid w:val="00283A46"/>
    <w:rsid w:val="00291585"/>
    <w:rsid w:val="002923AE"/>
    <w:rsid w:val="00297C97"/>
    <w:rsid w:val="002A0B0C"/>
    <w:rsid w:val="002A4673"/>
    <w:rsid w:val="002A650F"/>
    <w:rsid w:val="002B3292"/>
    <w:rsid w:val="002C20E7"/>
    <w:rsid w:val="002C23B0"/>
    <w:rsid w:val="002C244B"/>
    <w:rsid w:val="002C5838"/>
    <w:rsid w:val="002D0A38"/>
    <w:rsid w:val="002D3FD8"/>
    <w:rsid w:val="002E59D4"/>
    <w:rsid w:val="002F0110"/>
    <w:rsid w:val="002F0B8F"/>
    <w:rsid w:val="002F3210"/>
    <w:rsid w:val="002F5C04"/>
    <w:rsid w:val="002F6AF1"/>
    <w:rsid w:val="00300DF4"/>
    <w:rsid w:val="00305D90"/>
    <w:rsid w:val="00313DA2"/>
    <w:rsid w:val="0032694B"/>
    <w:rsid w:val="00331C9B"/>
    <w:rsid w:val="00334577"/>
    <w:rsid w:val="00337D8B"/>
    <w:rsid w:val="003517A7"/>
    <w:rsid w:val="00353B19"/>
    <w:rsid w:val="00354792"/>
    <w:rsid w:val="003554CD"/>
    <w:rsid w:val="00355D1D"/>
    <w:rsid w:val="00355EFC"/>
    <w:rsid w:val="00357B76"/>
    <w:rsid w:val="00360683"/>
    <w:rsid w:val="00364F30"/>
    <w:rsid w:val="00365F1D"/>
    <w:rsid w:val="00367747"/>
    <w:rsid w:val="00373D7B"/>
    <w:rsid w:val="00381EA8"/>
    <w:rsid w:val="00383D34"/>
    <w:rsid w:val="00384BA8"/>
    <w:rsid w:val="00384FF1"/>
    <w:rsid w:val="003916C5"/>
    <w:rsid w:val="0039286D"/>
    <w:rsid w:val="00392D7D"/>
    <w:rsid w:val="003A324B"/>
    <w:rsid w:val="003A41A6"/>
    <w:rsid w:val="003B1323"/>
    <w:rsid w:val="003C0BAF"/>
    <w:rsid w:val="003C30C5"/>
    <w:rsid w:val="003C351E"/>
    <w:rsid w:val="003C6221"/>
    <w:rsid w:val="003C6D5F"/>
    <w:rsid w:val="003D2338"/>
    <w:rsid w:val="003D57AF"/>
    <w:rsid w:val="003E28FB"/>
    <w:rsid w:val="003F4D5F"/>
    <w:rsid w:val="00400D49"/>
    <w:rsid w:val="004021B0"/>
    <w:rsid w:val="00405381"/>
    <w:rsid w:val="004134E8"/>
    <w:rsid w:val="00414FBB"/>
    <w:rsid w:val="00415FC8"/>
    <w:rsid w:val="00416A64"/>
    <w:rsid w:val="00422C21"/>
    <w:rsid w:val="004260DD"/>
    <w:rsid w:val="00431F25"/>
    <w:rsid w:val="00434F4E"/>
    <w:rsid w:val="00437126"/>
    <w:rsid w:val="00440BDD"/>
    <w:rsid w:val="004434E5"/>
    <w:rsid w:val="0044438B"/>
    <w:rsid w:val="004470AD"/>
    <w:rsid w:val="00452352"/>
    <w:rsid w:val="00457334"/>
    <w:rsid w:val="00457B2A"/>
    <w:rsid w:val="004610FB"/>
    <w:rsid w:val="00463492"/>
    <w:rsid w:val="00463D4D"/>
    <w:rsid w:val="00466260"/>
    <w:rsid w:val="004767B6"/>
    <w:rsid w:val="00477415"/>
    <w:rsid w:val="00481EAE"/>
    <w:rsid w:val="00482438"/>
    <w:rsid w:val="00482DBB"/>
    <w:rsid w:val="00483A90"/>
    <w:rsid w:val="00484F0F"/>
    <w:rsid w:val="00495511"/>
    <w:rsid w:val="004A3380"/>
    <w:rsid w:val="004A3A8C"/>
    <w:rsid w:val="004A7DC4"/>
    <w:rsid w:val="004B138F"/>
    <w:rsid w:val="004C073E"/>
    <w:rsid w:val="004C6069"/>
    <w:rsid w:val="004D1D8E"/>
    <w:rsid w:val="004D2FD3"/>
    <w:rsid w:val="004D561F"/>
    <w:rsid w:val="004D7989"/>
    <w:rsid w:val="004E2309"/>
    <w:rsid w:val="004E3C4C"/>
    <w:rsid w:val="004E5D3F"/>
    <w:rsid w:val="004E72DF"/>
    <w:rsid w:val="004F6B6D"/>
    <w:rsid w:val="00503D64"/>
    <w:rsid w:val="00505321"/>
    <w:rsid w:val="00505C88"/>
    <w:rsid w:val="00507729"/>
    <w:rsid w:val="00514C82"/>
    <w:rsid w:val="00516796"/>
    <w:rsid w:val="005169FF"/>
    <w:rsid w:val="00532A96"/>
    <w:rsid w:val="005342A7"/>
    <w:rsid w:val="00543B75"/>
    <w:rsid w:val="00546776"/>
    <w:rsid w:val="00546B63"/>
    <w:rsid w:val="00551FF4"/>
    <w:rsid w:val="00552838"/>
    <w:rsid w:val="00557ED7"/>
    <w:rsid w:val="005602E3"/>
    <w:rsid w:val="00563A4E"/>
    <w:rsid w:val="00567F8B"/>
    <w:rsid w:val="005701BB"/>
    <w:rsid w:val="005727B3"/>
    <w:rsid w:val="00573C6B"/>
    <w:rsid w:val="00574828"/>
    <w:rsid w:val="005B5368"/>
    <w:rsid w:val="005B68FE"/>
    <w:rsid w:val="005C1A97"/>
    <w:rsid w:val="005C556C"/>
    <w:rsid w:val="005D16B3"/>
    <w:rsid w:val="005D4B47"/>
    <w:rsid w:val="005D4DBF"/>
    <w:rsid w:val="005E64A7"/>
    <w:rsid w:val="005F0989"/>
    <w:rsid w:val="0060201F"/>
    <w:rsid w:val="006033E6"/>
    <w:rsid w:val="00613DF1"/>
    <w:rsid w:val="00614BFF"/>
    <w:rsid w:val="006150B8"/>
    <w:rsid w:val="00616FBD"/>
    <w:rsid w:val="00617EC5"/>
    <w:rsid w:val="0062135C"/>
    <w:rsid w:val="00627036"/>
    <w:rsid w:val="00627268"/>
    <w:rsid w:val="00630086"/>
    <w:rsid w:val="00631682"/>
    <w:rsid w:val="00632329"/>
    <w:rsid w:val="00632EA6"/>
    <w:rsid w:val="00632EAC"/>
    <w:rsid w:val="00634724"/>
    <w:rsid w:val="00635484"/>
    <w:rsid w:val="00642138"/>
    <w:rsid w:val="0064325A"/>
    <w:rsid w:val="0064500A"/>
    <w:rsid w:val="006466D8"/>
    <w:rsid w:val="006479C4"/>
    <w:rsid w:val="00650B04"/>
    <w:rsid w:val="00655B81"/>
    <w:rsid w:val="006570A3"/>
    <w:rsid w:val="00660C18"/>
    <w:rsid w:val="006674D6"/>
    <w:rsid w:val="00671EC9"/>
    <w:rsid w:val="006725F1"/>
    <w:rsid w:val="00677417"/>
    <w:rsid w:val="00683D60"/>
    <w:rsid w:val="006864F3"/>
    <w:rsid w:val="00691520"/>
    <w:rsid w:val="006A22D2"/>
    <w:rsid w:val="006A5050"/>
    <w:rsid w:val="006A52C0"/>
    <w:rsid w:val="006C058A"/>
    <w:rsid w:val="006C47CF"/>
    <w:rsid w:val="006C652F"/>
    <w:rsid w:val="006D0B1D"/>
    <w:rsid w:val="006D1E07"/>
    <w:rsid w:val="006D39CD"/>
    <w:rsid w:val="006D3E91"/>
    <w:rsid w:val="006D599E"/>
    <w:rsid w:val="006E43CE"/>
    <w:rsid w:val="006E535B"/>
    <w:rsid w:val="006F3865"/>
    <w:rsid w:val="00700576"/>
    <w:rsid w:val="00700D34"/>
    <w:rsid w:val="0070294C"/>
    <w:rsid w:val="00707D31"/>
    <w:rsid w:val="00717BE4"/>
    <w:rsid w:val="00721999"/>
    <w:rsid w:val="007240F3"/>
    <w:rsid w:val="00737EBC"/>
    <w:rsid w:val="00740B8A"/>
    <w:rsid w:val="00751BAC"/>
    <w:rsid w:val="00757532"/>
    <w:rsid w:val="00760816"/>
    <w:rsid w:val="00764319"/>
    <w:rsid w:val="00766CC2"/>
    <w:rsid w:val="00772642"/>
    <w:rsid w:val="0077346A"/>
    <w:rsid w:val="00773A30"/>
    <w:rsid w:val="00774D7C"/>
    <w:rsid w:val="0077694C"/>
    <w:rsid w:val="00777E00"/>
    <w:rsid w:val="00777F9D"/>
    <w:rsid w:val="00782A40"/>
    <w:rsid w:val="00790F54"/>
    <w:rsid w:val="00794242"/>
    <w:rsid w:val="007971A4"/>
    <w:rsid w:val="007A08BC"/>
    <w:rsid w:val="007A6EC8"/>
    <w:rsid w:val="007B2008"/>
    <w:rsid w:val="007B5DF3"/>
    <w:rsid w:val="007B79A6"/>
    <w:rsid w:val="007C1AA5"/>
    <w:rsid w:val="007C57AD"/>
    <w:rsid w:val="007C60C2"/>
    <w:rsid w:val="007D02D4"/>
    <w:rsid w:val="007D26B9"/>
    <w:rsid w:val="007E0FAC"/>
    <w:rsid w:val="007E2ACF"/>
    <w:rsid w:val="007E6544"/>
    <w:rsid w:val="007F2D1D"/>
    <w:rsid w:val="007F4DDD"/>
    <w:rsid w:val="007F4F53"/>
    <w:rsid w:val="00801B02"/>
    <w:rsid w:val="0080348D"/>
    <w:rsid w:val="00804849"/>
    <w:rsid w:val="00805EC8"/>
    <w:rsid w:val="00812175"/>
    <w:rsid w:val="00812AD2"/>
    <w:rsid w:val="00812BD6"/>
    <w:rsid w:val="00812F1E"/>
    <w:rsid w:val="00822DA5"/>
    <w:rsid w:val="00823D8D"/>
    <w:rsid w:val="0084527F"/>
    <w:rsid w:val="00856B36"/>
    <w:rsid w:val="00857C5A"/>
    <w:rsid w:val="008616D6"/>
    <w:rsid w:val="00861F5B"/>
    <w:rsid w:val="0086220E"/>
    <w:rsid w:val="0086486F"/>
    <w:rsid w:val="00866DBD"/>
    <w:rsid w:val="00875D2E"/>
    <w:rsid w:val="008854DB"/>
    <w:rsid w:val="00886AE9"/>
    <w:rsid w:val="008909CD"/>
    <w:rsid w:val="00890A6D"/>
    <w:rsid w:val="00892012"/>
    <w:rsid w:val="00892DEA"/>
    <w:rsid w:val="0089565B"/>
    <w:rsid w:val="008963B7"/>
    <w:rsid w:val="008A14ED"/>
    <w:rsid w:val="008A73B3"/>
    <w:rsid w:val="008A7BEE"/>
    <w:rsid w:val="008B1B43"/>
    <w:rsid w:val="008B2CB9"/>
    <w:rsid w:val="008B3548"/>
    <w:rsid w:val="008B6118"/>
    <w:rsid w:val="008C5C57"/>
    <w:rsid w:val="008D10D4"/>
    <w:rsid w:val="008D6C23"/>
    <w:rsid w:val="008E0C36"/>
    <w:rsid w:val="008E1F0F"/>
    <w:rsid w:val="008E2D23"/>
    <w:rsid w:val="008E52CC"/>
    <w:rsid w:val="008E7A9D"/>
    <w:rsid w:val="008F57C6"/>
    <w:rsid w:val="008F7448"/>
    <w:rsid w:val="008F78FA"/>
    <w:rsid w:val="00901694"/>
    <w:rsid w:val="009039E2"/>
    <w:rsid w:val="009075B1"/>
    <w:rsid w:val="009148E1"/>
    <w:rsid w:val="009270EF"/>
    <w:rsid w:val="00927D14"/>
    <w:rsid w:val="00935758"/>
    <w:rsid w:val="00943504"/>
    <w:rsid w:val="0094409C"/>
    <w:rsid w:val="00950B7E"/>
    <w:rsid w:val="00951C89"/>
    <w:rsid w:val="009523AD"/>
    <w:rsid w:val="00952A5F"/>
    <w:rsid w:val="009602C1"/>
    <w:rsid w:val="00960FEE"/>
    <w:rsid w:val="0096211E"/>
    <w:rsid w:val="00962EB6"/>
    <w:rsid w:val="00965F38"/>
    <w:rsid w:val="009713C5"/>
    <w:rsid w:val="009744B5"/>
    <w:rsid w:val="009759CA"/>
    <w:rsid w:val="009763D7"/>
    <w:rsid w:val="009855F6"/>
    <w:rsid w:val="0098641C"/>
    <w:rsid w:val="009944E3"/>
    <w:rsid w:val="00996987"/>
    <w:rsid w:val="009A2DB6"/>
    <w:rsid w:val="009A5201"/>
    <w:rsid w:val="009B6737"/>
    <w:rsid w:val="009C0922"/>
    <w:rsid w:val="009D0B91"/>
    <w:rsid w:val="009D3537"/>
    <w:rsid w:val="009E0E97"/>
    <w:rsid w:val="009E0EF2"/>
    <w:rsid w:val="009E0FF1"/>
    <w:rsid w:val="009E5057"/>
    <w:rsid w:val="009E54F8"/>
    <w:rsid w:val="009E715C"/>
    <w:rsid w:val="009F05E1"/>
    <w:rsid w:val="00A00D1A"/>
    <w:rsid w:val="00A059A7"/>
    <w:rsid w:val="00A05E56"/>
    <w:rsid w:val="00A12B27"/>
    <w:rsid w:val="00A12F56"/>
    <w:rsid w:val="00A136E7"/>
    <w:rsid w:val="00A221A2"/>
    <w:rsid w:val="00A23F74"/>
    <w:rsid w:val="00A254DD"/>
    <w:rsid w:val="00A2642D"/>
    <w:rsid w:val="00A33755"/>
    <w:rsid w:val="00A44C6D"/>
    <w:rsid w:val="00A473A7"/>
    <w:rsid w:val="00A51100"/>
    <w:rsid w:val="00A56AC3"/>
    <w:rsid w:val="00A624C9"/>
    <w:rsid w:val="00A66681"/>
    <w:rsid w:val="00A84510"/>
    <w:rsid w:val="00A84966"/>
    <w:rsid w:val="00A939BB"/>
    <w:rsid w:val="00AA1D6E"/>
    <w:rsid w:val="00AA3420"/>
    <w:rsid w:val="00AA7256"/>
    <w:rsid w:val="00AB168E"/>
    <w:rsid w:val="00AB1757"/>
    <w:rsid w:val="00AB35F9"/>
    <w:rsid w:val="00AB4CD3"/>
    <w:rsid w:val="00AB6299"/>
    <w:rsid w:val="00AB6B1B"/>
    <w:rsid w:val="00AB757F"/>
    <w:rsid w:val="00AC0C97"/>
    <w:rsid w:val="00AC20A8"/>
    <w:rsid w:val="00AC22E8"/>
    <w:rsid w:val="00AC3101"/>
    <w:rsid w:val="00AC5BF1"/>
    <w:rsid w:val="00AD502B"/>
    <w:rsid w:val="00AD646E"/>
    <w:rsid w:val="00AE1B92"/>
    <w:rsid w:val="00AE486C"/>
    <w:rsid w:val="00AF583E"/>
    <w:rsid w:val="00AF58C8"/>
    <w:rsid w:val="00AF7223"/>
    <w:rsid w:val="00AF7F16"/>
    <w:rsid w:val="00B026FD"/>
    <w:rsid w:val="00B07EAE"/>
    <w:rsid w:val="00B14AF5"/>
    <w:rsid w:val="00B20D80"/>
    <w:rsid w:val="00B225BF"/>
    <w:rsid w:val="00B24132"/>
    <w:rsid w:val="00B26C75"/>
    <w:rsid w:val="00B337BE"/>
    <w:rsid w:val="00B354F5"/>
    <w:rsid w:val="00B35DEB"/>
    <w:rsid w:val="00B41E41"/>
    <w:rsid w:val="00B544C0"/>
    <w:rsid w:val="00B56C7F"/>
    <w:rsid w:val="00B600EE"/>
    <w:rsid w:val="00B60CA7"/>
    <w:rsid w:val="00B62CD6"/>
    <w:rsid w:val="00B63105"/>
    <w:rsid w:val="00B73260"/>
    <w:rsid w:val="00B736B6"/>
    <w:rsid w:val="00B82B89"/>
    <w:rsid w:val="00B83085"/>
    <w:rsid w:val="00B878F6"/>
    <w:rsid w:val="00B90C77"/>
    <w:rsid w:val="00B9330D"/>
    <w:rsid w:val="00B94277"/>
    <w:rsid w:val="00BA478E"/>
    <w:rsid w:val="00BB29AA"/>
    <w:rsid w:val="00BB37C4"/>
    <w:rsid w:val="00BC1954"/>
    <w:rsid w:val="00BC33EA"/>
    <w:rsid w:val="00BC52C9"/>
    <w:rsid w:val="00BC65FA"/>
    <w:rsid w:val="00BC6B28"/>
    <w:rsid w:val="00BD07A8"/>
    <w:rsid w:val="00BD0B33"/>
    <w:rsid w:val="00BD0FA1"/>
    <w:rsid w:val="00BD177B"/>
    <w:rsid w:val="00BD411A"/>
    <w:rsid w:val="00BD5961"/>
    <w:rsid w:val="00BE264A"/>
    <w:rsid w:val="00BF0466"/>
    <w:rsid w:val="00BF32D7"/>
    <w:rsid w:val="00C020CF"/>
    <w:rsid w:val="00C02D6C"/>
    <w:rsid w:val="00C05561"/>
    <w:rsid w:val="00C15D89"/>
    <w:rsid w:val="00C27FFD"/>
    <w:rsid w:val="00C3540D"/>
    <w:rsid w:val="00C35E6B"/>
    <w:rsid w:val="00C35E95"/>
    <w:rsid w:val="00C37A38"/>
    <w:rsid w:val="00C453B1"/>
    <w:rsid w:val="00C47EBF"/>
    <w:rsid w:val="00C62028"/>
    <w:rsid w:val="00C62BE8"/>
    <w:rsid w:val="00C64D7B"/>
    <w:rsid w:val="00C72ADC"/>
    <w:rsid w:val="00C74178"/>
    <w:rsid w:val="00C755AE"/>
    <w:rsid w:val="00C76EB9"/>
    <w:rsid w:val="00C80895"/>
    <w:rsid w:val="00C94302"/>
    <w:rsid w:val="00C94EBD"/>
    <w:rsid w:val="00CB5264"/>
    <w:rsid w:val="00CB575C"/>
    <w:rsid w:val="00CB6410"/>
    <w:rsid w:val="00CC0741"/>
    <w:rsid w:val="00CD005A"/>
    <w:rsid w:val="00CD494A"/>
    <w:rsid w:val="00CD5702"/>
    <w:rsid w:val="00CE00A1"/>
    <w:rsid w:val="00CE72A1"/>
    <w:rsid w:val="00CF19AB"/>
    <w:rsid w:val="00CF2B64"/>
    <w:rsid w:val="00CF32C2"/>
    <w:rsid w:val="00CF5E6B"/>
    <w:rsid w:val="00D01CBC"/>
    <w:rsid w:val="00D0205F"/>
    <w:rsid w:val="00D03E53"/>
    <w:rsid w:val="00D11677"/>
    <w:rsid w:val="00D131F3"/>
    <w:rsid w:val="00D15E0C"/>
    <w:rsid w:val="00D21D93"/>
    <w:rsid w:val="00D26086"/>
    <w:rsid w:val="00D274B6"/>
    <w:rsid w:val="00D355B9"/>
    <w:rsid w:val="00D3774E"/>
    <w:rsid w:val="00D4219B"/>
    <w:rsid w:val="00D44293"/>
    <w:rsid w:val="00D47F9B"/>
    <w:rsid w:val="00D51764"/>
    <w:rsid w:val="00D518F8"/>
    <w:rsid w:val="00D64819"/>
    <w:rsid w:val="00D65844"/>
    <w:rsid w:val="00D705D1"/>
    <w:rsid w:val="00D7718B"/>
    <w:rsid w:val="00D7781F"/>
    <w:rsid w:val="00D84F61"/>
    <w:rsid w:val="00D95F1F"/>
    <w:rsid w:val="00D972D1"/>
    <w:rsid w:val="00DA2425"/>
    <w:rsid w:val="00DA4017"/>
    <w:rsid w:val="00DA6DCC"/>
    <w:rsid w:val="00DB0A4A"/>
    <w:rsid w:val="00DB0E92"/>
    <w:rsid w:val="00DB54D7"/>
    <w:rsid w:val="00DB5F83"/>
    <w:rsid w:val="00DB61E2"/>
    <w:rsid w:val="00DB7666"/>
    <w:rsid w:val="00DC0CE4"/>
    <w:rsid w:val="00DC14B9"/>
    <w:rsid w:val="00DC1743"/>
    <w:rsid w:val="00DC2A7B"/>
    <w:rsid w:val="00DC52B1"/>
    <w:rsid w:val="00DD47E2"/>
    <w:rsid w:val="00DE1956"/>
    <w:rsid w:val="00DE3F25"/>
    <w:rsid w:val="00DF3582"/>
    <w:rsid w:val="00DF63D1"/>
    <w:rsid w:val="00E077B8"/>
    <w:rsid w:val="00E11527"/>
    <w:rsid w:val="00E117AA"/>
    <w:rsid w:val="00E11E36"/>
    <w:rsid w:val="00E14EBB"/>
    <w:rsid w:val="00E160B5"/>
    <w:rsid w:val="00E22672"/>
    <w:rsid w:val="00E22C2E"/>
    <w:rsid w:val="00E261B1"/>
    <w:rsid w:val="00E31D34"/>
    <w:rsid w:val="00E37E68"/>
    <w:rsid w:val="00E4094F"/>
    <w:rsid w:val="00E50320"/>
    <w:rsid w:val="00E62ACE"/>
    <w:rsid w:val="00E75B6F"/>
    <w:rsid w:val="00E806DA"/>
    <w:rsid w:val="00E81DE4"/>
    <w:rsid w:val="00E8293D"/>
    <w:rsid w:val="00E87D54"/>
    <w:rsid w:val="00E92CAA"/>
    <w:rsid w:val="00E95C1B"/>
    <w:rsid w:val="00E96F81"/>
    <w:rsid w:val="00EA3CD3"/>
    <w:rsid w:val="00EB077B"/>
    <w:rsid w:val="00EB1CAB"/>
    <w:rsid w:val="00EC1835"/>
    <w:rsid w:val="00EC1D75"/>
    <w:rsid w:val="00EC5521"/>
    <w:rsid w:val="00ED117C"/>
    <w:rsid w:val="00ED17B5"/>
    <w:rsid w:val="00ED35AE"/>
    <w:rsid w:val="00ED6E2F"/>
    <w:rsid w:val="00EE156C"/>
    <w:rsid w:val="00EE32A2"/>
    <w:rsid w:val="00EE66BC"/>
    <w:rsid w:val="00EF5F26"/>
    <w:rsid w:val="00EF7FDA"/>
    <w:rsid w:val="00F0235C"/>
    <w:rsid w:val="00F10A8F"/>
    <w:rsid w:val="00F26620"/>
    <w:rsid w:val="00F3031C"/>
    <w:rsid w:val="00F307CF"/>
    <w:rsid w:val="00F326FC"/>
    <w:rsid w:val="00F4200C"/>
    <w:rsid w:val="00F5094A"/>
    <w:rsid w:val="00F50B78"/>
    <w:rsid w:val="00F532B2"/>
    <w:rsid w:val="00F53629"/>
    <w:rsid w:val="00F53EF6"/>
    <w:rsid w:val="00F55D1A"/>
    <w:rsid w:val="00F563C5"/>
    <w:rsid w:val="00F5715A"/>
    <w:rsid w:val="00F5750D"/>
    <w:rsid w:val="00F62F49"/>
    <w:rsid w:val="00F630C5"/>
    <w:rsid w:val="00F63513"/>
    <w:rsid w:val="00F65B68"/>
    <w:rsid w:val="00F66AC9"/>
    <w:rsid w:val="00F71ED2"/>
    <w:rsid w:val="00F73CD0"/>
    <w:rsid w:val="00F75133"/>
    <w:rsid w:val="00F7521F"/>
    <w:rsid w:val="00F7706A"/>
    <w:rsid w:val="00F81DF2"/>
    <w:rsid w:val="00F861B5"/>
    <w:rsid w:val="00F96B82"/>
    <w:rsid w:val="00FA1F0C"/>
    <w:rsid w:val="00FA6759"/>
    <w:rsid w:val="00FA7175"/>
    <w:rsid w:val="00FA71A0"/>
    <w:rsid w:val="00FB279E"/>
    <w:rsid w:val="00FB5DE8"/>
    <w:rsid w:val="00FB65C0"/>
    <w:rsid w:val="00FB7CE3"/>
    <w:rsid w:val="00FD0996"/>
    <w:rsid w:val="00FD2804"/>
    <w:rsid w:val="00FD3BD7"/>
    <w:rsid w:val="00FD79B2"/>
    <w:rsid w:val="00FE0464"/>
    <w:rsid w:val="00FE10DF"/>
    <w:rsid w:val="00FE1198"/>
    <w:rsid w:val="00FE2AE1"/>
    <w:rsid w:val="00FE6051"/>
    <w:rsid w:val="00FE78F4"/>
    <w:rsid w:val="00FF0B2F"/>
    <w:rsid w:val="00FF340E"/>
    <w:rsid w:val="00FF79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D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B27"/>
  </w:style>
  <w:style w:type="paragraph" w:styleId="Footer">
    <w:name w:val="footer"/>
    <w:basedOn w:val="Normal"/>
    <w:link w:val="FooterChar"/>
    <w:uiPriority w:val="99"/>
    <w:unhideWhenUsed/>
    <w:rsid w:val="00A12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B27"/>
  </w:style>
  <w:style w:type="paragraph" w:styleId="ListParagraph">
    <w:name w:val="List Paragraph"/>
    <w:basedOn w:val="Normal"/>
    <w:uiPriority w:val="34"/>
    <w:qFormat/>
    <w:rsid w:val="00FD2804"/>
    <w:pPr>
      <w:ind w:left="720"/>
      <w:contextualSpacing/>
    </w:pPr>
  </w:style>
  <w:style w:type="paragraph" w:styleId="BodyText2">
    <w:name w:val="Body Text 2"/>
    <w:basedOn w:val="Normal"/>
    <w:link w:val="BodyText2Char"/>
    <w:semiHidden/>
    <w:rsid w:val="00A059A7"/>
    <w:pPr>
      <w:spacing w:after="0" w:line="480" w:lineRule="auto"/>
      <w:jc w:val="both"/>
    </w:pPr>
    <w:rPr>
      <w:rFonts w:ascii="Courier New" w:eastAsia="Times New Roman" w:hAnsi="Courier New" w:cs="Times New Roman"/>
      <w:sz w:val="24"/>
      <w:szCs w:val="20"/>
      <w:lang w:val="en-US" w:eastAsia="en-ZW"/>
    </w:rPr>
  </w:style>
  <w:style w:type="character" w:customStyle="1" w:styleId="BodyText2Char">
    <w:name w:val="Body Text 2 Char"/>
    <w:basedOn w:val="DefaultParagraphFont"/>
    <w:link w:val="BodyText2"/>
    <w:semiHidden/>
    <w:rsid w:val="00A059A7"/>
    <w:rPr>
      <w:rFonts w:ascii="Courier New" w:eastAsia="Times New Roman" w:hAnsi="Courier New" w:cs="Times New Roman"/>
      <w:sz w:val="24"/>
      <w:szCs w:val="20"/>
      <w:lang w:val="en-US" w:eastAsia="en-ZW"/>
    </w:rPr>
  </w:style>
  <w:style w:type="paragraph" w:styleId="BodyText">
    <w:name w:val="Body Text"/>
    <w:basedOn w:val="Normal"/>
    <w:link w:val="BodyTextChar"/>
    <w:uiPriority w:val="99"/>
    <w:semiHidden/>
    <w:unhideWhenUsed/>
    <w:rsid w:val="009270EF"/>
    <w:pPr>
      <w:spacing w:after="120"/>
    </w:pPr>
  </w:style>
  <w:style w:type="character" w:customStyle="1" w:styleId="BodyTextChar">
    <w:name w:val="Body Text Char"/>
    <w:basedOn w:val="DefaultParagraphFont"/>
    <w:link w:val="BodyText"/>
    <w:uiPriority w:val="99"/>
    <w:semiHidden/>
    <w:rsid w:val="009270EF"/>
  </w:style>
  <w:style w:type="paragraph" w:styleId="FootnoteText">
    <w:name w:val="footnote text"/>
    <w:basedOn w:val="Normal"/>
    <w:link w:val="FootnoteTextChar"/>
    <w:uiPriority w:val="99"/>
    <w:semiHidden/>
    <w:unhideWhenUsed/>
    <w:rsid w:val="009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C89"/>
    <w:rPr>
      <w:sz w:val="20"/>
      <w:szCs w:val="20"/>
    </w:rPr>
  </w:style>
  <w:style w:type="character" w:styleId="FootnoteReference">
    <w:name w:val="footnote reference"/>
    <w:basedOn w:val="DefaultParagraphFont"/>
    <w:uiPriority w:val="99"/>
    <w:semiHidden/>
    <w:unhideWhenUsed/>
    <w:rsid w:val="00951C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B27"/>
  </w:style>
  <w:style w:type="paragraph" w:styleId="Footer">
    <w:name w:val="footer"/>
    <w:basedOn w:val="Normal"/>
    <w:link w:val="FooterChar"/>
    <w:uiPriority w:val="99"/>
    <w:unhideWhenUsed/>
    <w:rsid w:val="00A12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B27"/>
  </w:style>
  <w:style w:type="paragraph" w:styleId="ListParagraph">
    <w:name w:val="List Paragraph"/>
    <w:basedOn w:val="Normal"/>
    <w:uiPriority w:val="34"/>
    <w:qFormat/>
    <w:rsid w:val="00FD2804"/>
    <w:pPr>
      <w:ind w:left="720"/>
      <w:contextualSpacing/>
    </w:pPr>
  </w:style>
  <w:style w:type="paragraph" w:styleId="BodyText2">
    <w:name w:val="Body Text 2"/>
    <w:basedOn w:val="Normal"/>
    <w:link w:val="BodyText2Char"/>
    <w:semiHidden/>
    <w:rsid w:val="00A059A7"/>
    <w:pPr>
      <w:spacing w:after="0" w:line="480" w:lineRule="auto"/>
      <w:jc w:val="both"/>
    </w:pPr>
    <w:rPr>
      <w:rFonts w:ascii="Courier New" w:eastAsia="Times New Roman" w:hAnsi="Courier New" w:cs="Times New Roman"/>
      <w:sz w:val="24"/>
      <w:szCs w:val="20"/>
      <w:lang w:val="en-US" w:eastAsia="en-ZW"/>
    </w:rPr>
  </w:style>
  <w:style w:type="character" w:customStyle="1" w:styleId="BodyText2Char">
    <w:name w:val="Body Text 2 Char"/>
    <w:basedOn w:val="DefaultParagraphFont"/>
    <w:link w:val="BodyText2"/>
    <w:semiHidden/>
    <w:rsid w:val="00A059A7"/>
    <w:rPr>
      <w:rFonts w:ascii="Courier New" w:eastAsia="Times New Roman" w:hAnsi="Courier New" w:cs="Times New Roman"/>
      <w:sz w:val="24"/>
      <w:szCs w:val="20"/>
      <w:lang w:val="en-US" w:eastAsia="en-ZW"/>
    </w:rPr>
  </w:style>
  <w:style w:type="paragraph" w:styleId="BodyText">
    <w:name w:val="Body Text"/>
    <w:basedOn w:val="Normal"/>
    <w:link w:val="BodyTextChar"/>
    <w:uiPriority w:val="99"/>
    <w:semiHidden/>
    <w:unhideWhenUsed/>
    <w:rsid w:val="009270EF"/>
    <w:pPr>
      <w:spacing w:after="120"/>
    </w:pPr>
  </w:style>
  <w:style w:type="character" w:customStyle="1" w:styleId="BodyTextChar">
    <w:name w:val="Body Text Char"/>
    <w:basedOn w:val="DefaultParagraphFont"/>
    <w:link w:val="BodyText"/>
    <w:uiPriority w:val="99"/>
    <w:semiHidden/>
    <w:rsid w:val="009270EF"/>
  </w:style>
  <w:style w:type="paragraph" w:styleId="FootnoteText">
    <w:name w:val="footnote text"/>
    <w:basedOn w:val="Normal"/>
    <w:link w:val="FootnoteTextChar"/>
    <w:uiPriority w:val="99"/>
    <w:semiHidden/>
    <w:unhideWhenUsed/>
    <w:rsid w:val="009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C89"/>
    <w:rPr>
      <w:sz w:val="20"/>
      <w:szCs w:val="20"/>
    </w:rPr>
  </w:style>
  <w:style w:type="character" w:styleId="FootnoteReference">
    <w:name w:val="footnote reference"/>
    <w:basedOn w:val="DefaultParagraphFont"/>
    <w:uiPriority w:val="99"/>
    <w:semiHidden/>
    <w:unhideWhenUsed/>
    <w:rsid w:val="00951C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90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676F-7161-4FF7-B568-6E3FEA82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6163</Words>
  <Characters>35130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usr</cp:lastModifiedBy>
  <cp:revision>2</cp:revision>
  <cp:lastPrinted>2021-04-13T10:59:00Z</cp:lastPrinted>
  <dcterms:created xsi:type="dcterms:W3CDTF">2021-05-14T08:09:00Z</dcterms:created>
  <dcterms:modified xsi:type="dcterms:W3CDTF">2021-05-14T08:09:00Z</dcterms:modified>
</cp:coreProperties>
</file>