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12" w:rsidRPr="008E1711" w:rsidRDefault="00B23A12" w:rsidP="00B23A12">
      <w:pPr>
        <w:spacing w:line="360" w:lineRule="auto"/>
        <w:rPr>
          <w:b/>
        </w:rPr>
      </w:pPr>
      <w:r w:rsidRPr="008E1711">
        <w:rPr>
          <w:b/>
        </w:rPr>
        <w:t>IN THE LABOUR COURT OF ZIMBABWE      JUDGMENT NO. LC/H/</w:t>
      </w:r>
      <w:r w:rsidR="00780A8E">
        <w:rPr>
          <w:b/>
        </w:rPr>
        <w:t>126</w:t>
      </w:r>
      <w:r>
        <w:rPr>
          <w:b/>
        </w:rPr>
        <w:t>/2016</w:t>
      </w:r>
    </w:p>
    <w:p w:rsidR="00B23A12" w:rsidRDefault="00B23A12" w:rsidP="00B23A12">
      <w:pPr>
        <w:spacing w:line="360" w:lineRule="auto"/>
        <w:jc w:val="both"/>
        <w:rPr>
          <w:b/>
        </w:rPr>
      </w:pPr>
      <w:r>
        <w:rPr>
          <w:b/>
        </w:rPr>
        <w:t>HARARE, 4 AUGUST 2015</w:t>
      </w:r>
      <w:r w:rsidRPr="00047C1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7C13">
        <w:rPr>
          <w:b/>
        </w:rPr>
        <w:t>CASE NO. LC/</w:t>
      </w:r>
      <w:r>
        <w:rPr>
          <w:b/>
        </w:rPr>
        <w:t>H/342/15</w:t>
      </w:r>
    </w:p>
    <w:p w:rsidR="00B23A12" w:rsidRDefault="00B23A12" w:rsidP="00B23A12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780A8E">
        <w:rPr>
          <w:b/>
        </w:rPr>
        <w:t>4 MARCH</w:t>
      </w:r>
      <w:r>
        <w:rPr>
          <w:b/>
        </w:rPr>
        <w:t xml:space="preserve"> 2016</w:t>
      </w:r>
    </w:p>
    <w:p w:rsidR="00B23A12" w:rsidRPr="00047C13" w:rsidRDefault="00B23A12" w:rsidP="00B23A12">
      <w:pPr>
        <w:jc w:val="both"/>
      </w:pPr>
      <w:r w:rsidRPr="00047C13">
        <w:t>In the matter between</w:t>
      </w:r>
      <w:r>
        <w:t>:-</w:t>
      </w:r>
    </w:p>
    <w:p w:rsidR="00B23A12" w:rsidRPr="00047C13" w:rsidRDefault="00B23A12" w:rsidP="00B23A12">
      <w:pPr>
        <w:jc w:val="both"/>
      </w:pPr>
    </w:p>
    <w:p w:rsidR="00B23A12" w:rsidRPr="00047C13" w:rsidRDefault="00F85406" w:rsidP="00B23A12">
      <w:pPr>
        <w:spacing w:line="360" w:lineRule="auto"/>
        <w:jc w:val="both"/>
        <w:rPr>
          <w:b/>
        </w:rPr>
      </w:pPr>
      <w:r>
        <w:rPr>
          <w:b/>
        </w:rPr>
        <w:t>XAVIER MARAMB</w:t>
      </w:r>
      <w:r w:rsidR="00B23A12">
        <w:rPr>
          <w:b/>
        </w:rPr>
        <w:t>A</w:t>
      </w:r>
      <w:r>
        <w:rPr>
          <w:b/>
        </w:rPr>
        <w:tab/>
      </w:r>
      <w:r w:rsidR="00B23A12">
        <w:rPr>
          <w:b/>
        </w:rPr>
        <w:tab/>
      </w:r>
      <w:r w:rsidR="00B23A12">
        <w:rPr>
          <w:b/>
        </w:rPr>
        <w:tab/>
      </w:r>
      <w:r w:rsidR="00B23A12">
        <w:rPr>
          <w:b/>
        </w:rPr>
        <w:tab/>
      </w:r>
      <w:r w:rsidR="00B23A12">
        <w:rPr>
          <w:b/>
        </w:rPr>
        <w:tab/>
        <w:t>Appellant</w:t>
      </w:r>
    </w:p>
    <w:p w:rsidR="00B23A12" w:rsidRPr="00047C13" w:rsidRDefault="00B23A12" w:rsidP="00B23A12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B23A12" w:rsidRDefault="00B23A12" w:rsidP="00B23A12">
      <w:pPr>
        <w:spacing w:line="360" w:lineRule="auto"/>
        <w:jc w:val="both"/>
        <w:rPr>
          <w:b/>
        </w:rPr>
      </w:pPr>
      <w:r>
        <w:rPr>
          <w:b/>
        </w:rPr>
        <w:t>MINISTER OF PRIMARY AND</w:t>
      </w:r>
      <w:r w:rsidR="00F8540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406">
        <w:rPr>
          <w:b/>
        </w:rPr>
        <w:t>1</w:t>
      </w:r>
      <w:r w:rsidR="00F85406" w:rsidRPr="00F85406">
        <w:rPr>
          <w:b/>
          <w:vertAlign w:val="superscript"/>
        </w:rPr>
        <w:t>st</w:t>
      </w:r>
      <w:r w:rsidR="00F85406">
        <w:rPr>
          <w:b/>
        </w:rPr>
        <w:t xml:space="preserve"> </w:t>
      </w:r>
      <w:r>
        <w:rPr>
          <w:b/>
        </w:rPr>
        <w:t>Respondent</w:t>
      </w:r>
    </w:p>
    <w:p w:rsidR="00B23A12" w:rsidRDefault="00B23A12" w:rsidP="00B23A12">
      <w:pPr>
        <w:spacing w:line="360" w:lineRule="auto"/>
        <w:jc w:val="both"/>
        <w:rPr>
          <w:b/>
        </w:rPr>
      </w:pPr>
      <w:r>
        <w:rPr>
          <w:b/>
        </w:rPr>
        <w:t>SECONDARY EDUCATION</w:t>
      </w:r>
    </w:p>
    <w:p w:rsidR="00B23A12" w:rsidRDefault="00B23A12" w:rsidP="00B23A12">
      <w:pPr>
        <w:spacing w:line="360" w:lineRule="auto"/>
        <w:jc w:val="both"/>
      </w:pPr>
      <w:r>
        <w:t>And</w:t>
      </w:r>
    </w:p>
    <w:p w:rsidR="00B23A12" w:rsidRPr="00B23A12" w:rsidRDefault="00F85406" w:rsidP="00B23A12">
      <w:pPr>
        <w:spacing w:line="360" w:lineRule="auto"/>
        <w:jc w:val="both"/>
        <w:rPr>
          <w:b/>
        </w:rPr>
      </w:pPr>
      <w:r>
        <w:rPr>
          <w:b/>
        </w:rPr>
        <w:t>PUBLIC SERVICE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F85406">
        <w:rPr>
          <w:b/>
          <w:vertAlign w:val="superscript"/>
        </w:rPr>
        <w:t>nd</w:t>
      </w:r>
      <w:r>
        <w:rPr>
          <w:b/>
        </w:rPr>
        <w:t xml:space="preserve"> Respondent</w:t>
      </w:r>
    </w:p>
    <w:p w:rsidR="00B23A12" w:rsidRDefault="00B23A12" w:rsidP="00B23A12">
      <w:pPr>
        <w:jc w:val="both"/>
        <w:rPr>
          <w:b/>
        </w:rPr>
      </w:pPr>
    </w:p>
    <w:p w:rsidR="00B25993" w:rsidRDefault="00B23A12" w:rsidP="00B23A12">
      <w:pPr>
        <w:spacing w:line="360" w:lineRule="auto"/>
        <w:jc w:val="both"/>
      </w:pPr>
      <w:r>
        <w:t xml:space="preserve">Before Honourable L. Kudya, Judge </w:t>
      </w:r>
    </w:p>
    <w:p w:rsidR="00B23A12" w:rsidRPr="00047C13" w:rsidRDefault="00B23A12" w:rsidP="00B23A12">
      <w:pPr>
        <w:jc w:val="both"/>
      </w:pPr>
      <w:r>
        <w:t xml:space="preserve">                            </w:t>
      </w:r>
    </w:p>
    <w:p w:rsidR="00B23A12" w:rsidRPr="00047C13" w:rsidRDefault="00B23A12" w:rsidP="00DE5069">
      <w:pPr>
        <w:spacing w:line="360" w:lineRule="auto"/>
        <w:jc w:val="both"/>
        <w:rPr>
          <w:b/>
        </w:rPr>
      </w:pPr>
      <w:r>
        <w:rPr>
          <w:b/>
        </w:rPr>
        <w:t xml:space="preserve">For </w:t>
      </w:r>
      <w:r w:rsidRPr="00047C13">
        <w:rPr>
          <w:b/>
        </w:rPr>
        <w:t>App</w:t>
      </w:r>
      <w:r>
        <w:rPr>
          <w:b/>
        </w:rPr>
        <w:t>ellant</w:t>
      </w:r>
      <w:r>
        <w:rPr>
          <w:b/>
        </w:rPr>
        <w:tab/>
      </w:r>
      <w:r>
        <w:rPr>
          <w:b/>
        </w:rPr>
        <w:tab/>
        <w:t>C Mahlangu (Legal Practitioner)</w:t>
      </w:r>
    </w:p>
    <w:p w:rsidR="00B23A12" w:rsidRDefault="00B23A12" w:rsidP="00B23A12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 w:rsidR="00F85406">
        <w:rPr>
          <w:b/>
        </w:rPr>
        <w:t>K Warinda</w:t>
      </w:r>
      <w:r>
        <w:rPr>
          <w:b/>
        </w:rPr>
        <w:t xml:space="preserve"> (Civil Division)</w:t>
      </w:r>
    </w:p>
    <w:p w:rsidR="00B23A12" w:rsidRDefault="00B23A12" w:rsidP="00B23A12">
      <w:pPr>
        <w:jc w:val="both"/>
        <w:rPr>
          <w:b/>
        </w:rPr>
      </w:pPr>
    </w:p>
    <w:p w:rsidR="00B23A12" w:rsidRPr="00047C13" w:rsidRDefault="00B23A12" w:rsidP="00B23A12">
      <w:pPr>
        <w:jc w:val="both"/>
        <w:rPr>
          <w:b/>
        </w:rPr>
      </w:pPr>
    </w:p>
    <w:p w:rsidR="00B23A12" w:rsidRDefault="00B23A12" w:rsidP="00B23A12">
      <w:pPr>
        <w:spacing w:line="360" w:lineRule="auto"/>
        <w:jc w:val="both"/>
        <w:rPr>
          <w:b/>
        </w:rPr>
      </w:pPr>
      <w:r>
        <w:rPr>
          <w:b/>
        </w:rPr>
        <w:t>KUDYA, J:</w:t>
      </w:r>
    </w:p>
    <w:p w:rsidR="00787029" w:rsidRDefault="00787029" w:rsidP="005C5EA7">
      <w:pPr>
        <w:spacing w:line="360" w:lineRule="auto"/>
        <w:jc w:val="both"/>
      </w:pPr>
    </w:p>
    <w:p w:rsidR="0077087A" w:rsidRDefault="005C5EA7" w:rsidP="005C5EA7">
      <w:pPr>
        <w:spacing w:line="360" w:lineRule="auto"/>
        <w:jc w:val="both"/>
      </w:pPr>
      <w:r>
        <w:tab/>
        <w:t>This is an appeal against the decision of the respondent’s disciplinary authority wh</w:t>
      </w:r>
      <w:r w:rsidR="00FC549D">
        <w:t>ich confirmed appellant’s guilt</w:t>
      </w:r>
      <w:r>
        <w:t xml:space="preserve"> and dismissed him from work following allegations of </w:t>
      </w:r>
      <w:r w:rsidR="0077087A">
        <w:t xml:space="preserve">fondling a pupil’s breast in contravention of the </w:t>
      </w:r>
      <w:r w:rsidR="002D1E12">
        <w:t>respondent’s</w:t>
      </w:r>
      <w:r w:rsidR="0077087A">
        <w:t xml:space="preserve"> regulations.</w:t>
      </w:r>
    </w:p>
    <w:p w:rsidR="002D1E12" w:rsidRDefault="002D1E12" w:rsidP="002D1E12">
      <w:pPr>
        <w:jc w:val="both"/>
      </w:pPr>
    </w:p>
    <w:p w:rsidR="0077087A" w:rsidRDefault="0077087A" w:rsidP="00BA20CC">
      <w:pPr>
        <w:spacing w:line="360" w:lineRule="auto"/>
        <w:ind w:firstLine="720"/>
        <w:jc w:val="both"/>
      </w:pPr>
      <w:r>
        <w:t>The appeal is based mainly on 3 points.  These are that</w:t>
      </w:r>
      <w:r w:rsidR="00FC549D">
        <w:t>,</w:t>
      </w:r>
      <w:r>
        <w:t xml:space="preserve"> the respondent aut</w:t>
      </w:r>
      <w:r w:rsidR="00A34048">
        <w:t>hority found appellant guilty on</w:t>
      </w:r>
      <w:r>
        <w:t xml:space="preserve"> insufficient evidence, failed to determin</w:t>
      </w:r>
      <w:r w:rsidR="00A34048">
        <w:t>e an interim application for rec</w:t>
      </w:r>
      <w:r>
        <w:t>usal which had been made</w:t>
      </w:r>
      <w:r w:rsidR="00A34048">
        <w:t xml:space="preserve"> before the committee and that i</w:t>
      </w:r>
      <w:r>
        <w:t xml:space="preserve">f appellant’s guilt </w:t>
      </w:r>
      <w:r w:rsidR="00A34048">
        <w:t>was well founded</w:t>
      </w:r>
      <w:r>
        <w:t xml:space="preserve"> he was entitled to</w:t>
      </w:r>
      <w:r w:rsidR="00BA20CC">
        <w:t xml:space="preserve"> a penalty lesser than dismissal.</w:t>
      </w:r>
    </w:p>
    <w:p w:rsidR="00BA20CC" w:rsidRDefault="00BA20CC" w:rsidP="002D1E12">
      <w:pPr>
        <w:ind w:firstLine="720"/>
        <w:jc w:val="both"/>
      </w:pPr>
    </w:p>
    <w:p w:rsidR="00787F96" w:rsidRDefault="00BA20CC" w:rsidP="002A2109">
      <w:pPr>
        <w:tabs>
          <w:tab w:val="left" w:pos="3402"/>
        </w:tabs>
        <w:spacing w:line="360" w:lineRule="auto"/>
        <w:ind w:firstLine="720"/>
        <w:jc w:val="both"/>
      </w:pPr>
      <w:r>
        <w:t>A reading of the 2</w:t>
      </w:r>
      <w:r w:rsidRPr="00BA20CC">
        <w:rPr>
          <w:vertAlign w:val="superscript"/>
        </w:rPr>
        <w:t>nd</w:t>
      </w:r>
      <w:r>
        <w:t xml:space="preserve"> ground which t</w:t>
      </w:r>
      <w:r w:rsidR="00A34048">
        <w:t>alks</w:t>
      </w:r>
      <w:r>
        <w:t xml:space="preserve"> about ruling on preliminary point is a point of law which can be taken </w:t>
      </w:r>
      <w:r w:rsidR="00A34048">
        <w:t>a</w:t>
      </w:r>
      <w:r>
        <w:t xml:space="preserve">t any time.  It is pertinent to </w:t>
      </w:r>
      <w:r w:rsidR="00A34048">
        <w:t>no</w:t>
      </w:r>
      <w:r>
        <w:t xml:space="preserve">te that before even </w:t>
      </w:r>
      <w:r w:rsidR="00A404E0">
        <w:t>before delving</w:t>
      </w:r>
      <w:r w:rsidR="009D2B40">
        <w:t xml:space="preserve"> into the merits of the appeal, the record of proceedings at the disciplinary committee level is replete with evidence that appellant sought a recusal </w:t>
      </w:r>
      <w:r w:rsidR="009D2B40">
        <w:lastRenderedPageBreak/>
        <w:t>of the committee following what he concluded was improper communication</w:t>
      </w:r>
      <w:r w:rsidR="002A2109">
        <w:t xml:space="preserve"> between the committee and the complainant and her witnesses.  </w:t>
      </w:r>
    </w:p>
    <w:p w:rsidR="00787F96" w:rsidRDefault="00787F96" w:rsidP="00787F96">
      <w:pPr>
        <w:tabs>
          <w:tab w:val="left" w:pos="3402"/>
        </w:tabs>
        <w:ind w:firstLine="720"/>
        <w:jc w:val="both"/>
      </w:pPr>
    </w:p>
    <w:p w:rsidR="002A2109" w:rsidRDefault="002A2109" w:rsidP="002A2109">
      <w:pPr>
        <w:tabs>
          <w:tab w:val="left" w:pos="3402"/>
        </w:tabs>
        <w:spacing w:line="360" w:lineRule="auto"/>
        <w:ind w:firstLine="720"/>
        <w:jc w:val="both"/>
      </w:pPr>
      <w:r>
        <w:t xml:space="preserve">This happened after the matter had been adjourned to be continued at a later date.  That the committee indeed communicated with complainant and her party in absence of the other party and </w:t>
      </w:r>
      <w:r w:rsidR="00787F96">
        <w:t>his counsel</w:t>
      </w:r>
      <w:r>
        <w:t xml:space="preserve"> is without doubt if the record of proceeding</w:t>
      </w:r>
      <w:r w:rsidR="00787F96">
        <w:t>s</w:t>
      </w:r>
      <w:r>
        <w:t xml:space="preserve"> is anything to go by.  </w:t>
      </w:r>
      <w:r w:rsidR="008C3224">
        <w:t>What may</w:t>
      </w:r>
      <w:r>
        <w:t xml:space="preserve"> only differ</w:t>
      </w:r>
      <w:r w:rsidR="008C3224">
        <w:t xml:space="preserve"> are </w:t>
      </w:r>
      <w:r>
        <w:t xml:space="preserve">the reasons which are </w:t>
      </w:r>
      <w:r w:rsidR="008C3224">
        <w:t>proffered</w:t>
      </w:r>
      <w:r>
        <w:t xml:space="preserve"> for such a meeting/discussion.  It is also apparent that the objection was made but was not </w:t>
      </w:r>
      <w:r w:rsidR="008C3224">
        <w:t>rule</w:t>
      </w:r>
      <w:r w:rsidR="00CB20EC">
        <w:t>d</w:t>
      </w:r>
      <w:bookmarkStart w:id="0" w:name="_GoBack"/>
      <w:bookmarkEnd w:id="0"/>
      <w:r>
        <w:t xml:space="preserve"> on.</w:t>
      </w:r>
    </w:p>
    <w:p w:rsidR="002A2109" w:rsidRDefault="002A2109" w:rsidP="002D1E12">
      <w:pPr>
        <w:tabs>
          <w:tab w:val="left" w:pos="3402"/>
        </w:tabs>
        <w:ind w:firstLine="720"/>
        <w:jc w:val="both"/>
      </w:pPr>
    </w:p>
    <w:p w:rsidR="002A2109" w:rsidRDefault="002A2109" w:rsidP="002A2109">
      <w:pPr>
        <w:tabs>
          <w:tab w:val="left" w:pos="3402"/>
        </w:tabs>
        <w:spacing w:line="360" w:lineRule="auto"/>
        <w:ind w:firstLine="720"/>
        <w:jc w:val="both"/>
      </w:pPr>
      <w:proofErr w:type="gramStart"/>
      <w:r>
        <w:t xml:space="preserve">As appellant correctly noted </w:t>
      </w:r>
      <w:r w:rsidR="00D245A4">
        <w:t xml:space="preserve">per case of </w:t>
      </w:r>
      <w:r w:rsidR="00D245A4" w:rsidRPr="002D1E12">
        <w:rPr>
          <w:i/>
        </w:rPr>
        <w:t>Haywood</w:t>
      </w:r>
      <w:r w:rsidR="00D245A4">
        <w:t xml:space="preserve"> </w:t>
      </w:r>
      <w:r w:rsidR="00861CED">
        <w:t>Investments</w:t>
      </w:r>
      <w:r w:rsidR="00D245A4">
        <w:t xml:space="preserve"> v </w:t>
      </w:r>
      <w:proofErr w:type="spellStart"/>
      <w:r w:rsidR="00D245A4" w:rsidRPr="002D1E12">
        <w:rPr>
          <w:i/>
        </w:rPr>
        <w:t>Zakeyo</w:t>
      </w:r>
      <w:proofErr w:type="spellEnd"/>
      <w:r w:rsidR="00D245A4">
        <w:t xml:space="preserve"> SC 32/13 that was a serious misdirection which vitiated the proceedings.</w:t>
      </w:r>
      <w:proofErr w:type="gramEnd"/>
      <w:r w:rsidR="00D245A4">
        <w:t xml:space="preserve">  It is also noteworthy per </w:t>
      </w:r>
      <w:proofErr w:type="spellStart"/>
      <w:r w:rsidR="00D245A4" w:rsidRPr="002D1E12">
        <w:rPr>
          <w:i/>
        </w:rPr>
        <w:t>Nyahuma</w:t>
      </w:r>
      <w:proofErr w:type="spellEnd"/>
      <w:r w:rsidR="00D245A4">
        <w:t xml:space="preserve"> v </w:t>
      </w:r>
      <w:r w:rsidR="00D245A4" w:rsidRPr="002D1E12">
        <w:rPr>
          <w:i/>
        </w:rPr>
        <w:t>Barclays</w:t>
      </w:r>
      <w:r w:rsidR="00861CED">
        <w:rPr>
          <w:i/>
        </w:rPr>
        <w:t xml:space="preserve"> Bank </w:t>
      </w:r>
      <w:r w:rsidR="007633F0">
        <w:t>2000 (2) ZLR 445 (S)</w:t>
      </w:r>
      <w:r w:rsidR="00D245A4">
        <w:t xml:space="preserve"> that where such errors </w:t>
      </w:r>
      <w:r w:rsidR="007633F0">
        <w:t>occur</w:t>
      </w:r>
      <w:r w:rsidR="00D245A4">
        <w:t xml:space="preserve"> remedy is not reinstatement but a redress of the procedural irregularity.  It is therefore the</w:t>
      </w:r>
      <w:r w:rsidR="007633F0">
        <w:t xml:space="preserve"> court’s view that it would be a</w:t>
      </w:r>
      <w:r w:rsidR="00D245A4">
        <w:t xml:space="preserve">n exercise in futility to even deal with the rest of the appeal grounds where it is apparent that for want of a decision on the preliminary point the committee fell short of its expectations </w:t>
      </w:r>
      <w:proofErr w:type="spellStart"/>
      <w:proofErr w:type="gramStart"/>
      <w:r w:rsidR="005436F8">
        <w:t>vis</w:t>
      </w:r>
      <w:proofErr w:type="spellEnd"/>
      <w:proofErr w:type="gramEnd"/>
      <w:r w:rsidR="00D245A4">
        <w:t xml:space="preserve"> affording the appellant a fair </w:t>
      </w:r>
      <w:r w:rsidR="005436F8">
        <w:t>hearing</w:t>
      </w:r>
      <w:r w:rsidR="00D245A4">
        <w:t>.  In the circumstances the appeal shoul</w:t>
      </w:r>
      <w:r w:rsidR="0000589C">
        <w:t>d succeed to the extant of the s</w:t>
      </w:r>
      <w:r w:rsidR="00D245A4">
        <w:t xml:space="preserve">etting aside of the dismissal order and a remittal of the matter for a determination </w:t>
      </w:r>
      <w:proofErr w:type="spellStart"/>
      <w:r w:rsidR="0000589C">
        <w:t>denovo</w:t>
      </w:r>
      <w:proofErr w:type="spellEnd"/>
      <w:r w:rsidR="0000589C">
        <w:t xml:space="preserve"> in</w:t>
      </w:r>
      <w:r w:rsidR="00D245A4">
        <w:t xml:space="preserve"> a procedurally correct manner.</w:t>
      </w:r>
    </w:p>
    <w:p w:rsidR="00D245A4" w:rsidRDefault="00D245A4" w:rsidP="002D1E12">
      <w:pPr>
        <w:tabs>
          <w:tab w:val="left" w:pos="3402"/>
        </w:tabs>
        <w:jc w:val="both"/>
      </w:pPr>
    </w:p>
    <w:p w:rsidR="00D245A4" w:rsidRPr="003F5637" w:rsidRDefault="00D245A4" w:rsidP="00D245A4">
      <w:pPr>
        <w:tabs>
          <w:tab w:val="left" w:pos="3402"/>
        </w:tabs>
        <w:spacing w:line="360" w:lineRule="auto"/>
        <w:jc w:val="both"/>
        <w:rPr>
          <w:b/>
        </w:rPr>
      </w:pPr>
      <w:r w:rsidRPr="003F5637">
        <w:rPr>
          <w:b/>
        </w:rPr>
        <w:t>IT IS ORDERED THAT</w:t>
      </w:r>
    </w:p>
    <w:p w:rsidR="00D245A4" w:rsidRDefault="00D245A4" w:rsidP="00B21EAD">
      <w:pPr>
        <w:tabs>
          <w:tab w:val="left" w:pos="3402"/>
        </w:tabs>
        <w:jc w:val="both"/>
      </w:pPr>
    </w:p>
    <w:p w:rsidR="00D245A4" w:rsidRDefault="00D245A4" w:rsidP="00D245A4">
      <w:pPr>
        <w:tabs>
          <w:tab w:val="left" w:pos="3402"/>
        </w:tabs>
        <w:spacing w:line="360" w:lineRule="auto"/>
        <w:jc w:val="both"/>
      </w:pPr>
      <w:proofErr w:type="gramStart"/>
      <w:r>
        <w:t>Appeal being with merit on account of the disciplinary committee</w:t>
      </w:r>
      <w:r w:rsidR="00D64481">
        <w:t xml:space="preserve">’s failure to rule on a point </w:t>
      </w:r>
      <w:r w:rsidR="00D64481" w:rsidRPr="002D1E12">
        <w:rPr>
          <w:i/>
        </w:rPr>
        <w:t xml:space="preserve">in </w:t>
      </w:r>
      <w:proofErr w:type="spellStart"/>
      <w:r w:rsidR="00D64481" w:rsidRPr="002D1E12">
        <w:rPr>
          <w:i/>
        </w:rPr>
        <w:t>limine</w:t>
      </w:r>
      <w:proofErr w:type="spellEnd"/>
      <w:r w:rsidR="00D64481">
        <w:t xml:space="preserve"> </w:t>
      </w:r>
      <w:r w:rsidR="00276B9F">
        <w:t>raised</w:t>
      </w:r>
      <w:r w:rsidR="00D64481">
        <w:t xml:space="preserve"> by the appellant the appeal be and is hereby allowed.</w:t>
      </w:r>
      <w:proofErr w:type="gramEnd"/>
    </w:p>
    <w:p w:rsidR="00D64481" w:rsidRDefault="00D64481" w:rsidP="00D245A4">
      <w:pPr>
        <w:tabs>
          <w:tab w:val="left" w:pos="3402"/>
        </w:tabs>
        <w:spacing w:line="360" w:lineRule="auto"/>
        <w:jc w:val="both"/>
      </w:pPr>
      <w:r>
        <w:t>The order dismissing appellant is set aside and in its place respondent is ordered to deal with the matter denovo in a procedurally correct fashion within 3 months from d</w:t>
      </w:r>
      <w:r w:rsidR="00E05765">
        <w:t>ate of receipt of this judgment, failing which the appellant will be deem</w:t>
      </w:r>
      <w:r w:rsidR="00DE5069">
        <w:t xml:space="preserve">ed </w:t>
      </w:r>
      <w:r>
        <w:t>to have been reinstat</w:t>
      </w:r>
      <w:r w:rsidR="00DE5069">
        <w:t>ed with full pay and benefits or</w:t>
      </w:r>
      <w:r>
        <w:t xml:space="preserve"> alternatively to be paid damages in place of reinstatement.</w:t>
      </w:r>
    </w:p>
    <w:p w:rsidR="00BA20CC" w:rsidRDefault="00D64481" w:rsidP="002D1E12">
      <w:pPr>
        <w:tabs>
          <w:tab w:val="left" w:pos="3402"/>
        </w:tabs>
        <w:spacing w:line="360" w:lineRule="auto"/>
        <w:jc w:val="both"/>
      </w:pPr>
      <w:proofErr w:type="gramStart"/>
      <w:r>
        <w:t>Each party to bear own costs.</w:t>
      </w:r>
      <w:proofErr w:type="gramEnd"/>
    </w:p>
    <w:p w:rsidR="00B21EAD" w:rsidRDefault="00B21EAD" w:rsidP="002D1E12">
      <w:pPr>
        <w:tabs>
          <w:tab w:val="left" w:pos="3402"/>
        </w:tabs>
        <w:spacing w:line="360" w:lineRule="auto"/>
        <w:jc w:val="both"/>
      </w:pPr>
    </w:p>
    <w:p w:rsidR="00B21EAD" w:rsidRDefault="00B21EAD" w:rsidP="002D1E12">
      <w:pPr>
        <w:tabs>
          <w:tab w:val="left" w:pos="3402"/>
        </w:tabs>
        <w:spacing w:line="360" w:lineRule="auto"/>
        <w:jc w:val="both"/>
      </w:pPr>
      <w:proofErr w:type="spellStart"/>
      <w:r w:rsidRPr="00B21EAD">
        <w:rPr>
          <w:i/>
        </w:rPr>
        <w:t>Munyaradzi</w:t>
      </w:r>
      <w:proofErr w:type="spellEnd"/>
      <w:r w:rsidRPr="00B21EAD">
        <w:rPr>
          <w:i/>
        </w:rPr>
        <w:t xml:space="preserve"> </w:t>
      </w:r>
      <w:proofErr w:type="spellStart"/>
      <w:r w:rsidRPr="00B21EAD">
        <w:rPr>
          <w:i/>
        </w:rPr>
        <w:t>Gwisai</w:t>
      </w:r>
      <w:proofErr w:type="spellEnd"/>
      <w:r w:rsidRPr="00B21EAD">
        <w:rPr>
          <w:i/>
        </w:rPr>
        <w:t xml:space="preserve"> &amp; Partners</w:t>
      </w:r>
      <w:r>
        <w:t>, appellant’s legal practitioners</w:t>
      </w:r>
    </w:p>
    <w:sectPr w:rsidR="00B21EAD" w:rsidSect="00F1008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E5" w:rsidRDefault="00293CE5" w:rsidP="00F10088">
      <w:r>
        <w:separator/>
      </w:r>
    </w:p>
  </w:endnote>
  <w:endnote w:type="continuationSeparator" w:id="0">
    <w:p w:rsidR="00293CE5" w:rsidRDefault="00293CE5" w:rsidP="00F1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369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C8A" w:rsidRDefault="00426C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0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C8A" w:rsidRDefault="00426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E5" w:rsidRDefault="00293CE5" w:rsidP="00F10088">
      <w:r>
        <w:separator/>
      </w:r>
    </w:p>
  </w:footnote>
  <w:footnote w:type="continuationSeparator" w:id="0">
    <w:p w:rsidR="00293CE5" w:rsidRDefault="00293CE5" w:rsidP="00F1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88" w:rsidRDefault="00F10088">
    <w:pPr>
      <w:pStyle w:val="Header"/>
    </w:pPr>
    <w:r>
      <w:tab/>
    </w:r>
    <w:r>
      <w:tab/>
      <w:t>JUDGMENT NO. LC/H/</w:t>
    </w:r>
    <w:r w:rsidR="00C33FB9">
      <w:t>126</w:t>
    </w:r>
    <w: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12"/>
    <w:rsid w:val="0000589C"/>
    <w:rsid w:val="00276B9F"/>
    <w:rsid w:val="00293CE5"/>
    <w:rsid w:val="002A2109"/>
    <w:rsid w:val="002D1E12"/>
    <w:rsid w:val="003F5637"/>
    <w:rsid w:val="00426C8A"/>
    <w:rsid w:val="005436F8"/>
    <w:rsid w:val="005C5EA7"/>
    <w:rsid w:val="007633F0"/>
    <w:rsid w:val="0077087A"/>
    <w:rsid w:val="00780A8E"/>
    <w:rsid w:val="00787029"/>
    <w:rsid w:val="00787F96"/>
    <w:rsid w:val="00861CED"/>
    <w:rsid w:val="008C3224"/>
    <w:rsid w:val="009D2B40"/>
    <w:rsid w:val="00A34048"/>
    <w:rsid w:val="00A404E0"/>
    <w:rsid w:val="00B02DA4"/>
    <w:rsid w:val="00B21EAD"/>
    <w:rsid w:val="00B23A12"/>
    <w:rsid w:val="00B25993"/>
    <w:rsid w:val="00BA20CC"/>
    <w:rsid w:val="00BB5B75"/>
    <w:rsid w:val="00C33FB9"/>
    <w:rsid w:val="00CB20EC"/>
    <w:rsid w:val="00D245A4"/>
    <w:rsid w:val="00D64481"/>
    <w:rsid w:val="00DE5069"/>
    <w:rsid w:val="00E05765"/>
    <w:rsid w:val="00F10088"/>
    <w:rsid w:val="00F85406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1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08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0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088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1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08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0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088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053-F103-4311-9AA5-C9AA23BF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</dc:creator>
  <cp:lastModifiedBy>Labour</cp:lastModifiedBy>
  <cp:revision>26</cp:revision>
  <cp:lastPrinted>2016-02-29T07:56:00Z</cp:lastPrinted>
  <dcterms:created xsi:type="dcterms:W3CDTF">2016-02-25T06:40:00Z</dcterms:created>
  <dcterms:modified xsi:type="dcterms:W3CDTF">2016-03-01T08:02:00Z</dcterms:modified>
</cp:coreProperties>
</file>