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C5" w:rsidRPr="004708FE" w:rsidRDefault="00446DC5" w:rsidP="00037D40">
      <w:pPr>
        <w:spacing w:line="240" w:lineRule="auto"/>
        <w:rPr>
          <w:rFonts w:ascii="Tahoma" w:hAnsi="Tahoma" w:cs="Tahoma"/>
          <w:b/>
          <w:sz w:val="24"/>
          <w:szCs w:val="24"/>
        </w:rPr>
      </w:pPr>
      <w:proofErr w:type="gramStart"/>
      <w:r w:rsidRPr="004708FE">
        <w:rPr>
          <w:rFonts w:ascii="Tahoma" w:hAnsi="Tahoma" w:cs="Tahoma"/>
          <w:b/>
          <w:sz w:val="24"/>
          <w:szCs w:val="24"/>
        </w:rPr>
        <w:t xml:space="preserve">IN THE LABOUR COURT OF ZIMBABWE      </w:t>
      </w:r>
      <w:bookmarkStart w:id="0" w:name="_GoBack"/>
      <w:bookmarkEnd w:id="0"/>
      <w:r w:rsidRPr="004708FE">
        <w:rPr>
          <w:rFonts w:ascii="Tahoma" w:hAnsi="Tahoma" w:cs="Tahoma"/>
          <w:b/>
          <w:sz w:val="24"/>
          <w:szCs w:val="24"/>
        </w:rPr>
        <w:t>JUDGMENT NO.</w:t>
      </w:r>
      <w:proofErr w:type="gramEnd"/>
      <w:r w:rsidRPr="004708FE">
        <w:rPr>
          <w:rFonts w:ascii="Tahoma" w:hAnsi="Tahoma" w:cs="Tahoma"/>
          <w:b/>
          <w:sz w:val="24"/>
          <w:szCs w:val="24"/>
        </w:rPr>
        <w:t xml:space="preserve"> LC/H/</w:t>
      </w:r>
      <w:r w:rsidR="008960C7">
        <w:rPr>
          <w:rFonts w:ascii="Tahoma" w:hAnsi="Tahoma" w:cs="Tahoma"/>
          <w:b/>
          <w:sz w:val="24"/>
          <w:szCs w:val="24"/>
        </w:rPr>
        <w:t>260</w:t>
      </w:r>
      <w:r w:rsidR="00A55384">
        <w:rPr>
          <w:rFonts w:ascii="Tahoma" w:hAnsi="Tahoma" w:cs="Tahoma"/>
          <w:b/>
          <w:sz w:val="24"/>
          <w:szCs w:val="24"/>
        </w:rPr>
        <w:t>/2020</w:t>
      </w:r>
    </w:p>
    <w:p w:rsidR="00906CB1" w:rsidRDefault="00446DC5" w:rsidP="00037D4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HARARE,</w:t>
      </w:r>
      <w:r w:rsidR="00041E71">
        <w:rPr>
          <w:rFonts w:ascii="Tahoma" w:hAnsi="Tahoma" w:cs="Tahoma"/>
          <w:b/>
          <w:sz w:val="24"/>
          <w:szCs w:val="24"/>
        </w:rPr>
        <w:t xml:space="preserve"> </w:t>
      </w:r>
      <w:r w:rsidR="00873495">
        <w:rPr>
          <w:rFonts w:ascii="Tahoma" w:hAnsi="Tahoma" w:cs="Tahoma"/>
          <w:b/>
          <w:sz w:val="24"/>
          <w:szCs w:val="24"/>
        </w:rPr>
        <w:t xml:space="preserve">28 OCTOBER </w:t>
      </w:r>
      <w:r w:rsidR="00A55384">
        <w:rPr>
          <w:rFonts w:ascii="Tahoma" w:hAnsi="Tahoma" w:cs="Tahoma"/>
          <w:b/>
          <w:sz w:val="24"/>
          <w:szCs w:val="24"/>
        </w:rPr>
        <w:t>2020</w:t>
      </w:r>
      <w:r w:rsidR="00041E71">
        <w:rPr>
          <w:rFonts w:ascii="Tahoma" w:hAnsi="Tahoma" w:cs="Tahoma"/>
          <w:b/>
          <w:sz w:val="24"/>
          <w:szCs w:val="24"/>
        </w:rPr>
        <w:tab/>
      </w:r>
      <w:r w:rsidR="00041E71">
        <w:rPr>
          <w:rFonts w:ascii="Tahoma" w:hAnsi="Tahoma" w:cs="Tahoma"/>
          <w:b/>
          <w:sz w:val="24"/>
          <w:szCs w:val="24"/>
        </w:rPr>
        <w:tab/>
        <w:t xml:space="preserve">             </w:t>
      </w:r>
      <w:r w:rsidR="008960C7">
        <w:rPr>
          <w:rFonts w:ascii="Tahoma" w:hAnsi="Tahoma" w:cs="Tahoma"/>
          <w:b/>
          <w:sz w:val="24"/>
          <w:szCs w:val="24"/>
        </w:rPr>
        <w:t xml:space="preserve">   </w:t>
      </w:r>
      <w:r w:rsidRPr="004708FE">
        <w:rPr>
          <w:rFonts w:ascii="Tahoma" w:hAnsi="Tahoma" w:cs="Tahoma"/>
          <w:b/>
          <w:sz w:val="24"/>
          <w:szCs w:val="24"/>
        </w:rPr>
        <w:t>CASE NO. LC/H/</w:t>
      </w:r>
      <w:r w:rsidR="00873495">
        <w:rPr>
          <w:rFonts w:ascii="Tahoma" w:hAnsi="Tahoma" w:cs="Tahoma"/>
          <w:b/>
          <w:sz w:val="24"/>
          <w:szCs w:val="24"/>
        </w:rPr>
        <w:t>APP/171/20</w:t>
      </w:r>
      <w:r w:rsidR="005B56E6">
        <w:rPr>
          <w:rFonts w:ascii="Tahoma" w:hAnsi="Tahoma" w:cs="Tahoma"/>
          <w:b/>
          <w:sz w:val="24"/>
          <w:szCs w:val="24"/>
        </w:rPr>
        <w:t xml:space="preserve"> </w:t>
      </w:r>
    </w:p>
    <w:p w:rsidR="00446DC5" w:rsidRPr="004708FE" w:rsidRDefault="00A55384" w:rsidP="00037D4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AND</w:t>
      </w:r>
      <w:r w:rsidR="008960C7">
        <w:rPr>
          <w:rFonts w:ascii="Tahoma" w:hAnsi="Tahoma" w:cs="Tahoma"/>
          <w:b/>
          <w:sz w:val="24"/>
          <w:szCs w:val="24"/>
        </w:rPr>
        <w:t xml:space="preserve"> 20 NOVEMBER</w:t>
      </w:r>
      <w:r>
        <w:rPr>
          <w:rFonts w:ascii="Tahoma" w:hAnsi="Tahoma" w:cs="Tahoma"/>
          <w:b/>
          <w:sz w:val="24"/>
          <w:szCs w:val="24"/>
        </w:rPr>
        <w:t xml:space="preserve"> 2020</w:t>
      </w:r>
    </w:p>
    <w:p w:rsidR="00446DC5" w:rsidRDefault="00446DC5" w:rsidP="00446DC5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In the matter between:-</w:t>
      </w:r>
    </w:p>
    <w:p w:rsidR="00446DC5" w:rsidRPr="004708FE" w:rsidRDefault="00446DC5" w:rsidP="00037D4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446DC5" w:rsidRDefault="00873495" w:rsidP="00037D4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WONDER SIMUKA</w:t>
      </w:r>
      <w:r w:rsidR="00041E71">
        <w:rPr>
          <w:rFonts w:ascii="Tahoma" w:hAnsi="Tahoma" w:cs="Tahoma"/>
          <w:b/>
          <w:sz w:val="24"/>
          <w:szCs w:val="24"/>
        </w:rPr>
        <w:tab/>
      </w:r>
      <w:r w:rsidR="00041E71">
        <w:rPr>
          <w:rFonts w:ascii="Tahoma" w:hAnsi="Tahoma" w:cs="Tahoma"/>
          <w:b/>
          <w:sz w:val="24"/>
          <w:szCs w:val="24"/>
        </w:rPr>
        <w:tab/>
      </w:r>
      <w:r w:rsidR="00041E71">
        <w:rPr>
          <w:rFonts w:ascii="Tahoma" w:hAnsi="Tahoma" w:cs="Tahoma"/>
          <w:b/>
          <w:sz w:val="24"/>
          <w:szCs w:val="24"/>
        </w:rPr>
        <w:tab/>
      </w:r>
      <w:r w:rsidR="005B56E6">
        <w:rPr>
          <w:rFonts w:ascii="Tahoma" w:hAnsi="Tahoma" w:cs="Tahoma"/>
          <w:b/>
          <w:sz w:val="24"/>
          <w:szCs w:val="24"/>
        </w:rPr>
        <w:tab/>
      </w:r>
      <w:r w:rsidR="005B56E6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875054">
        <w:rPr>
          <w:rFonts w:ascii="Tahoma" w:hAnsi="Tahoma" w:cs="Tahoma"/>
          <w:b/>
          <w:sz w:val="24"/>
          <w:szCs w:val="24"/>
        </w:rPr>
        <w:t>App</w:t>
      </w:r>
      <w:r>
        <w:rPr>
          <w:rFonts w:ascii="Tahoma" w:hAnsi="Tahoma" w:cs="Tahoma"/>
          <w:b/>
          <w:sz w:val="24"/>
          <w:szCs w:val="24"/>
        </w:rPr>
        <w:t>licant</w:t>
      </w:r>
    </w:p>
    <w:p w:rsidR="00446DC5" w:rsidRPr="004708FE" w:rsidRDefault="00446DC5" w:rsidP="00037D40">
      <w:pPr>
        <w:tabs>
          <w:tab w:val="left" w:pos="1995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And</w:t>
      </w:r>
      <w:r w:rsidRPr="004708FE">
        <w:rPr>
          <w:rFonts w:ascii="Tahoma" w:hAnsi="Tahoma" w:cs="Tahoma"/>
          <w:sz w:val="24"/>
          <w:szCs w:val="24"/>
        </w:rPr>
        <w:tab/>
      </w:r>
    </w:p>
    <w:p w:rsidR="00446DC5" w:rsidRDefault="00873495" w:rsidP="00906CB1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MONTANA CARSWELL MEATS</w:t>
      </w:r>
      <w:r w:rsidR="009B18A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(PVT) LTD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446DC5" w:rsidRPr="004708FE">
        <w:rPr>
          <w:rFonts w:ascii="Tahoma" w:hAnsi="Tahoma" w:cs="Tahoma"/>
          <w:b/>
          <w:sz w:val="24"/>
          <w:szCs w:val="24"/>
        </w:rPr>
        <w:t>Respondent</w:t>
      </w:r>
    </w:p>
    <w:p w:rsidR="005B56E6" w:rsidRDefault="005B56E6" w:rsidP="00446DC5">
      <w:pPr>
        <w:jc w:val="both"/>
        <w:rPr>
          <w:rFonts w:ascii="Tahoma" w:hAnsi="Tahoma" w:cs="Tahoma"/>
          <w:sz w:val="24"/>
          <w:szCs w:val="24"/>
        </w:rPr>
      </w:pPr>
    </w:p>
    <w:p w:rsidR="00446DC5" w:rsidRPr="004708FE" w:rsidRDefault="00446DC5" w:rsidP="00446DC5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 xml:space="preserve">Before Honourable </w:t>
      </w:r>
      <w:r w:rsidR="00875054">
        <w:rPr>
          <w:rFonts w:ascii="Tahoma" w:hAnsi="Tahoma" w:cs="Tahoma"/>
          <w:sz w:val="24"/>
          <w:szCs w:val="24"/>
        </w:rPr>
        <w:t>B.S. Chidziva</w:t>
      </w:r>
      <w:r w:rsidRPr="004708FE">
        <w:rPr>
          <w:rFonts w:ascii="Tahoma" w:hAnsi="Tahoma" w:cs="Tahoma"/>
          <w:sz w:val="24"/>
          <w:szCs w:val="24"/>
        </w:rPr>
        <w:t xml:space="preserve">, Judge                             </w:t>
      </w:r>
    </w:p>
    <w:p w:rsidR="00446DC5" w:rsidRPr="004708FE" w:rsidRDefault="00446DC5" w:rsidP="00037D4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</w:p>
    <w:p w:rsidR="00873495" w:rsidRDefault="00875054" w:rsidP="00446DC5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For App</w:t>
      </w:r>
      <w:r w:rsidR="00873495">
        <w:rPr>
          <w:rFonts w:ascii="Tahoma" w:hAnsi="Tahoma" w:cs="Tahoma"/>
          <w:b/>
          <w:sz w:val="24"/>
          <w:szCs w:val="24"/>
        </w:rPr>
        <w:t>licant</w:t>
      </w:r>
      <w:r w:rsidR="00873495">
        <w:rPr>
          <w:rFonts w:ascii="Tahoma" w:hAnsi="Tahoma" w:cs="Tahoma"/>
          <w:b/>
          <w:sz w:val="24"/>
          <w:szCs w:val="24"/>
        </w:rPr>
        <w:tab/>
      </w:r>
      <w:r w:rsidR="00873495">
        <w:rPr>
          <w:rFonts w:ascii="Tahoma" w:hAnsi="Tahoma" w:cs="Tahoma"/>
          <w:b/>
          <w:sz w:val="24"/>
          <w:szCs w:val="24"/>
        </w:rPr>
        <w:tab/>
        <w:t>Mr K. Gama (Legal Practitioner)</w:t>
      </w:r>
      <w:r w:rsidR="00906CB1">
        <w:rPr>
          <w:rFonts w:ascii="Tahoma" w:hAnsi="Tahoma" w:cs="Tahoma"/>
          <w:b/>
          <w:sz w:val="24"/>
          <w:szCs w:val="24"/>
        </w:rPr>
        <w:tab/>
      </w:r>
      <w:r w:rsidR="00906CB1">
        <w:rPr>
          <w:rFonts w:ascii="Tahoma" w:hAnsi="Tahoma" w:cs="Tahoma"/>
          <w:b/>
          <w:sz w:val="24"/>
          <w:szCs w:val="24"/>
        </w:rPr>
        <w:tab/>
      </w:r>
    </w:p>
    <w:p w:rsidR="00446DC5" w:rsidRPr="008C4120" w:rsidRDefault="00446DC5" w:rsidP="00446DC5">
      <w:pPr>
        <w:pStyle w:val="NoSpacing"/>
        <w:spacing w:line="360" w:lineRule="auto"/>
        <w:rPr>
          <w:rFonts w:ascii="Tahoma" w:hAnsi="Tahoma" w:cs="Tahoma"/>
          <w:b/>
          <w:sz w:val="24"/>
          <w:szCs w:val="24"/>
        </w:rPr>
      </w:pPr>
      <w:r w:rsidRPr="008C4120">
        <w:rPr>
          <w:rFonts w:ascii="Tahoma" w:hAnsi="Tahoma" w:cs="Tahoma"/>
          <w:b/>
          <w:sz w:val="24"/>
          <w:szCs w:val="24"/>
        </w:rPr>
        <w:t>For Respondent</w:t>
      </w:r>
      <w:r w:rsidR="00873495">
        <w:rPr>
          <w:rFonts w:ascii="Tahoma" w:hAnsi="Tahoma" w:cs="Tahoma"/>
          <w:b/>
          <w:sz w:val="24"/>
          <w:szCs w:val="24"/>
        </w:rPr>
        <w:tab/>
      </w:r>
      <w:r w:rsidR="00873495">
        <w:rPr>
          <w:rFonts w:ascii="Tahoma" w:hAnsi="Tahoma" w:cs="Tahoma"/>
          <w:b/>
          <w:sz w:val="24"/>
          <w:szCs w:val="24"/>
        </w:rPr>
        <w:tab/>
        <w:t>Mr D.T. Matawu (Legal Practitioner)</w:t>
      </w:r>
      <w:r>
        <w:rPr>
          <w:rFonts w:ascii="Tahoma" w:hAnsi="Tahoma" w:cs="Tahoma"/>
          <w:b/>
          <w:sz w:val="24"/>
          <w:szCs w:val="24"/>
        </w:rPr>
        <w:tab/>
      </w:r>
      <w:r w:rsidR="00987FE3">
        <w:rPr>
          <w:rFonts w:ascii="Tahoma" w:hAnsi="Tahoma" w:cs="Tahoma"/>
          <w:b/>
          <w:sz w:val="24"/>
          <w:szCs w:val="24"/>
        </w:rPr>
        <w:tab/>
      </w:r>
    </w:p>
    <w:p w:rsidR="00446DC5" w:rsidRPr="004708FE" w:rsidRDefault="00446DC5" w:rsidP="00037D40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446DC5" w:rsidRDefault="00875054" w:rsidP="00446DC5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CHIDZIVA</w:t>
      </w:r>
      <w:r w:rsidR="00446DC5" w:rsidRPr="004708FE">
        <w:rPr>
          <w:rFonts w:ascii="Tahoma" w:hAnsi="Tahoma" w:cs="Tahoma"/>
          <w:b/>
          <w:sz w:val="24"/>
          <w:szCs w:val="24"/>
        </w:rPr>
        <w:t>, J:</w:t>
      </w:r>
    </w:p>
    <w:p w:rsidR="00C175B6" w:rsidRDefault="00CA1666" w:rsidP="00CA1666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This is an application for leave to appeal against the decision of this Court that was handed down on 5 June 2020. This Court dismissed the applicant’s appeal</w:t>
      </w:r>
      <w:r w:rsidR="00AD16D4">
        <w:rPr>
          <w:rFonts w:ascii="Tahoma" w:hAnsi="Tahoma" w:cs="Tahoma"/>
          <w:sz w:val="24"/>
          <w:szCs w:val="24"/>
        </w:rPr>
        <w:t xml:space="preserve"> against the decision of the appeals officer to dismiss him from work for engaging in fraud and or theft in the course of his employment.</w:t>
      </w:r>
    </w:p>
    <w:p w:rsidR="009165EA" w:rsidRDefault="009165EA" w:rsidP="009165E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applicant’s grounds for this application are that </w:t>
      </w:r>
    </w:p>
    <w:p w:rsidR="00AD16D4" w:rsidRDefault="00AD16D4" w:rsidP="00AD16D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This court did not</w:t>
      </w:r>
      <w:r w:rsidR="00986D1D">
        <w:rPr>
          <w:rFonts w:ascii="Tahoma" w:hAnsi="Tahoma" w:cs="Tahoma"/>
          <w:sz w:val="24"/>
          <w:szCs w:val="24"/>
        </w:rPr>
        <w:t xml:space="preserve"> canvass the essential elements</w:t>
      </w:r>
      <w:r w:rsidR="00461D78">
        <w:rPr>
          <w:rFonts w:ascii="Tahoma" w:hAnsi="Tahoma" w:cs="Tahoma"/>
          <w:sz w:val="24"/>
          <w:szCs w:val="24"/>
        </w:rPr>
        <w:t xml:space="preserve"> of</w:t>
      </w:r>
      <w:r w:rsidR="00986D1D">
        <w:rPr>
          <w:rFonts w:ascii="Tahoma" w:hAnsi="Tahoma" w:cs="Tahoma"/>
          <w:sz w:val="24"/>
          <w:szCs w:val="24"/>
        </w:rPr>
        <w:t xml:space="preserve"> </w:t>
      </w:r>
      <w:r w:rsidR="001E4BA2">
        <w:rPr>
          <w:rFonts w:ascii="Tahoma" w:hAnsi="Tahoma" w:cs="Tahoma"/>
          <w:sz w:val="24"/>
          <w:szCs w:val="24"/>
        </w:rPr>
        <w:t>theft or fraud.</w:t>
      </w:r>
    </w:p>
    <w:p w:rsidR="001E4BA2" w:rsidRDefault="001E4BA2" w:rsidP="00AD16D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There are prospects of success as there was circumstantial evidence.</w:t>
      </w:r>
    </w:p>
    <w:p w:rsidR="001E4BA2" w:rsidRDefault="001E4BA2" w:rsidP="001E4BA2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Respondent in response</w:t>
      </w:r>
      <w:r w:rsidRPr="001E4BA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argued that the essential elements of theft/</w:t>
      </w:r>
      <w:r w:rsidR="009103AB">
        <w:rPr>
          <w:rFonts w:ascii="Tahoma" w:hAnsi="Tahoma" w:cs="Tahoma"/>
          <w:sz w:val="24"/>
          <w:szCs w:val="24"/>
        </w:rPr>
        <w:t>fraud had been proved through the evidence that was presented.</w:t>
      </w:r>
    </w:p>
    <w:p w:rsidR="009103AB" w:rsidRDefault="009103AB" w:rsidP="001E4BA2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factor </w:t>
      </w:r>
      <w:r w:rsidR="009165EA">
        <w:rPr>
          <w:rFonts w:ascii="Tahoma" w:hAnsi="Tahoma" w:cs="Tahoma"/>
          <w:sz w:val="24"/>
          <w:szCs w:val="24"/>
        </w:rPr>
        <w:t xml:space="preserve">to be considered </w:t>
      </w:r>
      <w:r>
        <w:rPr>
          <w:rFonts w:ascii="Tahoma" w:hAnsi="Tahoma" w:cs="Tahoma"/>
          <w:sz w:val="24"/>
          <w:szCs w:val="24"/>
        </w:rPr>
        <w:t>in these applications is whether there are prospects of success on appeal.</w:t>
      </w:r>
    </w:p>
    <w:p w:rsidR="009103AB" w:rsidRDefault="009103AB" w:rsidP="001E4BA2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Theft has always been defined as taking </w:t>
      </w:r>
      <w:r w:rsidR="00E26AAE">
        <w:rPr>
          <w:rFonts w:ascii="Tahoma" w:hAnsi="Tahoma" w:cs="Tahoma"/>
          <w:sz w:val="24"/>
          <w:szCs w:val="24"/>
        </w:rPr>
        <w:t xml:space="preserve">another person’s property with </w:t>
      </w:r>
      <w:r w:rsidR="00100C58">
        <w:rPr>
          <w:rFonts w:ascii="Tahoma" w:hAnsi="Tahoma" w:cs="Tahoma"/>
          <w:sz w:val="24"/>
          <w:szCs w:val="24"/>
        </w:rPr>
        <w:t>the intention to deprive that person of that property permanently. Fraud also comprises of making a misrepresentation which causes prejudice to the other person.</w:t>
      </w:r>
    </w:p>
    <w:p w:rsidR="00100C58" w:rsidRDefault="00100C58" w:rsidP="001E4BA2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This money was in the appl</w:t>
      </w:r>
      <w:r w:rsidR="009165EA">
        <w:rPr>
          <w:rFonts w:ascii="Tahoma" w:hAnsi="Tahoma" w:cs="Tahoma"/>
          <w:sz w:val="24"/>
          <w:szCs w:val="24"/>
        </w:rPr>
        <w:t>icant custody. He chose to use</w:t>
      </w:r>
      <w:r>
        <w:rPr>
          <w:rFonts w:ascii="Tahoma" w:hAnsi="Tahoma" w:cs="Tahoma"/>
          <w:sz w:val="24"/>
          <w:szCs w:val="24"/>
        </w:rPr>
        <w:t xml:space="preserve"> papers instead of</w:t>
      </w:r>
      <w:r w:rsidR="003C00B2">
        <w:rPr>
          <w:rFonts w:ascii="Tahoma" w:hAnsi="Tahoma" w:cs="Tahoma"/>
          <w:sz w:val="24"/>
          <w:szCs w:val="24"/>
        </w:rPr>
        <w:t xml:space="preserve"> the system</w:t>
      </w:r>
      <w:r w:rsidR="005722A2">
        <w:rPr>
          <w:rFonts w:ascii="Tahoma" w:hAnsi="Tahoma" w:cs="Tahoma"/>
          <w:sz w:val="24"/>
          <w:szCs w:val="24"/>
        </w:rPr>
        <w:t xml:space="preserve"> provided for. He even used to correct the</w:t>
      </w:r>
      <w:r w:rsidR="00196D4B">
        <w:rPr>
          <w:rFonts w:ascii="Tahoma" w:hAnsi="Tahoma" w:cs="Tahoma"/>
          <w:sz w:val="24"/>
          <w:szCs w:val="24"/>
        </w:rPr>
        <w:t xml:space="preserve"> </w:t>
      </w:r>
      <w:r w:rsidR="00FE0B8D">
        <w:rPr>
          <w:rFonts w:ascii="Tahoma" w:hAnsi="Tahoma" w:cs="Tahoma"/>
          <w:sz w:val="24"/>
          <w:szCs w:val="24"/>
        </w:rPr>
        <w:t>Manager on the accounting system. He was very much aware of what was req</w:t>
      </w:r>
      <w:r w:rsidR="009165EA">
        <w:rPr>
          <w:rFonts w:ascii="Tahoma" w:hAnsi="Tahoma" w:cs="Tahoma"/>
          <w:sz w:val="24"/>
          <w:szCs w:val="24"/>
        </w:rPr>
        <w:t>uired in the account</w:t>
      </w:r>
      <w:r w:rsidR="00A520BF">
        <w:rPr>
          <w:rFonts w:ascii="Tahoma" w:hAnsi="Tahoma" w:cs="Tahoma"/>
          <w:sz w:val="24"/>
          <w:szCs w:val="24"/>
        </w:rPr>
        <w:t>ing systems. His intention was to steal or defraud</w:t>
      </w:r>
      <w:r w:rsidR="009165EA">
        <w:rPr>
          <w:rFonts w:ascii="Tahoma" w:hAnsi="Tahoma" w:cs="Tahoma"/>
          <w:sz w:val="24"/>
          <w:szCs w:val="24"/>
        </w:rPr>
        <w:t xml:space="preserve"> the company.</w:t>
      </w:r>
    </w:p>
    <w:p w:rsidR="00FE0B8D" w:rsidRDefault="00FE0B8D" w:rsidP="001E4BA2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factor in these applications is whether there are prospects of success on appeal.</w:t>
      </w:r>
    </w:p>
    <w:p w:rsidR="000E6921" w:rsidRPr="001E4BA2" w:rsidRDefault="000E6921" w:rsidP="001E4BA2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has always been a trite principle of </w:t>
      </w:r>
      <w:r w:rsidR="004B470A">
        <w:rPr>
          <w:rFonts w:ascii="Tahoma" w:hAnsi="Tahoma" w:cs="Tahoma"/>
          <w:sz w:val="24"/>
          <w:szCs w:val="24"/>
        </w:rPr>
        <w:t>law that Labour matters should not be dealt with on technicalities. The evidence is clear that the applicant intended to steal or defraud the company.</w:t>
      </w:r>
    </w:p>
    <w:p w:rsidR="00906CB1" w:rsidRDefault="00906CB1" w:rsidP="005B56E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4B470A">
        <w:rPr>
          <w:rFonts w:ascii="Tahoma" w:hAnsi="Tahoma" w:cs="Tahoma"/>
          <w:sz w:val="24"/>
          <w:szCs w:val="24"/>
        </w:rPr>
        <w:t>I do not find anything that is arguable in this case.</w:t>
      </w:r>
    </w:p>
    <w:p w:rsidR="004B470A" w:rsidRDefault="004B470A" w:rsidP="004B470A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the circumstances the application being unmerited.</w:t>
      </w:r>
    </w:p>
    <w:p w:rsidR="004B470A" w:rsidRPr="009165EA" w:rsidRDefault="004B470A" w:rsidP="004B470A">
      <w:pPr>
        <w:spacing w:line="360" w:lineRule="auto"/>
        <w:ind w:firstLine="720"/>
        <w:jc w:val="both"/>
        <w:rPr>
          <w:rFonts w:ascii="Tahoma" w:hAnsi="Tahoma" w:cs="Tahoma"/>
          <w:b/>
          <w:sz w:val="24"/>
          <w:szCs w:val="24"/>
        </w:rPr>
      </w:pPr>
      <w:r w:rsidRPr="009165EA">
        <w:rPr>
          <w:rFonts w:ascii="Tahoma" w:hAnsi="Tahoma" w:cs="Tahoma"/>
          <w:b/>
          <w:sz w:val="24"/>
          <w:szCs w:val="24"/>
        </w:rPr>
        <w:t>IT IS ORDERED</w:t>
      </w:r>
      <w:r w:rsidR="009B18A6" w:rsidRPr="009165EA">
        <w:rPr>
          <w:rFonts w:ascii="Tahoma" w:hAnsi="Tahoma" w:cs="Tahoma"/>
          <w:b/>
          <w:sz w:val="24"/>
          <w:szCs w:val="24"/>
        </w:rPr>
        <w:t xml:space="preserve"> </w:t>
      </w:r>
      <w:r w:rsidRPr="009165EA">
        <w:rPr>
          <w:rFonts w:ascii="Tahoma" w:hAnsi="Tahoma" w:cs="Tahoma"/>
          <w:b/>
          <w:sz w:val="24"/>
          <w:szCs w:val="24"/>
        </w:rPr>
        <w:t>THAT</w:t>
      </w:r>
    </w:p>
    <w:p w:rsidR="004B470A" w:rsidRDefault="009B18A6" w:rsidP="009B18A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application for leave to appeal be and is hereby dismissed.</w:t>
      </w:r>
    </w:p>
    <w:p w:rsidR="009B18A6" w:rsidRDefault="009B18A6" w:rsidP="009B18A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Applicant shall bear costs.</w:t>
      </w:r>
    </w:p>
    <w:p w:rsidR="009B18A6" w:rsidRDefault="009B18A6" w:rsidP="009B18A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9B18A6" w:rsidRDefault="009B18A6" w:rsidP="009B18A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9B18A6" w:rsidRDefault="009B18A6" w:rsidP="009B18A6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9B18A6">
        <w:rPr>
          <w:rFonts w:ascii="Tahoma" w:hAnsi="Tahoma" w:cs="Tahoma"/>
          <w:i/>
          <w:sz w:val="24"/>
          <w:szCs w:val="24"/>
        </w:rPr>
        <w:t>Gama and Partners</w:t>
      </w:r>
      <w:r>
        <w:rPr>
          <w:rFonts w:ascii="Tahoma" w:hAnsi="Tahoma" w:cs="Tahoma"/>
          <w:sz w:val="24"/>
          <w:szCs w:val="24"/>
        </w:rPr>
        <w:t>, appellant’s legal practitioners</w:t>
      </w:r>
    </w:p>
    <w:p w:rsidR="009B18A6" w:rsidRPr="009B18A6" w:rsidRDefault="009B18A6" w:rsidP="009B18A6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9B18A6">
        <w:rPr>
          <w:rFonts w:ascii="Tahoma" w:hAnsi="Tahoma" w:cs="Tahoma"/>
          <w:i/>
          <w:sz w:val="24"/>
          <w:szCs w:val="24"/>
        </w:rPr>
        <w:t>Coghlan, Welsh &amp; Guest</w:t>
      </w:r>
      <w:r>
        <w:rPr>
          <w:rFonts w:ascii="Tahoma" w:hAnsi="Tahoma" w:cs="Tahoma"/>
          <w:sz w:val="24"/>
          <w:szCs w:val="24"/>
        </w:rPr>
        <w:t>, respondent’s legal practitioners</w:t>
      </w:r>
    </w:p>
    <w:p w:rsidR="004B470A" w:rsidRPr="005B56E6" w:rsidRDefault="004B470A" w:rsidP="005B56E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sectPr w:rsidR="004B470A" w:rsidRPr="005B56E6" w:rsidSect="00CB145F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7F5" w:rsidRDefault="00A637F5" w:rsidP="00CB145F">
      <w:pPr>
        <w:spacing w:after="0" w:line="240" w:lineRule="auto"/>
      </w:pPr>
      <w:r>
        <w:separator/>
      </w:r>
    </w:p>
  </w:endnote>
  <w:endnote w:type="continuationSeparator" w:id="0">
    <w:p w:rsidR="00A637F5" w:rsidRDefault="00A637F5" w:rsidP="00CB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1087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145F" w:rsidRDefault="00CB14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60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145F" w:rsidRDefault="00CB14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7F5" w:rsidRDefault="00A637F5" w:rsidP="00CB145F">
      <w:pPr>
        <w:spacing w:after="0" w:line="240" w:lineRule="auto"/>
      </w:pPr>
      <w:r>
        <w:separator/>
      </w:r>
    </w:p>
  </w:footnote>
  <w:footnote w:type="continuationSeparator" w:id="0">
    <w:p w:rsidR="00A637F5" w:rsidRDefault="00A637F5" w:rsidP="00CB1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45F" w:rsidRPr="00CB145F" w:rsidRDefault="008960C7">
    <w:pPr>
      <w:pStyle w:val="Header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ab/>
    </w:r>
    <w:r>
      <w:rPr>
        <w:rFonts w:ascii="Tahoma" w:hAnsi="Tahoma" w:cs="Tahoma"/>
        <w:sz w:val="24"/>
        <w:szCs w:val="24"/>
      </w:rPr>
      <w:tab/>
      <w:t>JUDGMENT NO. LC/H/260</w:t>
    </w:r>
    <w:r w:rsidR="00CB145F">
      <w:rPr>
        <w:rFonts w:ascii="Tahoma" w:hAnsi="Tahoma" w:cs="Tahoma"/>
        <w:sz w:val="24"/>
        <w:szCs w:val="24"/>
      </w:rPr>
      <w:t>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79F"/>
    <w:multiLevelType w:val="hybridMultilevel"/>
    <w:tmpl w:val="DD34D8C6"/>
    <w:lvl w:ilvl="0" w:tplc="05D634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E9680C"/>
    <w:multiLevelType w:val="hybridMultilevel"/>
    <w:tmpl w:val="57443B52"/>
    <w:lvl w:ilvl="0" w:tplc="D3C6D5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F35C55"/>
    <w:multiLevelType w:val="hybridMultilevel"/>
    <w:tmpl w:val="B060D058"/>
    <w:lvl w:ilvl="0" w:tplc="D84EE2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933190"/>
    <w:multiLevelType w:val="hybridMultilevel"/>
    <w:tmpl w:val="EDBA8C0C"/>
    <w:lvl w:ilvl="0" w:tplc="0902F8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872797"/>
    <w:multiLevelType w:val="hybridMultilevel"/>
    <w:tmpl w:val="23C0FD20"/>
    <w:lvl w:ilvl="0" w:tplc="DBEC7EB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5B0C6C"/>
    <w:multiLevelType w:val="hybridMultilevel"/>
    <w:tmpl w:val="94C27E6C"/>
    <w:lvl w:ilvl="0" w:tplc="61A2E2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310ECE"/>
    <w:multiLevelType w:val="hybridMultilevel"/>
    <w:tmpl w:val="4476D802"/>
    <w:lvl w:ilvl="0" w:tplc="19A8C92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C5"/>
    <w:rsid w:val="00037D40"/>
    <w:rsid w:val="00041E71"/>
    <w:rsid w:val="00065D2D"/>
    <w:rsid w:val="000E6921"/>
    <w:rsid w:val="000F2BC4"/>
    <w:rsid w:val="00100C58"/>
    <w:rsid w:val="0010711F"/>
    <w:rsid w:val="00165058"/>
    <w:rsid w:val="00167E3C"/>
    <w:rsid w:val="00196D4B"/>
    <w:rsid w:val="001A45C3"/>
    <w:rsid w:val="001E4BA2"/>
    <w:rsid w:val="001F2B72"/>
    <w:rsid w:val="00274B7B"/>
    <w:rsid w:val="002A39D4"/>
    <w:rsid w:val="00364713"/>
    <w:rsid w:val="003C00B2"/>
    <w:rsid w:val="00413059"/>
    <w:rsid w:val="00414B04"/>
    <w:rsid w:val="00446DC5"/>
    <w:rsid w:val="00461D78"/>
    <w:rsid w:val="004B470A"/>
    <w:rsid w:val="004E4AF9"/>
    <w:rsid w:val="005722A2"/>
    <w:rsid w:val="005B56E6"/>
    <w:rsid w:val="005E6E86"/>
    <w:rsid w:val="006034E3"/>
    <w:rsid w:val="0060430A"/>
    <w:rsid w:val="00612355"/>
    <w:rsid w:val="00763A12"/>
    <w:rsid w:val="00770B2B"/>
    <w:rsid w:val="0077793E"/>
    <w:rsid w:val="007A6145"/>
    <w:rsid w:val="00815DFE"/>
    <w:rsid w:val="00873495"/>
    <w:rsid w:val="00875054"/>
    <w:rsid w:val="008960C7"/>
    <w:rsid w:val="008C3229"/>
    <w:rsid w:val="00906CB1"/>
    <w:rsid w:val="009103AB"/>
    <w:rsid w:val="009165EA"/>
    <w:rsid w:val="00986D1D"/>
    <w:rsid w:val="00987FE3"/>
    <w:rsid w:val="009B18A6"/>
    <w:rsid w:val="009C2BF9"/>
    <w:rsid w:val="00A0161F"/>
    <w:rsid w:val="00A520BF"/>
    <w:rsid w:val="00A55384"/>
    <w:rsid w:val="00A637F5"/>
    <w:rsid w:val="00A76887"/>
    <w:rsid w:val="00AD16D4"/>
    <w:rsid w:val="00B02893"/>
    <w:rsid w:val="00BC46F6"/>
    <w:rsid w:val="00C175B6"/>
    <w:rsid w:val="00CA1666"/>
    <w:rsid w:val="00CA52B4"/>
    <w:rsid w:val="00CB145F"/>
    <w:rsid w:val="00CB1766"/>
    <w:rsid w:val="00CB722C"/>
    <w:rsid w:val="00CE0983"/>
    <w:rsid w:val="00E25EA0"/>
    <w:rsid w:val="00E26AAE"/>
    <w:rsid w:val="00F3741E"/>
    <w:rsid w:val="00F63036"/>
    <w:rsid w:val="00FE0B8D"/>
    <w:rsid w:val="00FF0A7E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D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7F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45F"/>
  </w:style>
  <w:style w:type="paragraph" w:styleId="Footer">
    <w:name w:val="footer"/>
    <w:basedOn w:val="Normal"/>
    <w:link w:val="FooterChar"/>
    <w:uiPriority w:val="99"/>
    <w:unhideWhenUsed/>
    <w:rsid w:val="00CB1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4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D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7F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45F"/>
  </w:style>
  <w:style w:type="paragraph" w:styleId="Footer">
    <w:name w:val="footer"/>
    <w:basedOn w:val="Normal"/>
    <w:link w:val="FooterChar"/>
    <w:uiPriority w:val="99"/>
    <w:unhideWhenUsed/>
    <w:rsid w:val="00CB1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library</cp:lastModifiedBy>
  <cp:revision>17</cp:revision>
  <cp:lastPrinted>2020-11-12T10:36:00Z</cp:lastPrinted>
  <dcterms:created xsi:type="dcterms:W3CDTF">2020-11-04T08:12:00Z</dcterms:created>
  <dcterms:modified xsi:type="dcterms:W3CDTF">2020-11-17T10:13:00Z</dcterms:modified>
</cp:coreProperties>
</file>