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B8F" w:rsidRPr="007F08F0" w:rsidRDefault="00551832" w:rsidP="00551832">
      <w:pPr>
        <w:pStyle w:val="NoSpacing"/>
        <w:rPr>
          <w:rFonts w:ascii="Times New Roman" w:hAnsi="Times New Roman" w:cs="Times New Roman"/>
          <w:sz w:val="24"/>
          <w:szCs w:val="24"/>
        </w:rPr>
      </w:pPr>
      <w:bookmarkStart w:id="0" w:name="_GoBack"/>
      <w:bookmarkEnd w:id="0"/>
      <w:r w:rsidRPr="007F08F0">
        <w:rPr>
          <w:rFonts w:ascii="Times New Roman" w:hAnsi="Times New Roman" w:cs="Times New Roman"/>
          <w:sz w:val="24"/>
          <w:szCs w:val="24"/>
        </w:rPr>
        <w:t xml:space="preserve">                                                                                </w:t>
      </w:r>
      <w:r w:rsidR="008E13D1" w:rsidRPr="007F08F0">
        <w:rPr>
          <w:rFonts w:ascii="Times New Roman" w:hAnsi="Times New Roman" w:cs="Times New Roman"/>
          <w:sz w:val="24"/>
          <w:szCs w:val="24"/>
        </w:rPr>
        <w:t xml:space="preserve">                     </w:t>
      </w:r>
      <w:r w:rsidRPr="007F08F0">
        <w:rPr>
          <w:rFonts w:ascii="Times New Roman" w:hAnsi="Times New Roman" w:cs="Times New Roman"/>
          <w:sz w:val="24"/>
          <w:szCs w:val="24"/>
        </w:rPr>
        <w:t xml:space="preserve">                     </w:t>
      </w:r>
      <w:r w:rsidR="003048A2" w:rsidRPr="007F08F0">
        <w:rPr>
          <w:rFonts w:ascii="Times New Roman" w:hAnsi="Times New Roman" w:cs="Times New Roman"/>
          <w:sz w:val="24"/>
          <w:szCs w:val="24"/>
        </w:rPr>
        <w:t xml:space="preserve"> </w:t>
      </w:r>
    </w:p>
    <w:p w:rsidR="003048A2" w:rsidRPr="007F08F0" w:rsidRDefault="00551832" w:rsidP="00551832">
      <w:pPr>
        <w:pStyle w:val="NoSpacing"/>
        <w:rPr>
          <w:rFonts w:ascii="Times New Roman" w:hAnsi="Times New Roman" w:cs="Times New Roman"/>
          <w:sz w:val="24"/>
          <w:szCs w:val="24"/>
        </w:rPr>
      </w:pPr>
      <w:r w:rsidRPr="007F08F0">
        <w:rPr>
          <w:rFonts w:ascii="Times New Roman" w:hAnsi="Times New Roman" w:cs="Times New Roman"/>
          <w:sz w:val="24"/>
          <w:szCs w:val="24"/>
        </w:rPr>
        <w:t xml:space="preserve">                                                                           </w:t>
      </w:r>
      <w:r w:rsidR="008E13D1" w:rsidRPr="007F08F0">
        <w:rPr>
          <w:rFonts w:ascii="Times New Roman" w:hAnsi="Times New Roman" w:cs="Times New Roman"/>
          <w:sz w:val="24"/>
          <w:szCs w:val="24"/>
        </w:rPr>
        <w:t xml:space="preserve">                      </w:t>
      </w:r>
      <w:r w:rsidRPr="007F08F0">
        <w:rPr>
          <w:rFonts w:ascii="Times New Roman" w:hAnsi="Times New Roman" w:cs="Times New Roman"/>
          <w:sz w:val="24"/>
          <w:szCs w:val="24"/>
        </w:rPr>
        <w:t xml:space="preserve">                    </w:t>
      </w:r>
      <w:r w:rsidR="003048A2" w:rsidRPr="007F08F0">
        <w:rPr>
          <w:rFonts w:ascii="Times New Roman" w:hAnsi="Times New Roman" w:cs="Times New Roman"/>
          <w:sz w:val="24"/>
          <w:szCs w:val="24"/>
        </w:rPr>
        <w:t xml:space="preserve"> </w:t>
      </w:r>
    </w:p>
    <w:p w:rsidR="00551832" w:rsidRPr="007F08F0" w:rsidRDefault="00551832" w:rsidP="00551832">
      <w:pPr>
        <w:pStyle w:val="NoSpacing"/>
        <w:rPr>
          <w:rFonts w:ascii="Times New Roman" w:hAnsi="Times New Roman" w:cs="Times New Roman"/>
          <w:sz w:val="24"/>
          <w:szCs w:val="24"/>
        </w:rPr>
      </w:pPr>
    </w:p>
    <w:p w:rsidR="003048A2" w:rsidRPr="007F08F0" w:rsidRDefault="003048A2" w:rsidP="007F08F0">
      <w:pPr>
        <w:spacing w:after="0" w:line="240" w:lineRule="auto"/>
        <w:rPr>
          <w:rFonts w:ascii="Times New Roman" w:hAnsi="Times New Roman" w:cs="Times New Roman"/>
          <w:sz w:val="24"/>
          <w:szCs w:val="24"/>
        </w:rPr>
      </w:pPr>
      <w:r w:rsidRPr="007F08F0">
        <w:rPr>
          <w:rFonts w:ascii="Times New Roman" w:hAnsi="Times New Roman" w:cs="Times New Roman"/>
          <w:sz w:val="24"/>
          <w:szCs w:val="24"/>
        </w:rPr>
        <w:t>WONDER CHABIKWA</w:t>
      </w:r>
    </w:p>
    <w:p w:rsidR="003048A2" w:rsidRPr="007F08F0" w:rsidRDefault="007F08F0" w:rsidP="007F08F0">
      <w:pPr>
        <w:spacing w:after="0" w:line="240" w:lineRule="auto"/>
        <w:rPr>
          <w:rFonts w:ascii="Times New Roman" w:hAnsi="Times New Roman" w:cs="Times New Roman"/>
          <w:sz w:val="24"/>
          <w:szCs w:val="24"/>
        </w:rPr>
      </w:pPr>
      <w:proofErr w:type="gramStart"/>
      <w:r w:rsidRPr="007F08F0">
        <w:rPr>
          <w:rFonts w:ascii="Times New Roman" w:hAnsi="Times New Roman" w:cs="Times New Roman"/>
          <w:sz w:val="24"/>
          <w:szCs w:val="24"/>
        </w:rPr>
        <w:t>versus</w:t>
      </w:r>
      <w:proofErr w:type="gramEnd"/>
    </w:p>
    <w:p w:rsidR="003048A2" w:rsidRPr="007F08F0" w:rsidRDefault="003048A2" w:rsidP="007F08F0">
      <w:pPr>
        <w:spacing w:after="0" w:line="240" w:lineRule="auto"/>
        <w:rPr>
          <w:rFonts w:ascii="Times New Roman" w:hAnsi="Times New Roman" w:cs="Times New Roman"/>
          <w:sz w:val="24"/>
          <w:szCs w:val="24"/>
        </w:rPr>
      </w:pPr>
      <w:r w:rsidRPr="007F08F0">
        <w:rPr>
          <w:rFonts w:ascii="Times New Roman" w:hAnsi="Times New Roman" w:cs="Times New Roman"/>
          <w:sz w:val="24"/>
          <w:szCs w:val="24"/>
        </w:rPr>
        <w:t>HONOURABLE ARBITRATOR D.E.B. LONG</w:t>
      </w:r>
    </w:p>
    <w:p w:rsidR="003048A2" w:rsidRPr="007F08F0" w:rsidRDefault="00F15D67" w:rsidP="007F08F0">
      <w:pPr>
        <w:spacing w:after="0" w:line="240" w:lineRule="auto"/>
        <w:rPr>
          <w:rFonts w:ascii="Times New Roman" w:hAnsi="Times New Roman" w:cs="Times New Roman"/>
          <w:sz w:val="24"/>
          <w:szCs w:val="24"/>
        </w:rPr>
      </w:pPr>
      <w:proofErr w:type="gramStart"/>
      <w:r w:rsidRPr="007F08F0">
        <w:rPr>
          <w:rFonts w:ascii="Times New Roman" w:hAnsi="Times New Roman" w:cs="Times New Roman"/>
          <w:sz w:val="24"/>
          <w:szCs w:val="24"/>
        </w:rPr>
        <w:t>and</w:t>
      </w:r>
      <w:proofErr w:type="gramEnd"/>
    </w:p>
    <w:p w:rsidR="003048A2" w:rsidRDefault="003048A2" w:rsidP="007F08F0">
      <w:pPr>
        <w:spacing w:after="0" w:line="240" w:lineRule="auto"/>
        <w:rPr>
          <w:rFonts w:ascii="Times New Roman" w:hAnsi="Times New Roman" w:cs="Times New Roman"/>
          <w:sz w:val="24"/>
          <w:szCs w:val="24"/>
        </w:rPr>
      </w:pPr>
      <w:r w:rsidRPr="007F08F0">
        <w:rPr>
          <w:rFonts w:ascii="Times New Roman" w:hAnsi="Times New Roman" w:cs="Times New Roman"/>
          <w:sz w:val="24"/>
          <w:szCs w:val="24"/>
        </w:rPr>
        <w:t>IETC ZIMBABWE (PRIVATE) LIMITED</w:t>
      </w:r>
    </w:p>
    <w:p w:rsidR="007F08F0" w:rsidRDefault="007F08F0" w:rsidP="007F08F0">
      <w:pPr>
        <w:spacing w:after="0" w:line="240" w:lineRule="auto"/>
        <w:rPr>
          <w:rFonts w:ascii="Times New Roman" w:hAnsi="Times New Roman" w:cs="Times New Roman"/>
          <w:sz w:val="24"/>
          <w:szCs w:val="24"/>
        </w:rPr>
      </w:pPr>
    </w:p>
    <w:p w:rsidR="007F08F0" w:rsidRDefault="007F08F0" w:rsidP="007F08F0">
      <w:pPr>
        <w:spacing w:after="0" w:line="240" w:lineRule="auto"/>
        <w:rPr>
          <w:rFonts w:ascii="Times New Roman" w:hAnsi="Times New Roman" w:cs="Times New Roman"/>
          <w:sz w:val="24"/>
          <w:szCs w:val="24"/>
        </w:rPr>
      </w:pPr>
    </w:p>
    <w:p w:rsidR="007F08F0" w:rsidRPr="007F08F0" w:rsidRDefault="007F08F0" w:rsidP="007F08F0">
      <w:pPr>
        <w:spacing w:after="0" w:line="240" w:lineRule="auto"/>
        <w:rPr>
          <w:rFonts w:ascii="Times New Roman" w:hAnsi="Times New Roman" w:cs="Times New Roman"/>
          <w:sz w:val="24"/>
          <w:szCs w:val="24"/>
        </w:rPr>
      </w:pPr>
    </w:p>
    <w:p w:rsidR="003048A2" w:rsidRPr="007F08F0" w:rsidRDefault="003048A2" w:rsidP="00551832">
      <w:pPr>
        <w:pStyle w:val="NoSpacing"/>
        <w:rPr>
          <w:rFonts w:ascii="Times New Roman" w:hAnsi="Times New Roman" w:cs="Times New Roman"/>
          <w:sz w:val="24"/>
          <w:szCs w:val="24"/>
        </w:rPr>
      </w:pPr>
      <w:r w:rsidRPr="007F08F0">
        <w:rPr>
          <w:rFonts w:ascii="Times New Roman" w:hAnsi="Times New Roman" w:cs="Times New Roman"/>
          <w:sz w:val="24"/>
          <w:szCs w:val="24"/>
        </w:rPr>
        <w:t>HIGH COURT OF ZIMBABWE</w:t>
      </w:r>
    </w:p>
    <w:p w:rsidR="003048A2" w:rsidRPr="007F08F0" w:rsidRDefault="003048A2" w:rsidP="00551832">
      <w:pPr>
        <w:pStyle w:val="NoSpacing"/>
        <w:rPr>
          <w:rFonts w:ascii="Times New Roman" w:hAnsi="Times New Roman" w:cs="Times New Roman"/>
          <w:sz w:val="24"/>
          <w:szCs w:val="24"/>
        </w:rPr>
      </w:pPr>
      <w:r w:rsidRPr="007F08F0">
        <w:rPr>
          <w:rFonts w:ascii="Times New Roman" w:hAnsi="Times New Roman" w:cs="Times New Roman"/>
          <w:sz w:val="24"/>
          <w:szCs w:val="24"/>
        </w:rPr>
        <w:t>TAGU J</w:t>
      </w:r>
    </w:p>
    <w:p w:rsidR="003048A2" w:rsidRDefault="003048A2" w:rsidP="00551832">
      <w:pPr>
        <w:pStyle w:val="NoSpacing"/>
        <w:rPr>
          <w:rFonts w:ascii="Times New Roman" w:hAnsi="Times New Roman" w:cs="Times New Roman"/>
          <w:sz w:val="24"/>
          <w:szCs w:val="24"/>
        </w:rPr>
      </w:pPr>
      <w:r w:rsidRPr="007F08F0">
        <w:rPr>
          <w:rFonts w:ascii="Times New Roman" w:hAnsi="Times New Roman" w:cs="Times New Roman"/>
          <w:sz w:val="24"/>
          <w:szCs w:val="24"/>
        </w:rPr>
        <w:t>HARARE</w:t>
      </w:r>
      <w:r w:rsidR="007F08F0">
        <w:rPr>
          <w:rFonts w:ascii="Times New Roman" w:hAnsi="Times New Roman" w:cs="Times New Roman"/>
          <w:sz w:val="24"/>
          <w:szCs w:val="24"/>
        </w:rPr>
        <w:t>,</w:t>
      </w:r>
      <w:r w:rsidRPr="007F08F0">
        <w:rPr>
          <w:rFonts w:ascii="Times New Roman" w:hAnsi="Times New Roman" w:cs="Times New Roman"/>
          <w:sz w:val="24"/>
          <w:szCs w:val="24"/>
        </w:rPr>
        <w:t xml:space="preserve"> 17 J</w:t>
      </w:r>
      <w:r w:rsidR="007F08F0" w:rsidRPr="007F08F0">
        <w:rPr>
          <w:rFonts w:ascii="Times New Roman" w:hAnsi="Times New Roman" w:cs="Times New Roman"/>
          <w:sz w:val="24"/>
          <w:szCs w:val="24"/>
        </w:rPr>
        <w:t>anuary</w:t>
      </w:r>
      <w:r w:rsidRPr="007F08F0">
        <w:rPr>
          <w:rFonts w:ascii="Times New Roman" w:hAnsi="Times New Roman" w:cs="Times New Roman"/>
          <w:sz w:val="24"/>
          <w:szCs w:val="24"/>
        </w:rPr>
        <w:t xml:space="preserve"> </w:t>
      </w:r>
      <w:r w:rsidR="007F08F0" w:rsidRPr="007F08F0">
        <w:rPr>
          <w:rFonts w:ascii="Times New Roman" w:hAnsi="Times New Roman" w:cs="Times New Roman"/>
          <w:sz w:val="24"/>
          <w:szCs w:val="24"/>
        </w:rPr>
        <w:t>and</w:t>
      </w:r>
      <w:r w:rsidRPr="007F08F0">
        <w:rPr>
          <w:rFonts w:ascii="Times New Roman" w:hAnsi="Times New Roman" w:cs="Times New Roman"/>
          <w:sz w:val="24"/>
          <w:szCs w:val="24"/>
        </w:rPr>
        <w:t xml:space="preserve"> 15 F</w:t>
      </w:r>
      <w:r w:rsidR="007F08F0" w:rsidRPr="007F08F0">
        <w:rPr>
          <w:rFonts w:ascii="Times New Roman" w:hAnsi="Times New Roman" w:cs="Times New Roman"/>
          <w:sz w:val="24"/>
          <w:szCs w:val="24"/>
        </w:rPr>
        <w:t>ebruary</w:t>
      </w:r>
      <w:r w:rsidRPr="007F08F0">
        <w:rPr>
          <w:rFonts w:ascii="Times New Roman" w:hAnsi="Times New Roman" w:cs="Times New Roman"/>
          <w:sz w:val="24"/>
          <w:szCs w:val="24"/>
        </w:rPr>
        <w:t xml:space="preserve"> 2017</w:t>
      </w:r>
    </w:p>
    <w:p w:rsidR="007F08F0" w:rsidRPr="007F08F0" w:rsidRDefault="007F08F0" w:rsidP="00551832">
      <w:pPr>
        <w:pStyle w:val="NoSpacing"/>
        <w:rPr>
          <w:rFonts w:ascii="Times New Roman" w:hAnsi="Times New Roman" w:cs="Times New Roman"/>
          <w:sz w:val="24"/>
          <w:szCs w:val="24"/>
        </w:rPr>
      </w:pPr>
    </w:p>
    <w:p w:rsidR="00551832" w:rsidRPr="007F08F0" w:rsidRDefault="00551832" w:rsidP="00551832">
      <w:pPr>
        <w:pStyle w:val="NoSpacing"/>
        <w:rPr>
          <w:rFonts w:ascii="Times New Roman" w:hAnsi="Times New Roman" w:cs="Times New Roman"/>
          <w:sz w:val="24"/>
          <w:szCs w:val="24"/>
        </w:rPr>
      </w:pPr>
    </w:p>
    <w:p w:rsidR="003048A2" w:rsidRDefault="003048A2">
      <w:pPr>
        <w:rPr>
          <w:rFonts w:ascii="Times New Roman" w:hAnsi="Times New Roman" w:cs="Times New Roman"/>
          <w:b/>
          <w:sz w:val="24"/>
          <w:szCs w:val="24"/>
        </w:rPr>
      </w:pPr>
      <w:r w:rsidRPr="007F08F0">
        <w:rPr>
          <w:rFonts w:ascii="Times New Roman" w:hAnsi="Times New Roman" w:cs="Times New Roman"/>
          <w:b/>
          <w:sz w:val="24"/>
          <w:szCs w:val="24"/>
        </w:rPr>
        <w:t>OPPOSED MATTER</w:t>
      </w:r>
    </w:p>
    <w:p w:rsidR="007F08F0" w:rsidRPr="007F08F0" w:rsidRDefault="007F08F0" w:rsidP="007F08F0">
      <w:pPr>
        <w:spacing w:after="0" w:line="240" w:lineRule="auto"/>
        <w:rPr>
          <w:rFonts w:ascii="Times New Roman" w:hAnsi="Times New Roman" w:cs="Times New Roman"/>
          <w:b/>
          <w:sz w:val="24"/>
          <w:szCs w:val="24"/>
        </w:rPr>
      </w:pPr>
    </w:p>
    <w:p w:rsidR="003048A2" w:rsidRPr="007F08F0" w:rsidRDefault="003048A2" w:rsidP="00551832">
      <w:pPr>
        <w:pStyle w:val="NoSpacing"/>
        <w:rPr>
          <w:rFonts w:ascii="Times New Roman" w:hAnsi="Times New Roman" w:cs="Times New Roman"/>
          <w:sz w:val="24"/>
          <w:szCs w:val="24"/>
        </w:rPr>
      </w:pPr>
      <w:r w:rsidRPr="007F08F0">
        <w:rPr>
          <w:rFonts w:ascii="Times New Roman" w:hAnsi="Times New Roman" w:cs="Times New Roman"/>
          <w:i/>
          <w:sz w:val="24"/>
          <w:szCs w:val="24"/>
        </w:rPr>
        <w:t xml:space="preserve">T </w:t>
      </w:r>
      <w:proofErr w:type="spellStart"/>
      <w:r w:rsidRPr="007F08F0">
        <w:rPr>
          <w:rFonts w:ascii="Times New Roman" w:hAnsi="Times New Roman" w:cs="Times New Roman"/>
          <w:i/>
          <w:sz w:val="24"/>
          <w:szCs w:val="24"/>
        </w:rPr>
        <w:t>Kawonde</w:t>
      </w:r>
      <w:proofErr w:type="spellEnd"/>
      <w:r w:rsidRPr="007F08F0">
        <w:rPr>
          <w:rFonts w:ascii="Times New Roman" w:hAnsi="Times New Roman" w:cs="Times New Roman"/>
          <w:sz w:val="24"/>
          <w:szCs w:val="24"/>
        </w:rPr>
        <w:t xml:space="preserve">, for </w:t>
      </w:r>
      <w:r w:rsidR="007F08F0">
        <w:rPr>
          <w:rFonts w:ascii="Times New Roman" w:hAnsi="Times New Roman" w:cs="Times New Roman"/>
          <w:sz w:val="24"/>
          <w:szCs w:val="24"/>
        </w:rPr>
        <w:t xml:space="preserve">the </w:t>
      </w:r>
      <w:r w:rsidRPr="007F08F0">
        <w:rPr>
          <w:rFonts w:ascii="Times New Roman" w:hAnsi="Times New Roman" w:cs="Times New Roman"/>
          <w:sz w:val="24"/>
          <w:szCs w:val="24"/>
        </w:rPr>
        <w:t>applicant</w:t>
      </w:r>
    </w:p>
    <w:p w:rsidR="003048A2" w:rsidRPr="007F08F0" w:rsidRDefault="003048A2" w:rsidP="007F08F0">
      <w:pPr>
        <w:pStyle w:val="NoSpacing"/>
        <w:spacing w:line="480" w:lineRule="auto"/>
        <w:rPr>
          <w:rFonts w:ascii="Times New Roman" w:hAnsi="Times New Roman" w:cs="Times New Roman"/>
          <w:sz w:val="24"/>
          <w:szCs w:val="24"/>
        </w:rPr>
      </w:pPr>
      <w:r w:rsidRPr="007F08F0">
        <w:rPr>
          <w:rFonts w:ascii="Times New Roman" w:hAnsi="Times New Roman" w:cs="Times New Roman"/>
          <w:i/>
          <w:sz w:val="24"/>
          <w:szCs w:val="24"/>
        </w:rPr>
        <w:t xml:space="preserve">P </w:t>
      </w:r>
      <w:proofErr w:type="spellStart"/>
      <w:r w:rsidRPr="007F08F0">
        <w:rPr>
          <w:rFonts w:ascii="Times New Roman" w:hAnsi="Times New Roman" w:cs="Times New Roman"/>
          <w:i/>
          <w:sz w:val="24"/>
          <w:szCs w:val="24"/>
        </w:rPr>
        <w:t>Ranchod</w:t>
      </w:r>
      <w:proofErr w:type="spellEnd"/>
      <w:r w:rsidRPr="007F08F0">
        <w:rPr>
          <w:rFonts w:ascii="Times New Roman" w:hAnsi="Times New Roman" w:cs="Times New Roman"/>
          <w:sz w:val="24"/>
          <w:szCs w:val="24"/>
        </w:rPr>
        <w:t>, for</w:t>
      </w:r>
      <w:r w:rsidR="00447027" w:rsidRPr="007F08F0">
        <w:rPr>
          <w:rFonts w:ascii="Times New Roman" w:hAnsi="Times New Roman" w:cs="Times New Roman"/>
          <w:sz w:val="24"/>
          <w:szCs w:val="24"/>
        </w:rPr>
        <w:t xml:space="preserve"> </w:t>
      </w:r>
      <w:r w:rsidR="007F08F0">
        <w:rPr>
          <w:rFonts w:ascii="Times New Roman" w:hAnsi="Times New Roman" w:cs="Times New Roman"/>
          <w:sz w:val="24"/>
          <w:szCs w:val="24"/>
        </w:rPr>
        <w:t xml:space="preserve">the </w:t>
      </w:r>
      <w:r w:rsidR="00447027" w:rsidRPr="007F08F0">
        <w:rPr>
          <w:rFonts w:ascii="Times New Roman" w:hAnsi="Times New Roman" w:cs="Times New Roman"/>
          <w:sz w:val="24"/>
          <w:szCs w:val="24"/>
        </w:rPr>
        <w:t>2</w:t>
      </w:r>
      <w:r w:rsidR="00447027" w:rsidRPr="007F08F0">
        <w:rPr>
          <w:rFonts w:ascii="Times New Roman" w:hAnsi="Times New Roman" w:cs="Times New Roman"/>
          <w:sz w:val="24"/>
          <w:szCs w:val="24"/>
          <w:vertAlign w:val="superscript"/>
        </w:rPr>
        <w:t>nd</w:t>
      </w:r>
      <w:r w:rsidR="00447027" w:rsidRPr="007F08F0">
        <w:rPr>
          <w:rFonts w:ascii="Times New Roman" w:hAnsi="Times New Roman" w:cs="Times New Roman"/>
          <w:sz w:val="24"/>
          <w:szCs w:val="24"/>
        </w:rPr>
        <w:t xml:space="preserve"> respondent</w:t>
      </w:r>
    </w:p>
    <w:p w:rsidR="00551832" w:rsidRPr="007F08F0" w:rsidRDefault="00551832" w:rsidP="00551832">
      <w:pPr>
        <w:pStyle w:val="NoSpacing"/>
        <w:rPr>
          <w:rFonts w:ascii="Times New Roman" w:hAnsi="Times New Roman" w:cs="Times New Roman"/>
          <w:sz w:val="24"/>
          <w:szCs w:val="24"/>
        </w:rPr>
      </w:pPr>
    </w:p>
    <w:p w:rsidR="001A030D" w:rsidRPr="007F08F0" w:rsidRDefault="00551832" w:rsidP="007F08F0">
      <w:pPr>
        <w:spacing w:line="360" w:lineRule="auto"/>
        <w:jc w:val="both"/>
        <w:rPr>
          <w:rFonts w:ascii="Times New Roman" w:hAnsi="Times New Roman" w:cs="Times New Roman"/>
          <w:sz w:val="24"/>
          <w:szCs w:val="24"/>
        </w:rPr>
      </w:pPr>
      <w:r w:rsidRPr="007F08F0">
        <w:rPr>
          <w:rFonts w:ascii="Times New Roman" w:hAnsi="Times New Roman" w:cs="Times New Roman"/>
          <w:sz w:val="24"/>
          <w:szCs w:val="24"/>
        </w:rPr>
        <w:t xml:space="preserve">                  TAGU J:</w:t>
      </w:r>
      <w:r w:rsidR="00054454" w:rsidRPr="007F08F0">
        <w:rPr>
          <w:rFonts w:ascii="Times New Roman" w:hAnsi="Times New Roman" w:cs="Times New Roman"/>
          <w:sz w:val="24"/>
          <w:szCs w:val="24"/>
        </w:rPr>
        <w:t xml:space="preserve"> This is an application for condonation of late noting of an application for review.</w:t>
      </w:r>
      <w:r w:rsidR="00BE2C9A" w:rsidRPr="007F08F0">
        <w:rPr>
          <w:rFonts w:ascii="Times New Roman" w:hAnsi="Times New Roman" w:cs="Times New Roman"/>
          <w:sz w:val="24"/>
          <w:szCs w:val="24"/>
        </w:rPr>
        <w:t xml:space="preserve"> The background to this matter is that the first respondent granted an arbitral award in favour of the second respondent on 17 December 2014. The award was registered with this court in Case No. HC 3360/15 </w:t>
      </w:r>
      <w:r w:rsidR="00812659">
        <w:rPr>
          <w:rFonts w:ascii="Times New Roman" w:hAnsi="Times New Roman" w:cs="Times New Roman"/>
          <w:sz w:val="24"/>
          <w:szCs w:val="24"/>
        </w:rPr>
        <w:t>i</w:t>
      </w:r>
      <w:r w:rsidR="00BE2C9A" w:rsidRPr="007F08F0">
        <w:rPr>
          <w:rFonts w:ascii="Times New Roman" w:hAnsi="Times New Roman" w:cs="Times New Roman"/>
          <w:sz w:val="24"/>
          <w:szCs w:val="24"/>
        </w:rPr>
        <w:t>n July 2015 and registration was not opposed by the applicant. The applicant was then represented by a legal practitioner. In an attempt to set aside the registration of the Arbitral Award the applicant thereafter filed three different applications in the High Court</w:t>
      </w:r>
      <w:r w:rsidR="006724A3" w:rsidRPr="007F08F0">
        <w:rPr>
          <w:rFonts w:ascii="Times New Roman" w:hAnsi="Times New Roman" w:cs="Times New Roman"/>
          <w:sz w:val="24"/>
          <w:szCs w:val="24"/>
        </w:rPr>
        <w:t xml:space="preserve">. Firstly the applicant filed an urgent chamber application in Case No. </w:t>
      </w:r>
      <w:proofErr w:type="gramStart"/>
      <w:r w:rsidR="006724A3" w:rsidRPr="007F08F0">
        <w:rPr>
          <w:rFonts w:ascii="Times New Roman" w:hAnsi="Times New Roman" w:cs="Times New Roman"/>
          <w:sz w:val="24"/>
          <w:szCs w:val="24"/>
        </w:rPr>
        <w:t>HC 10574/15.</w:t>
      </w:r>
      <w:proofErr w:type="gramEnd"/>
      <w:r w:rsidR="006724A3" w:rsidRPr="007F08F0">
        <w:rPr>
          <w:rFonts w:ascii="Times New Roman" w:hAnsi="Times New Roman" w:cs="Times New Roman"/>
          <w:sz w:val="24"/>
          <w:szCs w:val="24"/>
        </w:rPr>
        <w:t xml:space="preserve"> This application was dismissed. Secondly, the applicant filed an application for a declaratory order under case </w:t>
      </w:r>
      <w:proofErr w:type="gramStart"/>
      <w:r w:rsidR="006724A3" w:rsidRPr="007F08F0">
        <w:rPr>
          <w:rFonts w:ascii="Times New Roman" w:hAnsi="Times New Roman" w:cs="Times New Roman"/>
          <w:sz w:val="24"/>
          <w:szCs w:val="24"/>
        </w:rPr>
        <w:t>No</w:t>
      </w:r>
      <w:proofErr w:type="gramEnd"/>
      <w:r w:rsidR="006724A3" w:rsidRPr="007F08F0">
        <w:rPr>
          <w:rFonts w:ascii="Times New Roman" w:hAnsi="Times New Roman" w:cs="Times New Roman"/>
          <w:sz w:val="24"/>
          <w:szCs w:val="24"/>
        </w:rPr>
        <w:t xml:space="preserve">. </w:t>
      </w:r>
      <w:proofErr w:type="gramStart"/>
      <w:r w:rsidR="006724A3" w:rsidRPr="007F08F0">
        <w:rPr>
          <w:rFonts w:ascii="Times New Roman" w:hAnsi="Times New Roman" w:cs="Times New Roman"/>
          <w:sz w:val="24"/>
          <w:szCs w:val="24"/>
        </w:rPr>
        <w:t>HC 10804/15.</w:t>
      </w:r>
      <w:proofErr w:type="gramEnd"/>
      <w:r w:rsidR="006724A3" w:rsidRPr="007F08F0">
        <w:rPr>
          <w:rFonts w:ascii="Times New Roman" w:hAnsi="Times New Roman" w:cs="Times New Roman"/>
          <w:sz w:val="24"/>
          <w:szCs w:val="24"/>
        </w:rPr>
        <w:t xml:space="preserve"> Again this application was dismissed. In a spirited effort to frustrate the arbitral award the applicant filed a third application for an Interpleader Proceedings under case </w:t>
      </w:r>
      <w:proofErr w:type="gramStart"/>
      <w:r w:rsidR="006724A3" w:rsidRPr="007F08F0">
        <w:rPr>
          <w:rFonts w:ascii="Times New Roman" w:hAnsi="Times New Roman" w:cs="Times New Roman"/>
          <w:sz w:val="24"/>
          <w:szCs w:val="24"/>
        </w:rPr>
        <w:t>No</w:t>
      </w:r>
      <w:proofErr w:type="gramEnd"/>
      <w:r w:rsidR="006724A3" w:rsidRPr="007F08F0">
        <w:rPr>
          <w:rFonts w:ascii="Times New Roman" w:hAnsi="Times New Roman" w:cs="Times New Roman"/>
          <w:sz w:val="24"/>
          <w:szCs w:val="24"/>
        </w:rPr>
        <w:t>. HC 07/16</w:t>
      </w:r>
      <w:r w:rsidR="007E17DD" w:rsidRPr="007F08F0">
        <w:rPr>
          <w:rFonts w:ascii="Times New Roman" w:hAnsi="Times New Roman" w:cs="Times New Roman"/>
          <w:sz w:val="24"/>
          <w:szCs w:val="24"/>
        </w:rPr>
        <w:t>. The third application was again dismissed. While these legal battles were going on and the applications dismissed the Arbitral Award was executed and the applicant’s assets were sold.</w:t>
      </w:r>
      <w:r w:rsidR="001A030D" w:rsidRPr="007F08F0">
        <w:rPr>
          <w:rFonts w:ascii="Times New Roman" w:hAnsi="Times New Roman" w:cs="Times New Roman"/>
          <w:sz w:val="24"/>
          <w:szCs w:val="24"/>
        </w:rPr>
        <w:t xml:space="preserve"> The applicant now seeks for the fourth time to have the Arbitral Award reviewed on the basis that the first respondent failed to read and interpret the contract between himself and the second respondent.</w:t>
      </w:r>
    </w:p>
    <w:p w:rsidR="00DF53CF" w:rsidRPr="007F08F0" w:rsidRDefault="001A030D" w:rsidP="007F08F0">
      <w:pPr>
        <w:spacing w:after="0" w:line="360" w:lineRule="auto"/>
        <w:ind w:firstLine="720"/>
        <w:jc w:val="both"/>
        <w:rPr>
          <w:rFonts w:ascii="Times New Roman" w:hAnsi="Times New Roman" w:cs="Times New Roman"/>
          <w:sz w:val="24"/>
          <w:szCs w:val="24"/>
        </w:rPr>
      </w:pPr>
      <w:r w:rsidRPr="007F08F0">
        <w:rPr>
          <w:rFonts w:ascii="Times New Roman" w:hAnsi="Times New Roman" w:cs="Times New Roman"/>
          <w:sz w:val="24"/>
          <w:szCs w:val="24"/>
        </w:rPr>
        <w:lastRenderedPageBreak/>
        <w:t>The applicant submitted that because of lack of proper legal advice</w:t>
      </w:r>
      <w:r w:rsidR="00540F09" w:rsidRPr="007F08F0">
        <w:rPr>
          <w:rFonts w:ascii="Times New Roman" w:hAnsi="Times New Roman" w:cs="Times New Roman"/>
          <w:sz w:val="24"/>
          <w:szCs w:val="24"/>
        </w:rPr>
        <w:t xml:space="preserve"> from Allied Legal Aid Society</w:t>
      </w:r>
      <w:r w:rsidRPr="007F08F0">
        <w:rPr>
          <w:rFonts w:ascii="Times New Roman" w:hAnsi="Times New Roman" w:cs="Times New Roman"/>
          <w:sz w:val="24"/>
          <w:szCs w:val="24"/>
        </w:rPr>
        <w:t xml:space="preserve"> at the time of the grant of the order, he did not take appropriate action until the second respondent obtained a writ of</w:t>
      </w:r>
      <w:r w:rsidR="00A67730" w:rsidRPr="007F08F0">
        <w:rPr>
          <w:rFonts w:ascii="Times New Roman" w:hAnsi="Times New Roman" w:cs="Times New Roman"/>
          <w:sz w:val="24"/>
          <w:szCs w:val="24"/>
        </w:rPr>
        <w:t xml:space="preserve"> execution against movable property </w:t>
      </w:r>
      <w:r w:rsidR="00812659">
        <w:rPr>
          <w:rFonts w:ascii="Times New Roman" w:hAnsi="Times New Roman" w:cs="Times New Roman"/>
          <w:sz w:val="24"/>
          <w:szCs w:val="24"/>
        </w:rPr>
        <w:t>i</w:t>
      </w:r>
      <w:r w:rsidR="00A67730" w:rsidRPr="007F08F0">
        <w:rPr>
          <w:rFonts w:ascii="Times New Roman" w:hAnsi="Times New Roman" w:cs="Times New Roman"/>
          <w:sz w:val="24"/>
          <w:szCs w:val="24"/>
        </w:rPr>
        <w:t xml:space="preserve">n August 2015 which culminated in the attachment of his property. As a result he failed to file his application </w:t>
      </w:r>
      <w:r w:rsidR="007E0D66" w:rsidRPr="007F08F0">
        <w:rPr>
          <w:rFonts w:ascii="Times New Roman" w:hAnsi="Times New Roman" w:cs="Times New Roman"/>
          <w:sz w:val="24"/>
          <w:szCs w:val="24"/>
        </w:rPr>
        <w:t>by Febr</w:t>
      </w:r>
      <w:r w:rsidR="00A67730" w:rsidRPr="007F08F0">
        <w:rPr>
          <w:rFonts w:ascii="Times New Roman" w:hAnsi="Times New Roman" w:cs="Times New Roman"/>
          <w:sz w:val="24"/>
          <w:szCs w:val="24"/>
        </w:rPr>
        <w:t xml:space="preserve">uary 2015, within 8 weeks of the order in terms of the rules. </w:t>
      </w:r>
      <w:r w:rsidR="00DE2638" w:rsidRPr="007F08F0">
        <w:rPr>
          <w:rFonts w:ascii="Times New Roman" w:hAnsi="Times New Roman" w:cs="Times New Roman"/>
          <w:sz w:val="24"/>
          <w:szCs w:val="24"/>
        </w:rPr>
        <w:t>He submitted further that it would be in the interest of justice for him to be allowed to file the application for review out of time to pave way for a decision to be made in the matter on the merits.</w:t>
      </w:r>
    </w:p>
    <w:p w:rsidR="00DF53CF" w:rsidRPr="007F08F0" w:rsidRDefault="00DF53CF" w:rsidP="007F08F0">
      <w:pPr>
        <w:spacing w:after="0" w:line="360" w:lineRule="auto"/>
        <w:ind w:firstLine="720"/>
        <w:jc w:val="both"/>
        <w:rPr>
          <w:rFonts w:ascii="Times New Roman" w:hAnsi="Times New Roman" w:cs="Times New Roman"/>
          <w:sz w:val="24"/>
          <w:szCs w:val="24"/>
        </w:rPr>
      </w:pPr>
      <w:r w:rsidRPr="007F08F0">
        <w:rPr>
          <w:rFonts w:ascii="Times New Roman" w:hAnsi="Times New Roman" w:cs="Times New Roman"/>
          <w:sz w:val="24"/>
          <w:szCs w:val="24"/>
        </w:rPr>
        <w:t xml:space="preserve">The </w:t>
      </w:r>
      <w:r w:rsidR="005A1B19" w:rsidRPr="007F08F0">
        <w:rPr>
          <w:rFonts w:ascii="Times New Roman" w:hAnsi="Times New Roman" w:cs="Times New Roman"/>
          <w:sz w:val="24"/>
          <w:szCs w:val="24"/>
        </w:rPr>
        <w:t>application for condonation wa</w:t>
      </w:r>
      <w:r w:rsidRPr="007F08F0">
        <w:rPr>
          <w:rFonts w:ascii="Times New Roman" w:hAnsi="Times New Roman" w:cs="Times New Roman"/>
          <w:sz w:val="24"/>
          <w:szCs w:val="24"/>
        </w:rPr>
        <w:t>s opposed by the second respondent</w:t>
      </w:r>
      <w:r w:rsidR="005A1B19" w:rsidRPr="007F08F0">
        <w:rPr>
          <w:rFonts w:ascii="Times New Roman" w:hAnsi="Times New Roman" w:cs="Times New Roman"/>
          <w:sz w:val="24"/>
          <w:szCs w:val="24"/>
        </w:rPr>
        <w:t xml:space="preserve"> on the basis that the requirements for condonation have not been satisfied</w:t>
      </w:r>
      <w:r w:rsidRPr="007F08F0">
        <w:rPr>
          <w:rFonts w:ascii="Times New Roman" w:hAnsi="Times New Roman" w:cs="Times New Roman"/>
          <w:sz w:val="24"/>
          <w:szCs w:val="24"/>
        </w:rPr>
        <w:t>.</w:t>
      </w:r>
    </w:p>
    <w:p w:rsidR="00154A36" w:rsidRPr="007F08F0" w:rsidRDefault="00405074" w:rsidP="007F08F0">
      <w:pPr>
        <w:jc w:val="both"/>
        <w:rPr>
          <w:rFonts w:ascii="Times New Roman" w:hAnsi="Times New Roman" w:cs="Times New Roman"/>
          <w:b/>
          <w:sz w:val="24"/>
          <w:szCs w:val="24"/>
        </w:rPr>
      </w:pPr>
      <w:r w:rsidRPr="007F08F0">
        <w:rPr>
          <w:rFonts w:ascii="Times New Roman" w:hAnsi="Times New Roman" w:cs="Times New Roman"/>
          <w:b/>
          <w:sz w:val="24"/>
          <w:szCs w:val="24"/>
        </w:rPr>
        <w:t>THE LAW</w:t>
      </w:r>
    </w:p>
    <w:p w:rsidR="00405074" w:rsidRPr="007F08F0" w:rsidRDefault="00405074" w:rsidP="007F08F0">
      <w:pPr>
        <w:spacing w:line="360" w:lineRule="auto"/>
        <w:ind w:firstLine="720"/>
        <w:jc w:val="both"/>
        <w:rPr>
          <w:rFonts w:ascii="Times New Roman" w:hAnsi="Times New Roman" w:cs="Times New Roman"/>
          <w:sz w:val="24"/>
          <w:szCs w:val="24"/>
        </w:rPr>
      </w:pPr>
      <w:r w:rsidRPr="007F08F0">
        <w:rPr>
          <w:rFonts w:ascii="Times New Roman" w:hAnsi="Times New Roman" w:cs="Times New Roman"/>
          <w:sz w:val="24"/>
          <w:szCs w:val="24"/>
        </w:rPr>
        <w:t xml:space="preserve">In applications of this nature the principles that guide this court in granting or refusing condonation of non-compliance with its rules are the same with respect to appeals and reviews. In the determination of an application for condonation and extension of time within which to appeal, the factors a court has to consider have been stated in numerous decisions of this court and the Supreme Court. In </w:t>
      </w:r>
      <w:proofErr w:type="spellStart"/>
      <w:r w:rsidRPr="007F08F0">
        <w:rPr>
          <w:rFonts w:ascii="Times New Roman" w:hAnsi="Times New Roman" w:cs="Times New Roman"/>
          <w:i/>
          <w:sz w:val="24"/>
          <w:szCs w:val="24"/>
        </w:rPr>
        <w:t>Maheya</w:t>
      </w:r>
      <w:proofErr w:type="spellEnd"/>
      <w:r w:rsidRPr="007F08F0">
        <w:rPr>
          <w:rFonts w:ascii="Times New Roman" w:hAnsi="Times New Roman" w:cs="Times New Roman"/>
          <w:sz w:val="24"/>
          <w:szCs w:val="24"/>
        </w:rPr>
        <w:t xml:space="preserve"> v </w:t>
      </w:r>
      <w:r w:rsidRPr="007F08F0">
        <w:rPr>
          <w:rFonts w:ascii="Times New Roman" w:hAnsi="Times New Roman" w:cs="Times New Roman"/>
          <w:i/>
          <w:sz w:val="24"/>
          <w:szCs w:val="24"/>
        </w:rPr>
        <w:t>Independent African Church</w:t>
      </w:r>
      <w:r w:rsidRPr="007F08F0">
        <w:rPr>
          <w:rFonts w:ascii="Times New Roman" w:hAnsi="Times New Roman" w:cs="Times New Roman"/>
          <w:sz w:val="24"/>
          <w:szCs w:val="24"/>
        </w:rPr>
        <w:t xml:space="preserve"> S-58-07 it was stated at p 5 of the cyclostyled judgment that</w:t>
      </w:r>
      <w:r w:rsidR="00F702D6" w:rsidRPr="007F08F0">
        <w:rPr>
          <w:rFonts w:ascii="Times New Roman" w:hAnsi="Times New Roman" w:cs="Times New Roman"/>
          <w:sz w:val="24"/>
          <w:szCs w:val="24"/>
        </w:rPr>
        <w:t>:</w:t>
      </w:r>
    </w:p>
    <w:p w:rsidR="00F702D6" w:rsidRPr="007F08F0" w:rsidRDefault="00F702D6" w:rsidP="007F08F0">
      <w:pPr>
        <w:ind w:left="720"/>
        <w:jc w:val="both"/>
        <w:rPr>
          <w:rFonts w:ascii="Times New Roman" w:hAnsi="Times New Roman" w:cs="Times New Roman"/>
          <w:sz w:val="24"/>
          <w:szCs w:val="24"/>
        </w:rPr>
      </w:pPr>
      <w:r w:rsidRPr="007F08F0">
        <w:rPr>
          <w:rFonts w:ascii="Times New Roman" w:hAnsi="Times New Roman" w:cs="Times New Roman"/>
          <w:sz w:val="24"/>
          <w:szCs w:val="24"/>
        </w:rPr>
        <w:t>“</w:t>
      </w:r>
      <w:r w:rsidRPr="007F08F0">
        <w:rPr>
          <w:rFonts w:ascii="Times New Roman" w:hAnsi="Times New Roman" w:cs="Times New Roman"/>
        </w:rPr>
        <w:t>In considering applications for condonation of non-compliance with its rules the court has discretion which it has to exercise judicially in the sense that it has to consider all the factors and apply established principles bearing in mind that it has to do justice. Some of the relevant factors that may be considered and weighed one against the other are: the degree of non-compliance, the explanation therefor, the prospects of success on appeal, the importance of the case, the Respondent’s interests in the finality of the judgment, the convenience to the court and the avoidance of unnecessary delays in the administration of justice</w:t>
      </w:r>
      <w:r w:rsidRPr="007F08F0">
        <w:rPr>
          <w:rFonts w:ascii="Times New Roman" w:hAnsi="Times New Roman" w:cs="Times New Roman"/>
          <w:sz w:val="24"/>
          <w:szCs w:val="24"/>
        </w:rPr>
        <w:t>.”</w:t>
      </w:r>
    </w:p>
    <w:p w:rsidR="001F50A6" w:rsidRPr="007F08F0" w:rsidRDefault="001A030D" w:rsidP="007F08F0">
      <w:pPr>
        <w:spacing w:line="360" w:lineRule="auto"/>
        <w:jc w:val="both"/>
        <w:rPr>
          <w:rFonts w:ascii="Times New Roman" w:hAnsi="Times New Roman" w:cs="Times New Roman"/>
          <w:sz w:val="24"/>
          <w:szCs w:val="24"/>
        </w:rPr>
      </w:pPr>
      <w:r w:rsidRPr="007F08F0">
        <w:rPr>
          <w:rFonts w:ascii="Times New Roman" w:hAnsi="Times New Roman" w:cs="Times New Roman"/>
          <w:sz w:val="24"/>
          <w:szCs w:val="24"/>
        </w:rPr>
        <w:t xml:space="preserve"> </w:t>
      </w:r>
      <w:r w:rsidR="007F08F0">
        <w:rPr>
          <w:rFonts w:ascii="Times New Roman" w:hAnsi="Times New Roman" w:cs="Times New Roman"/>
          <w:sz w:val="24"/>
          <w:szCs w:val="24"/>
        </w:rPr>
        <w:tab/>
      </w:r>
      <w:r w:rsidR="009A462D" w:rsidRPr="007F08F0">
        <w:rPr>
          <w:rFonts w:ascii="Times New Roman" w:hAnsi="Times New Roman" w:cs="Times New Roman"/>
          <w:sz w:val="24"/>
          <w:szCs w:val="24"/>
        </w:rPr>
        <w:t xml:space="preserve">The same rules were applied by </w:t>
      </w:r>
      <w:proofErr w:type="spellStart"/>
      <w:r w:rsidR="009A462D" w:rsidRPr="007F08F0">
        <w:rPr>
          <w:rFonts w:ascii="Times New Roman" w:hAnsi="Times New Roman" w:cs="Times New Roman"/>
          <w:smallCaps/>
          <w:sz w:val="24"/>
          <w:szCs w:val="24"/>
        </w:rPr>
        <w:t>Chidyausiku</w:t>
      </w:r>
      <w:proofErr w:type="spellEnd"/>
      <w:r w:rsidR="009A462D" w:rsidRPr="007F08F0">
        <w:rPr>
          <w:rFonts w:ascii="Times New Roman" w:hAnsi="Times New Roman" w:cs="Times New Roman"/>
          <w:sz w:val="24"/>
          <w:szCs w:val="24"/>
        </w:rPr>
        <w:t xml:space="preserve"> CJ in dismissing an appeal from the High Court against refusal to grant condonation of late noting of review in the case of </w:t>
      </w:r>
      <w:proofErr w:type="spellStart"/>
      <w:r w:rsidR="009A462D" w:rsidRPr="007F08F0">
        <w:rPr>
          <w:rFonts w:ascii="Times New Roman" w:hAnsi="Times New Roman" w:cs="Times New Roman"/>
          <w:i/>
          <w:sz w:val="24"/>
          <w:szCs w:val="24"/>
        </w:rPr>
        <w:t>Muroiwa</w:t>
      </w:r>
      <w:proofErr w:type="spellEnd"/>
      <w:r w:rsidR="009A462D" w:rsidRPr="007F08F0">
        <w:rPr>
          <w:rFonts w:ascii="Times New Roman" w:hAnsi="Times New Roman" w:cs="Times New Roman"/>
          <w:sz w:val="24"/>
          <w:szCs w:val="24"/>
        </w:rPr>
        <w:t xml:space="preserve"> v </w:t>
      </w:r>
      <w:r w:rsidR="009A462D" w:rsidRPr="007F08F0">
        <w:rPr>
          <w:rFonts w:ascii="Times New Roman" w:hAnsi="Times New Roman" w:cs="Times New Roman"/>
          <w:i/>
          <w:sz w:val="24"/>
          <w:szCs w:val="24"/>
        </w:rPr>
        <w:t>Delta Operations</w:t>
      </w:r>
      <w:r w:rsidR="001F50A6" w:rsidRPr="007F08F0">
        <w:rPr>
          <w:rFonts w:ascii="Times New Roman" w:hAnsi="Times New Roman" w:cs="Times New Roman"/>
          <w:i/>
          <w:sz w:val="24"/>
          <w:szCs w:val="24"/>
        </w:rPr>
        <w:t xml:space="preserve"> Ltd &amp; Anor</w:t>
      </w:r>
      <w:r w:rsidR="001F50A6" w:rsidRPr="007F08F0">
        <w:rPr>
          <w:rFonts w:ascii="Times New Roman" w:hAnsi="Times New Roman" w:cs="Times New Roman"/>
          <w:sz w:val="24"/>
          <w:szCs w:val="24"/>
        </w:rPr>
        <w:t xml:space="preserve"> 2002 (2) ZLR 30 (S) at p 4 of the judgement where he commented as follows</w:t>
      </w:r>
      <w:r w:rsidR="007F08F0">
        <w:rPr>
          <w:rFonts w:ascii="Times New Roman" w:hAnsi="Times New Roman" w:cs="Times New Roman"/>
          <w:sz w:val="24"/>
          <w:szCs w:val="24"/>
        </w:rPr>
        <w:t>:</w:t>
      </w:r>
    </w:p>
    <w:p w:rsidR="001F50A6" w:rsidRPr="007F08F0" w:rsidRDefault="001F50A6" w:rsidP="007F08F0">
      <w:pPr>
        <w:ind w:left="720"/>
        <w:jc w:val="both"/>
        <w:rPr>
          <w:rFonts w:ascii="Times New Roman" w:hAnsi="Times New Roman" w:cs="Times New Roman"/>
          <w:sz w:val="24"/>
          <w:szCs w:val="24"/>
        </w:rPr>
      </w:pPr>
      <w:r w:rsidRPr="007F08F0">
        <w:rPr>
          <w:rFonts w:ascii="Times New Roman" w:hAnsi="Times New Roman" w:cs="Times New Roman"/>
          <w:sz w:val="24"/>
          <w:szCs w:val="24"/>
        </w:rPr>
        <w:t>“In dismissing the application for condonation, the learned judge in this case took into account:</w:t>
      </w:r>
    </w:p>
    <w:p w:rsidR="001F50A6" w:rsidRPr="007F08F0" w:rsidRDefault="001F50A6" w:rsidP="007F08F0">
      <w:pPr>
        <w:pStyle w:val="ListParagraph"/>
        <w:numPr>
          <w:ilvl w:val="0"/>
          <w:numId w:val="1"/>
        </w:numPr>
        <w:jc w:val="both"/>
        <w:rPr>
          <w:rFonts w:ascii="Times New Roman" w:hAnsi="Times New Roman" w:cs="Times New Roman"/>
        </w:rPr>
      </w:pPr>
      <w:r w:rsidRPr="007F08F0">
        <w:rPr>
          <w:rFonts w:ascii="Times New Roman" w:hAnsi="Times New Roman" w:cs="Times New Roman"/>
        </w:rPr>
        <w:t>The duration of the delay.</w:t>
      </w:r>
    </w:p>
    <w:p w:rsidR="001F50A6" w:rsidRPr="007F08F0" w:rsidRDefault="001F50A6" w:rsidP="007F08F0">
      <w:pPr>
        <w:pStyle w:val="ListParagraph"/>
        <w:numPr>
          <w:ilvl w:val="0"/>
          <w:numId w:val="1"/>
        </w:numPr>
        <w:jc w:val="both"/>
        <w:rPr>
          <w:rFonts w:ascii="Times New Roman" w:hAnsi="Times New Roman" w:cs="Times New Roman"/>
        </w:rPr>
      </w:pPr>
      <w:r w:rsidRPr="007F08F0">
        <w:rPr>
          <w:rFonts w:ascii="Times New Roman" w:hAnsi="Times New Roman" w:cs="Times New Roman"/>
        </w:rPr>
        <w:t>The explanation for the delay.</w:t>
      </w:r>
    </w:p>
    <w:p w:rsidR="001F50A6" w:rsidRPr="007F08F0" w:rsidRDefault="001F50A6" w:rsidP="007F08F0">
      <w:pPr>
        <w:pStyle w:val="ListParagraph"/>
        <w:numPr>
          <w:ilvl w:val="0"/>
          <w:numId w:val="1"/>
        </w:numPr>
        <w:jc w:val="both"/>
        <w:rPr>
          <w:rFonts w:ascii="Times New Roman" w:hAnsi="Times New Roman" w:cs="Times New Roman"/>
          <w:sz w:val="24"/>
          <w:szCs w:val="24"/>
        </w:rPr>
      </w:pPr>
      <w:r w:rsidRPr="007F08F0">
        <w:rPr>
          <w:rFonts w:ascii="Times New Roman" w:hAnsi="Times New Roman" w:cs="Times New Roman"/>
        </w:rPr>
        <w:t>The appellant’s prospects of success on the merits</w:t>
      </w:r>
      <w:r w:rsidRPr="007F08F0">
        <w:rPr>
          <w:rFonts w:ascii="Times New Roman" w:hAnsi="Times New Roman" w:cs="Times New Roman"/>
          <w:sz w:val="24"/>
          <w:szCs w:val="24"/>
        </w:rPr>
        <w:t>.</w:t>
      </w:r>
    </w:p>
    <w:p w:rsidR="005A5DDD" w:rsidRPr="007F08F0" w:rsidRDefault="001F50A6" w:rsidP="007F08F0">
      <w:pPr>
        <w:spacing w:line="240" w:lineRule="auto"/>
        <w:ind w:left="720"/>
        <w:jc w:val="both"/>
        <w:rPr>
          <w:rFonts w:ascii="Times New Roman" w:hAnsi="Times New Roman" w:cs="Times New Roman"/>
          <w:sz w:val="24"/>
          <w:szCs w:val="24"/>
        </w:rPr>
      </w:pPr>
      <w:r w:rsidRPr="007F08F0">
        <w:rPr>
          <w:rFonts w:ascii="Times New Roman" w:hAnsi="Times New Roman" w:cs="Times New Roman"/>
        </w:rPr>
        <w:lastRenderedPageBreak/>
        <w:t>The above factors were relevant to the issue the learned judge had to determine. Accordingly, there was no misdirection. The learned judge concluded that the delay in this case was inordinate. It is common cause that the determination sought to be reviewed was made on 2 April 1998 and the review was launched in August 2000. There is no doubt that the learned judge was correct in concluding that this delay, in excess of two years was inordinate</w:t>
      </w:r>
      <w:r w:rsidRPr="007F08F0">
        <w:rPr>
          <w:rFonts w:ascii="Times New Roman" w:hAnsi="Times New Roman" w:cs="Times New Roman"/>
          <w:sz w:val="24"/>
          <w:szCs w:val="24"/>
        </w:rPr>
        <w:t>.”</w:t>
      </w:r>
    </w:p>
    <w:p w:rsidR="005A5DDD" w:rsidRPr="007F08F0" w:rsidRDefault="005A5DDD" w:rsidP="007F08F0">
      <w:pPr>
        <w:jc w:val="both"/>
        <w:rPr>
          <w:rFonts w:ascii="Times New Roman" w:hAnsi="Times New Roman" w:cs="Times New Roman"/>
          <w:b/>
          <w:sz w:val="24"/>
          <w:szCs w:val="24"/>
        </w:rPr>
      </w:pPr>
      <w:r w:rsidRPr="007F08F0">
        <w:rPr>
          <w:rFonts w:ascii="Times New Roman" w:hAnsi="Times New Roman" w:cs="Times New Roman"/>
          <w:b/>
          <w:sz w:val="24"/>
          <w:szCs w:val="24"/>
        </w:rPr>
        <w:t>APPLYING THE LAW TO THE FACTS</w:t>
      </w:r>
    </w:p>
    <w:p w:rsidR="005A5DDD" w:rsidRPr="007F08F0" w:rsidRDefault="005A5DDD" w:rsidP="007F08F0">
      <w:pPr>
        <w:pStyle w:val="ListParagraph"/>
        <w:numPr>
          <w:ilvl w:val="0"/>
          <w:numId w:val="2"/>
        </w:numPr>
        <w:jc w:val="both"/>
        <w:rPr>
          <w:rFonts w:ascii="Times New Roman" w:hAnsi="Times New Roman" w:cs="Times New Roman"/>
          <w:b/>
          <w:sz w:val="24"/>
          <w:szCs w:val="24"/>
        </w:rPr>
      </w:pPr>
      <w:r w:rsidRPr="007F08F0">
        <w:rPr>
          <w:rFonts w:ascii="Times New Roman" w:hAnsi="Times New Roman" w:cs="Times New Roman"/>
          <w:b/>
          <w:sz w:val="24"/>
          <w:szCs w:val="24"/>
        </w:rPr>
        <w:t>Whether or not the delay in noting the application for review was inordinate?</w:t>
      </w:r>
    </w:p>
    <w:p w:rsidR="00166915" w:rsidRPr="007F08F0" w:rsidRDefault="005A5DDD" w:rsidP="007F08F0">
      <w:pPr>
        <w:spacing w:line="360" w:lineRule="auto"/>
        <w:ind w:firstLine="720"/>
        <w:jc w:val="both"/>
        <w:rPr>
          <w:rFonts w:ascii="Times New Roman" w:hAnsi="Times New Roman" w:cs="Times New Roman"/>
          <w:sz w:val="24"/>
          <w:szCs w:val="24"/>
        </w:rPr>
      </w:pPr>
      <w:r w:rsidRPr="007F08F0">
        <w:rPr>
          <w:rFonts w:ascii="Times New Roman" w:hAnsi="Times New Roman" w:cs="Times New Roman"/>
          <w:sz w:val="24"/>
          <w:szCs w:val="24"/>
        </w:rPr>
        <w:t xml:space="preserve">In </w:t>
      </w:r>
      <w:proofErr w:type="spellStart"/>
      <w:r w:rsidRPr="007F08F0">
        <w:rPr>
          <w:rFonts w:ascii="Times New Roman" w:hAnsi="Times New Roman" w:cs="Times New Roman"/>
          <w:i/>
          <w:sz w:val="24"/>
          <w:szCs w:val="24"/>
        </w:rPr>
        <w:t>casu</w:t>
      </w:r>
      <w:proofErr w:type="spellEnd"/>
      <w:r w:rsidRPr="007F08F0">
        <w:rPr>
          <w:rFonts w:ascii="Times New Roman" w:hAnsi="Times New Roman" w:cs="Times New Roman"/>
          <w:sz w:val="24"/>
          <w:szCs w:val="24"/>
        </w:rPr>
        <w:t xml:space="preserve"> the first respondent granted an arbitral award in favour of the second respondent on 17 December 2014 which award was subsequently registered unopposed with this court on 1 July 2015 under case HC 3360/15. In terms of the rules the applicant ought to have filed his application for review within 8 weeks from the 17</w:t>
      </w:r>
      <w:r w:rsidRPr="007F08F0">
        <w:rPr>
          <w:rFonts w:ascii="Times New Roman" w:hAnsi="Times New Roman" w:cs="Times New Roman"/>
          <w:sz w:val="24"/>
          <w:szCs w:val="24"/>
          <w:vertAlign w:val="superscript"/>
        </w:rPr>
        <w:t>th</w:t>
      </w:r>
      <w:r w:rsidRPr="007F08F0">
        <w:rPr>
          <w:rFonts w:ascii="Times New Roman" w:hAnsi="Times New Roman" w:cs="Times New Roman"/>
          <w:sz w:val="24"/>
          <w:szCs w:val="24"/>
        </w:rPr>
        <w:t xml:space="preserve"> December 2014.</w:t>
      </w:r>
      <w:r w:rsidR="00200CD8" w:rsidRPr="007F08F0">
        <w:rPr>
          <w:rFonts w:ascii="Times New Roman" w:hAnsi="Times New Roman" w:cs="Times New Roman"/>
          <w:sz w:val="24"/>
          <w:szCs w:val="24"/>
        </w:rPr>
        <w:t xml:space="preserve"> For </w:t>
      </w:r>
      <w:r w:rsidR="00D76F20" w:rsidRPr="007F08F0">
        <w:rPr>
          <w:rFonts w:ascii="Times New Roman" w:hAnsi="Times New Roman" w:cs="Times New Roman"/>
          <w:sz w:val="24"/>
          <w:szCs w:val="24"/>
        </w:rPr>
        <w:t>a period in excess of one year</w:t>
      </w:r>
      <w:r w:rsidR="00200CD8" w:rsidRPr="007F08F0">
        <w:rPr>
          <w:rFonts w:ascii="Times New Roman" w:hAnsi="Times New Roman" w:cs="Times New Roman"/>
          <w:sz w:val="24"/>
          <w:szCs w:val="24"/>
        </w:rPr>
        <w:t xml:space="preserve"> the applicant did not file his application for review. He in fact lodged three separate applications with this court all of which were dismissed.</w:t>
      </w:r>
      <w:r w:rsidR="00166915" w:rsidRPr="007F08F0">
        <w:rPr>
          <w:rFonts w:ascii="Times New Roman" w:hAnsi="Times New Roman" w:cs="Times New Roman"/>
          <w:sz w:val="24"/>
          <w:szCs w:val="24"/>
        </w:rPr>
        <w:t xml:space="preserve"> The application for review was filed on 18 February 2016 which was about 12 months out of time.</w:t>
      </w:r>
      <w:r w:rsidR="00200CD8" w:rsidRPr="007F08F0">
        <w:rPr>
          <w:rFonts w:ascii="Times New Roman" w:hAnsi="Times New Roman" w:cs="Times New Roman"/>
          <w:sz w:val="24"/>
          <w:szCs w:val="24"/>
        </w:rPr>
        <w:t xml:space="preserve"> On the face of it the delay in filing the application for review was inordinate.</w:t>
      </w:r>
      <w:r w:rsidR="00166915" w:rsidRPr="007F08F0">
        <w:rPr>
          <w:rFonts w:ascii="Times New Roman" w:hAnsi="Times New Roman" w:cs="Times New Roman"/>
          <w:sz w:val="24"/>
          <w:szCs w:val="24"/>
        </w:rPr>
        <w:t xml:space="preserve"> See </w:t>
      </w:r>
      <w:proofErr w:type="spellStart"/>
      <w:r w:rsidR="00166915" w:rsidRPr="00A94A24">
        <w:rPr>
          <w:rFonts w:ascii="Times New Roman" w:hAnsi="Times New Roman" w:cs="Times New Roman"/>
          <w:i/>
          <w:sz w:val="24"/>
          <w:szCs w:val="24"/>
        </w:rPr>
        <w:t>Muroyiwa</w:t>
      </w:r>
      <w:proofErr w:type="spellEnd"/>
      <w:r w:rsidR="00166915" w:rsidRPr="007F08F0">
        <w:rPr>
          <w:rFonts w:ascii="Times New Roman" w:hAnsi="Times New Roman" w:cs="Times New Roman"/>
          <w:sz w:val="24"/>
          <w:szCs w:val="24"/>
        </w:rPr>
        <w:t xml:space="preserve"> v </w:t>
      </w:r>
      <w:r w:rsidR="00166915" w:rsidRPr="00A94A24">
        <w:rPr>
          <w:rFonts w:ascii="Times New Roman" w:hAnsi="Times New Roman" w:cs="Times New Roman"/>
          <w:i/>
          <w:sz w:val="24"/>
          <w:szCs w:val="24"/>
        </w:rPr>
        <w:t>Delta Operations Ltd &amp; Anor supra</w:t>
      </w:r>
      <w:r w:rsidR="00166915" w:rsidRPr="007F08F0">
        <w:rPr>
          <w:rFonts w:ascii="Times New Roman" w:hAnsi="Times New Roman" w:cs="Times New Roman"/>
          <w:sz w:val="24"/>
          <w:szCs w:val="24"/>
        </w:rPr>
        <w:t>.</w:t>
      </w:r>
    </w:p>
    <w:p w:rsidR="003D430A" w:rsidRPr="007F08F0" w:rsidRDefault="003D430A" w:rsidP="007F08F0">
      <w:pPr>
        <w:pStyle w:val="ListParagraph"/>
        <w:numPr>
          <w:ilvl w:val="0"/>
          <w:numId w:val="2"/>
        </w:numPr>
        <w:jc w:val="both"/>
        <w:rPr>
          <w:rFonts w:ascii="Times New Roman" w:hAnsi="Times New Roman" w:cs="Times New Roman"/>
          <w:b/>
          <w:sz w:val="24"/>
          <w:szCs w:val="24"/>
        </w:rPr>
      </w:pPr>
      <w:r w:rsidRPr="007F08F0">
        <w:rPr>
          <w:rFonts w:ascii="Times New Roman" w:hAnsi="Times New Roman" w:cs="Times New Roman"/>
          <w:b/>
          <w:sz w:val="24"/>
          <w:szCs w:val="24"/>
        </w:rPr>
        <w:t>Whether or not the explanation for the delay was reasonable?</w:t>
      </w:r>
    </w:p>
    <w:p w:rsidR="003D430A" w:rsidRPr="007F08F0" w:rsidRDefault="003D430A" w:rsidP="00A94A24">
      <w:pPr>
        <w:spacing w:after="0" w:line="360" w:lineRule="auto"/>
        <w:ind w:firstLine="720"/>
        <w:jc w:val="both"/>
        <w:rPr>
          <w:rFonts w:ascii="Times New Roman" w:hAnsi="Times New Roman" w:cs="Times New Roman"/>
          <w:sz w:val="24"/>
          <w:szCs w:val="24"/>
        </w:rPr>
      </w:pPr>
      <w:r w:rsidRPr="007F08F0">
        <w:rPr>
          <w:rFonts w:ascii="Times New Roman" w:hAnsi="Times New Roman" w:cs="Times New Roman"/>
          <w:sz w:val="24"/>
          <w:szCs w:val="24"/>
        </w:rPr>
        <w:t>The applicant submitted that he has always been dissatisfied with the conduct of the arbitral proceedings. He blamed his erstwhile legal practitioners who did not give him proper advice. To that extent three separate applications where lodged with this court all of which were dismissed. To him an application for review was apparent but was not made in time.</w:t>
      </w:r>
    </w:p>
    <w:p w:rsidR="003C3114" w:rsidRPr="007F08F0" w:rsidRDefault="003D430A" w:rsidP="00A94A24">
      <w:pPr>
        <w:spacing w:after="0" w:line="360" w:lineRule="auto"/>
        <w:ind w:firstLine="720"/>
        <w:jc w:val="both"/>
        <w:rPr>
          <w:rFonts w:ascii="Times New Roman" w:hAnsi="Times New Roman" w:cs="Times New Roman"/>
          <w:sz w:val="24"/>
          <w:szCs w:val="24"/>
        </w:rPr>
      </w:pPr>
      <w:r w:rsidRPr="007F08F0">
        <w:rPr>
          <w:rFonts w:ascii="Times New Roman" w:hAnsi="Times New Roman" w:cs="Times New Roman"/>
          <w:sz w:val="24"/>
          <w:szCs w:val="24"/>
        </w:rPr>
        <w:t xml:space="preserve">The second respondent submitted that the explanation proffered by the applicant was unreasonable. </w:t>
      </w:r>
      <w:r w:rsidR="003C3114" w:rsidRPr="007F08F0">
        <w:rPr>
          <w:rFonts w:ascii="Times New Roman" w:hAnsi="Times New Roman" w:cs="Times New Roman"/>
          <w:sz w:val="24"/>
          <w:szCs w:val="24"/>
        </w:rPr>
        <w:t xml:space="preserve">It was the second respondent’s contention that it is no excuse for the applicant to state that he received bad legal advice at the relevant time. The second respondent cited the case of </w:t>
      </w:r>
      <w:proofErr w:type="spellStart"/>
      <w:r w:rsidR="003C3114" w:rsidRPr="00A94A24">
        <w:rPr>
          <w:rFonts w:ascii="Times New Roman" w:hAnsi="Times New Roman" w:cs="Times New Roman"/>
          <w:i/>
          <w:sz w:val="24"/>
          <w:szCs w:val="24"/>
        </w:rPr>
        <w:t>Beitbridge</w:t>
      </w:r>
      <w:proofErr w:type="spellEnd"/>
      <w:r w:rsidR="003C3114" w:rsidRPr="00A94A24">
        <w:rPr>
          <w:rFonts w:ascii="Times New Roman" w:hAnsi="Times New Roman" w:cs="Times New Roman"/>
          <w:i/>
          <w:sz w:val="24"/>
          <w:szCs w:val="24"/>
        </w:rPr>
        <w:t xml:space="preserve"> Rural District Council</w:t>
      </w:r>
      <w:r w:rsidR="003C3114" w:rsidRPr="007F08F0">
        <w:rPr>
          <w:rFonts w:ascii="Times New Roman" w:hAnsi="Times New Roman" w:cs="Times New Roman"/>
          <w:sz w:val="24"/>
          <w:szCs w:val="24"/>
        </w:rPr>
        <w:t xml:space="preserve"> v </w:t>
      </w:r>
      <w:r w:rsidR="003C3114" w:rsidRPr="00A94A24">
        <w:rPr>
          <w:rFonts w:ascii="Times New Roman" w:hAnsi="Times New Roman" w:cs="Times New Roman"/>
          <w:i/>
          <w:sz w:val="24"/>
          <w:szCs w:val="24"/>
        </w:rPr>
        <w:t>Russell Construction Co</w:t>
      </w:r>
      <w:r w:rsidR="003C3114" w:rsidRPr="007F08F0">
        <w:rPr>
          <w:rFonts w:ascii="Times New Roman" w:hAnsi="Times New Roman" w:cs="Times New Roman"/>
          <w:sz w:val="24"/>
          <w:szCs w:val="24"/>
        </w:rPr>
        <w:t xml:space="preserve"> 1998 (2) ZLR 190 (S) where the Supreme Court held that:</w:t>
      </w:r>
    </w:p>
    <w:p w:rsidR="003C3114" w:rsidRPr="007F08F0" w:rsidRDefault="003C3114" w:rsidP="00A94A24">
      <w:pPr>
        <w:ind w:left="720" w:firstLine="60"/>
        <w:jc w:val="both"/>
        <w:rPr>
          <w:rFonts w:ascii="Times New Roman" w:hAnsi="Times New Roman" w:cs="Times New Roman"/>
          <w:sz w:val="24"/>
          <w:szCs w:val="24"/>
        </w:rPr>
      </w:pPr>
      <w:r w:rsidRPr="007F08F0">
        <w:rPr>
          <w:rFonts w:ascii="Times New Roman" w:hAnsi="Times New Roman" w:cs="Times New Roman"/>
          <w:sz w:val="24"/>
          <w:szCs w:val="24"/>
        </w:rPr>
        <w:t>“</w:t>
      </w:r>
      <w:r w:rsidRPr="00A94A24">
        <w:rPr>
          <w:rFonts w:ascii="Times New Roman" w:hAnsi="Times New Roman" w:cs="Times New Roman"/>
        </w:rPr>
        <w:t>This court has, on a number of occasions, clearly stated that non-compliance with or a wilful disdain of the rules of court by a party’s legal practitioner should be treated as non-compliance or a wilful disdain by the party himself</w:t>
      </w:r>
      <w:r w:rsidRPr="007F08F0">
        <w:rPr>
          <w:rFonts w:ascii="Times New Roman" w:hAnsi="Times New Roman" w:cs="Times New Roman"/>
          <w:sz w:val="24"/>
          <w:szCs w:val="24"/>
        </w:rPr>
        <w:t>.”</w:t>
      </w:r>
    </w:p>
    <w:p w:rsidR="003C3114" w:rsidRPr="007F08F0" w:rsidRDefault="003C3114" w:rsidP="00A94A24">
      <w:pPr>
        <w:spacing w:line="360" w:lineRule="auto"/>
        <w:ind w:firstLine="720"/>
        <w:jc w:val="both"/>
        <w:rPr>
          <w:rFonts w:ascii="Times New Roman" w:hAnsi="Times New Roman" w:cs="Times New Roman"/>
          <w:sz w:val="24"/>
          <w:szCs w:val="24"/>
        </w:rPr>
      </w:pPr>
      <w:r w:rsidRPr="007F08F0">
        <w:rPr>
          <w:rFonts w:ascii="Times New Roman" w:hAnsi="Times New Roman" w:cs="Times New Roman"/>
          <w:sz w:val="24"/>
          <w:szCs w:val="24"/>
        </w:rPr>
        <w:t xml:space="preserve">Second respondent, in supporting its contention further cited the case of </w:t>
      </w:r>
      <w:proofErr w:type="spellStart"/>
      <w:r w:rsidRPr="00A94A24">
        <w:rPr>
          <w:rFonts w:ascii="Times New Roman" w:hAnsi="Times New Roman" w:cs="Times New Roman"/>
          <w:i/>
          <w:sz w:val="24"/>
          <w:szCs w:val="24"/>
        </w:rPr>
        <w:t>Kombayi</w:t>
      </w:r>
      <w:proofErr w:type="spellEnd"/>
      <w:r w:rsidRPr="007F08F0">
        <w:rPr>
          <w:rFonts w:ascii="Times New Roman" w:hAnsi="Times New Roman" w:cs="Times New Roman"/>
          <w:sz w:val="24"/>
          <w:szCs w:val="24"/>
        </w:rPr>
        <w:t xml:space="preserve"> v </w:t>
      </w:r>
      <w:proofErr w:type="spellStart"/>
      <w:r w:rsidRPr="00A94A24">
        <w:rPr>
          <w:rFonts w:ascii="Times New Roman" w:hAnsi="Times New Roman" w:cs="Times New Roman"/>
          <w:i/>
          <w:sz w:val="24"/>
          <w:szCs w:val="24"/>
        </w:rPr>
        <w:t>Berkout</w:t>
      </w:r>
      <w:proofErr w:type="spellEnd"/>
      <w:r w:rsidRPr="00A94A24">
        <w:rPr>
          <w:rFonts w:ascii="Times New Roman" w:hAnsi="Times New Roman" w:cs="Times New Roman"/>
          <w:i/>
          <w:sz w:val="24"/>
          <w:szCs w:val="24"/>
        </w:rPr>
        <w:t xml:space="preserve"> </w:t>
      </w:r>
      <w:r w:rsidRPr="007F08F0">
        <w:rPr>
          <w:rFonts w:ascii="Times New Roman" w:hAnsi="Times New Roman" w:cs="Times New Roman"/>
          <w:sz w:val="24"/>
          <w:szCs w:val="24"/>
        </w:rPr>
        <w:t>1988 (1) ZLR 53 (SC) where the Supreme Court again held that</w:t>
      </w:r>
      <w:r w:rsidR="00A94A24">
        <w:rPr>
          <w:rFonts w:ascii="Times New Roman" w:hAnsi="Times New Roman" w:cs="Times New Roman"/>
          <w:sz w:val="24"/>
          <w:szCs w:val="24"/>
        </w:rPr>
        <w:t>:</w:t>
      </w:r>
    </w:p>
    <w:p w:rsidR="00CA3BC6" w:rsidRPr="007F08F0" w:rsidRDefault="003C3114" w:rsidP="00A94A24">
      <w:pPr>
        <w:spacing w:line="240" w:lineRule="auto"/>
        <w:ind w:left="720" w:firstLine="60"/>
        <w:jc w:val="both"/>
        <w:rPr>
          <w:rFonts w:ascii="Times New Roman" w:hAnsi="Times New Roman" w:cs="Times New Roman"/>
          <w:sz w:val="24"/>
          <w:szCs w:val="24"/>
        </w:rPr>
      </w:pPr>
      <w:r w:rsidRPr="007F08F0">
        <w:rPr>
          <w:rFonts w:ascii="Times New Roman" w:hAnsi="Times New Roman" w:cs="Times New Roman"/>
          <w:sz w:val="24"/>
          <w:szCs w:val="24"/>
        </w:rPr>
        <w:lastRenderedPageBreak/>
        <w:t>“</w:t>
      </w:r>
      <w:r w:rsidRPr="00A94A24">
        <w:rPr>
          <w:rFonts w:ascii="Times New Roman" w:hAnsi="Times New Roman" w:cs="Times New Roman"/>
        </w:rPr>
        <w:t>There is a limit beyond which a litigant cannot escape the results of his attorney’s lack of diligence or the sufficiency of the expla</w:t>
      </w:r>
      <w:r w:rsidR="00CA3BC6" w:rsidRPr="00A94A24">
        <w:rPr>
          <w:rFonts w:ascii="Times New Roman" w:hAnsi="Times New Roman" w:cs="Times New Roman"/>
        </w:rPr>
        <w:t>na</w:t>
      </w:r>
      <w:r w:rsidRPr="00A94A24">
        <w:rPr>
          <w:rFonts w:ascii="Times New Roman" w:hAnsi="Times New Roman" w:cs="Times New Roman"/>
        </w:rPr>
        <w:t>tion tendered.</w:t>
      </w:r>
      <w:r w:rsidR="00CA3BC6" w:rsidRPr="00A94A24">
        <w:rPr>
          <w:rFonts w:ascii="Times New Roman" w:hAnsi="Times New Roman" w:cs="Times New Roman"/>
        </w:rPr>
        <w:t xml:space="preserve"> To hold otherwise might have a disastrous effect upon the observance of the Rules of this court. Considerations </w:t>
      </w:r>
      <w:r w:rsidR="00CA3BC6" w:rsidRPr="00A94A24">
        <w:rPr>
          <w:rFonts w:ascii="Times New Roman" w:hAnsi="Times New Roman" w:cs="Times New Roman"/>
          <w:i/>
        </w:rPr>
        <w:t xml:space="preserve">ad </w:t>
      </w:r>
      <w:proofErr w:type="spellStart"/>
      <w:r w:rsidR="00CA3BC6" w:rsidRPr="00A94A24">
        <w:rPr>
          <w:rFonts w:ascii="Times New Roman" w:hAnsi="Times New Roman" w:cs="Times New Roman"/>
          <w:i/>
        </w:rPr>
        <w:t>misericordiam</w:t>
      </w:r>
      <w:proofErr w:type="spellEnd"/>
      <w:r w:rsidR="00CA3BC6" w:rsidRPr="00A94A24">
        <w:rPr>
          <w:rFonts w:ascii="Times New Roman" w:hAnsi="Times New Roman" w:cs="Times New Roman"/>
        </w:rPr>
        <w:t xml:space="preserve"> should not be allowed to become an invitation to laxity. In fact this court has lately been burdened with an undue and increasing number of applications for condonation in which the failure to comply with the Rules of this Court was due to neglect on the part of the attorney. The attorney after all, is the representative whom the litigant has chosen for himself, and there is little reason why, in regard to condonation of a failure to comply with a Rule of Court, the litigant should be absolved from the normal consequences of such a relationship, no matter what the circumstances of the failure are</w:t>
      </w:r>
      <w:r w:rsidR="00CA3BC6" w:rsidRPr="007F08F0">
        <w:rPr>
          <w:rFonts w:ascii="Times New Roman" w:hAnsi="Times New Roman" w:cs="Times New Roman"/>
          <w:sz w:val="24"/>
          <w:szCs w:val="24"/>
        </w:rPr>
        <w:t>.”</w:t>
      </w:r>
    </w:p>
    <w:p w:rsidR="004C0322" w:rsidRPr="007F08F0" w:rsidRDefault="004C0322" w:rsidP="00A94A24">
      <w:pPr>
        <w:spacing w:line="360" w:lineRule="auto"/>
        <w:ind w:firstLine="720"/>
        <w:jc w:val="both"/>
        <w:rPr>
          <w:rFonts w:ascii="Times New Roman" w:hAnsi="Times New Roman" w:cs="Times New Roman"/>
          <w:sz w:val="24"/>
          <w:szCs w:val="24"/>
        </w:rPr>
      </w:pPr>
      <w:r w:rsidRPr="007F08F0">
        <w:rPr>
          <w:rFonts w:ascii="Times New Roman" w:hAnsi="Times New Roman" w:cs="Times New Roman"/>
          <w:sz w:val="24"/>
          <w:szCs w:val="24"/>
        </w:rPr>
        <w:t xml:space="preserve">I share the same sentiments. If indeed the applicant treated this matter as important as he wants the court to believe there was no reason for the applicant failing to challenge its registration with this Honourable </w:t>
      </w:r>
      <w:proofErr w:type="gramStart"/>
      <w:r w:rsidRPr="007F08F0">
        <w:rPr>
          <w:rFonts w:ascii="Times New Roman" w:hAnsi="Times New Roman" w:cs="Times New Roman"/>
          <w:sz w:val="24"/>
          <w:szCs w:val="24"/>
        </w:rPr>
        <w:t>Court.</w:t>
      </w:r>
      <w:proofErr w:type="gramEnd"/>
      <w:r w:rsidRPr="007F08F0">
        <w:rPr>
          <w:rFonts w:ascii="Times New Roman" w:hAnsi="Times New Roman" w:cs="Times New Roman"/>
          <w:sz w:val="24"/>
          <w:szCs w:val="24"/>
        </w:rPr>
        <w:t xml:space="preserve"> The explanation given in the circumstances is unreasonable.</w:t>
      </w:r>
    </w:p>
    <w:p w:rsidR="004C0322" w:rsidRPr="007F08F0" w:rsidRDefault="004C0322" w:rsidP="007F08F0">
      <w:pPr>
        <w:pStyle w:val="ListParagraph"/>
        <w:numPr>
          <w:ilvl w:val="0"/>
          <w:numId w:val="2"/>
        </w:numPr>
        <w:jc w:val="both"/>
        <w:rPr>
          <w:rFonts w:ascii="Times New Roman" w:hAnsi="Times New Roman" w:cs="Times New Roman"/>
          <w:b/>
          <w:sz w:val="24"/>
          <w:szCs w:val="24"/>
        </w:rPr>
      </w:pPr>
      <w:r w:rsidRPr="007F08F0">
        <w:rPr>
          <w:rFonts w:ascii="Times New Roman" w:hAnsi="Times New Roman" w:cs="Times New Roman"/>
          <w:b/>
          <w:sz w:val="24"/>
          <w:szCs w:val="24"/>
        </w:rPr>
        <w:t>Whether or not there are prospects of success on review should the application be granted?</w:t>
      </w:r>
    </w:p>
    <w:p w:rsidR="00F96C55" w:rsidRPr="007F08F0" w:rsidRDefault="004C0322" w:rsidP="00A94A24">
      <w:pPr>
        <w:spacing w:after="0" w:line="360" w:lineRule="auto"/>
        <w:ind w:firstLine="720"/>
        <w:jc w:val="both"/>
        <w:rPr>
          <w:rFonts w:ascii="Times New Roman" w:hAnsi="Times New Roman" w:cs="Times New Roman"/>
          <w:sz w:val="24"/>
          <w:szCs w:val="24"/>
        </w:rPr>
      </w:pPr>
      <w:r w:rsidRPr="007F08F0">
        <w:rPr>
          <w:rFonts w:ascii="Times New Roman" w:hAnsi="Times New Roman" w:cs="Times New Roman"/>
          <w:sz w:val="24"/>
          <w:szCs w:val="24"/>
        </w:rPr>
        <w:t xml:space="preserve">The applicant submitted that he has good prospects of success on review. His </w:t>
      </w:r>
      <w:r w:rsidR="00F96C55" w:rsidRPr="007F08F0">
        <w:rPr>
          <w:rFonts w:ascii="Times New Roman" w:hAnsi="Times New Roman" w:cs="Times New Roman"/>
          <w:sz w:val="24"/>
          <w:szCs w:val="24"/>
        </w:rPr>
        <w:t>reasoning was</w:t>
      </w:r>
      <w:r w:rsidRPr="007F08F0">
        <w:rPr>
          <w:rFonts w:ascii="Times New Roman" w:hAnsi="Times New Roman" w:cs="Times New Roman"/>
          <w:sz w:val="24"/>
          <w:szCs w:val="24"/>
        </w:rPr>
        <w:t xml:space="preserve"> that the first respondent failed to read and interpret the contract between the second respondent and himself</w:t>
      </w:r>
      <w:r w:rsidR="00F96C55" w:rsidRPr="007F08F0">
        <w:rPr>
          <w:rFonts w:ascii="Times New Roman" w:hAnsi="Times New Roman" w:cs="Times New Roman"/>
          <w:sz w:val="24"/>
          <w:szCs w:val="24"/>
        </w:rPr>
        <w:t xml:space="preserve"> which stated that the applicant would receive inputs from the second respondent which he would use to realize a yield and the second respondent would accordingly receive soya beans representing the value of the loan. He further said that the first respondent failed to appreciate the breach of contract by the second respondent. This coupled by the importance of the case makes his prospects of success very high. </w:t>
      </w:r>
    </w:p>
    <w:p w:rsidR="00142167" w:rsidRPr="007F08F0" w:rsidRDefault="00F96C55" w:rsidP="00A94A24">
      <w:pPr>
        <w:spacing w:after="0" w:line="360" w:lineRule="auto"/>
        <w:ind w:firstLine="720"/>
        <w:jc w:val="both"/>
        <w:rPr>
          <w:rFonts w:ascii="Times New Roman" w:hAnsi="Times New Roman" w:cs="Times New Roman"/>
          <w:sz w:val="24"/>
          <w:szCs w:val="24"/>
        </w:rPr>
      </w:pPr>
      <w:r w:rsidRPr="007F08F0">
        <w:rPr>
          <w:rFonts w:ascii="Times New Roman" w:hAnsi="Times New Roman" w:cs="Times New Roman"/>
          <w:sz w:val="24"/>
          <w:szCs w:val="24"/>
        </w:rPr>
        <w:t>The second respondent submitted that there are no prospects of success on review. Firstly</w:t>
      </w:r>
      <w:r w:rsidR="00E31104" w:rsidRPr="007F08F0">
        <w:rPr>
          <w:rFonts w:ascii="Times New Roman" w:hAnsi="Times New Roman" w:cs="Times New Roman"/>
          <w:sz w:val="24"/>
          <w:szCs w:val="24"/>
        </w:rPr>
        <w:t>,</w:t>
      </w:r>
      <w:r w:rsidRPr="007F08F0">
        <w:rPr>
          <w:rFonts w:ascii="Times New Roman" w:hAnsi="Times New Roman" w:cs="Times New Roman"/>
          <w:sz w:val="24"/>
          <w:szCs w:val="24"/>
        </w:rPr>
        <w:t xml:space="preserve"> the second respondent argued that the order has been executed upon and that the applicant’s assets have since been sold making this application </w:t>
      </w:r>
      <w:r w:rsidR="00903E3E" w:rsidRPr="007F08F0">
        <w:rPr>
          <w:rFonts w:ascii="Times New Roman" w:hAnsi="Times New Roman" w:cs="Times New Roman"/>
          <w:sz w:val="24"/>
          <w:szCs w:val="24"/>
        </w:rPr>
        <w:t>frivolous and vexatious</w:t>
      </w:r>
      <w:r w:rsidRPr="007F08F0">
        <w:rPr>
          <w:rFonts w:ascii="Times New Roman" w:hAnsi="Times New Roman" w:cs="Times New Roman"/>
          <w:sz w:val="24"/>
          <w:szCs w:val="24"/>
        </w:rPr>
        <w:t>.</w:t>
      </w:r>
      <w:r w:rsidR="00E31104" w:rsidRPr="007F08F0">
        <w:rPr>
          <w:rFonts w:ascii="Times New Roman" w:hAnsi="Times New Roman" w:cs="Times New Roman"/>
          <w:sz w:val="24"/>
          <w:szCs w:val="24"/>
        </w:rPr>
        <w:t xml:space="preserve"> Secondly, it was submitted that in terms of the Memorandum of Agreement between the applicant and the second respondent the first respondent’s written decision would be final and binding on them and incapable of appeal and that it will forthwith be carried into effect. For that reason the applicant is prevented from seeking to </w:t>
      </w:r>
      <w:proofErr w:type="spellStart"/>
      <w:r w:rsidR="00E31104" w:rsidRPr="007F08F0">
        <w:rPr>
          <w:rFonts w:ascii="Times New Roman" w:hAnsi="Times New Roman" w:cs="Times New Roman"/>
          <w:sz w:val="24"/>
          <w:szCs w:val="24"/>
        </w:rPr>
        <w:t>resile</w:t>
      </w:r>
      <w:proofErr w:type="spellEnd"/>
      <w:r w:rsidR="00E31104" w:rsidRPr="007F08F0">
        <w:rPr>
          <w:rFonts w:ascii="Times New Roman" w:hAnsi="Times New Roman" w:cs="Times New Roman"/>
          <w:sz w:val="24"/>
          <w:szCs w:val="24"/>
        </w:rPr>
        <w:t xml:space="preserve"> from this contractual provision. See </w:t>
      </w:r>
      <w:r w:rsidR="00E31104" w:rsidRPr="00A94A24">
        <w:rPr>
          <w:rFonts w:ascii="Times New Roman" w:hAnsi="Times New Roman" w:cs="Times New Roman"/>
          <w:i/>
          <w:sz w:val="24"/>
          <w:szCs w:val="24"/>
        </w:rPr>
        <w:t xml:space="preserve">Zimbabwe Educational Scientific Social and Cultural Workers </w:t>
      </w:r>
      <w:r w:rsidR="00142167" w:rsidRPr="00A94A24">
        <w:rPr>
          <w:rFonts w:ascii="Times New Roman" w:hAnsi="Times New Roman" w:cs="Times New Roman"/>
          <w:i/>
          <w:sz w:val="24"/>
          <w:szCs w:val="24"/>
        </w:rPr>
        <w:t>Union</w:t>
      </w:r>
      <w:r w:rsidR="00142167" w:rsidRPr="007F08F0">
        <w:rPr>
          <w:rFonts w:ascii="Times New Roman" w:hAnsi="Times New Roman" w:cs="Times New Roman"/>
          <w:sz w:val="24"/>
          <w:szCs w:val="24"/>
        </w:rPr>
        <w:t xml:space="preserve"> v </w:t>
      </w:r>
      <w:r w:rsidR="00142167" w:rsidRPr="00A94A24">
        <w:rPr>
          <w:rFonts w:ascii="Times New Roman" w:hAnsi="Times New Roman" w:cs="Times New Roman"/>
          <w:i/>
          <w:sz w:val="24"/>
          <w:szCs w:val="24"/>
        </w:rPr>
        <w:t>Welfare</w:t>
      </w:r>
      <w:r w:rsidR="00142167" w:rsidRPr="007F08F0">
        <w:rPr>
          <w:rFonts w:ascii="Times New Roman" w:hAnsi="Times New Roman" w:cs="Times New Roman"/>
          <w:sz w:val="24"/>
          <w:szCs w:val="24"/>
        </w:rPr>
        <w:t xml:space="preserve"> </w:t>
      </w:r>
      <w:r w:rsidR="00142167" w:rsidRPr="00A94A24">
        <w:rPr>
          <w:rFonts w:ascii="Times New Roman" w:hAnsi="Times New Roman" w:cs="Times New Roman"/>
          <w:i/>
          <w:sz w:val="24"/>
          <w:szCs w:val="24"/>
        </w:rPr>
        <w:t>Educational Institutions Employers Association</w:t>
      </w:r>
      <w:r w:rsidR="00142167" w:rsidRPr="007F08F0">
        <w:rPr>
          <w:rFonts w:ascii="Times New Roman" w:hAnsi="Times New Roman" w:cs="Times New Roman"/>
          <w:sz w:val="24"/>
          <w:szCs w:val="24"/>
        </w:rPr>
        <w:t xml:space="preserve"> SC 11/2013 where the Supreme Court held that:</w:t>
      </w:r>
    </w:p>
    <w:p w:rsidR="00142167" w:rsidRPr="007F08F0" w:rsidRDefault="00142167" w:rsidP="00A94A24">
      <w:pPr>
        <w:spacing w:line="240" w:lineRule="auto"/>
        <w:ind w:left="600"/>
        <w:jc w:val="both"/>
        <w:rPr>
          <w:rFonts w:ascii="Times New Roman" w:hAnsi="Times New Roman" w:cs="Times New Roman"/>
          <w:sz w:val="24"/>
          <w:szCs w:val="24"/>
        </w:rPr>
      </w:pPr>
      <w:r w:rsidRPr="007F08F0">
        <w:rPr>
          <w:rFonts w:ascii="Times New Roman" w:hAnsi="Times New Roman" w:cs="Times New Roman"/>
          <w:sz w:val="24"/>
          <w:szCs w:val="24"/>
        </w:rPr>
        <w:t>“</w:t>
      </w:r>
      <w:r w:rsidRPr="00A94A24">
        <w:rPr>
          <w:rFonts w:ascii="Times New Roman" w:hAnsi="Times New Roman" w:cs="Times New Roman"/>
        </w:rPr>
        <w:t xml:space="preserve">It is trite that where parties make submissions to arbitration on the terms that they choose their own arbitrator(s), formulate their own terms of reference to bind the arbitrator and agree that the award will be final and binding on them, the court of law will proceed on the basis that the </w:t>
      </w:r>
      <w:r w:rsidRPr="00A94A24">
        <w:rPr>
          <w:rFonts w:ascii="Times New Roman" w:hAnsi="Times New Roman" w:cs="Times New Roman"/>
        </w:rPr>
        <w:lastRenderedPageBreak/>
        <w:t>parties have chosen their own procedure and that there should not be any interference with the result.</w:t>
      </w:r>
      <w:r w:rsidRPr="007F08F0">
        <w:rPr>
          <w:rFonts w:ascii="Times New Roman" w:hAnsi="Times New Roman" w:cs="Times New Roman"/>
          <w:sz w:val="24"/>
          <w:szCs w:val="24"/>
        </w:rPr>
        <w:t xml:space="preserve"> See </w:t>
      </w:r>
      <w:proofErr w:type="spellStart"/>
      <w:r w:rsidRPr="00A94A24">
        <w:rPr>
          <w:rFonts w:ascii="Times New Roman" w:hAnsi="Times New Roman" w:cs="Times New Roman"/>
          <w:i/>
          <w:sz w:val="24"/>
          <w:szCs w:val="24"/>
        </w:rPr>
        <w:t>Zesa</w:t>
      </w:r>
      <w:proofErr w:type="spellEnd"/>
      <w:r w:rsidRPr="007F08F0">
        <w:rPr>
          <w:rFonts w:ascii="Times New Roman" w:hAnsi="Times New Roman" w:cs="Times New Roman"/>
          <w:sz w:val="24"/>
          <w:szCs w:val="24"/>
        </w:rPr>
        <w:t xml:space="preserve"> v </w:t>
      </w:r>
      <w:proofErr w:type="spellStart"/>
      <w:r w:rsidRPr="00A94A24">
        <w:rPr>
          <w:rFonts w:ascii="Times New Roman" w:hAnsi="Times New Roman" w:cs="Times New Roman"/>
          <w:i/>
          <w:sz w:val="24"/>
          <w:szCs w:val="24"/>
        </w:rPr>
        <w:t>Maposa</w:t>
      </w:r>
      <w:proofErr w:type="spellEnd"/>
      <w:r w:rsidRPr="007F08F0">
        <w:rPr>
          <w:rFonts w:ascii="Times New Roman" w:hAnsi="Times New Roman" w:cs="Times New Roman"/>
          <w:sz w:val="24"/>
          <w:szCs w:val="24"/>
        </w:rPr>
        <w:t xml:space="preserve"> 1999 (2) ZLR 452 (SC).</w:t>
      </w:r>
    </w:p>
    <w:p w:rsidR="00EF108F" w:rsidRPr="007F08F0" w:rsidRDefault="00142167" w:rsidP="00831EE0">
      <w:pPr>
        <w:spacing w:after="0" w:line="360" w:lineRule="auto"/>
        <w:ind w:firstLine="600"/>
        <w:jc w:val="both"/>
        <w:rPr>
          <w:rFonts w:ascii="Times New Roman" w:hAnsi="Times New Roman" w:cs="Times New Roman"/>
          <w:sz w:val="24"/>
          <w:szCs w:val="24"/>
        </w:rPr>
      </w:pPr>
      <w:r w:rsidRPr="007F08F0">
        <w:rPr>
          <w:rFonts w:ascii="Times New Roman" w:hAnsi="Times New Roman" w:cs="Times New Roman"/>
          <w:sz w:val="24"/>
          <w:szCs w:val="24"/>
        </w:rPr>
        <w:t>Lastly the second respondent argued that the arbitral award may only be set aside in terms of Article 34 of the Model law prescribed in the 2</w:t>
      </w:r>
      <w:r w:rsidRPr="007F08F0">
        <w:rPr>
          <w:rFonts w:ascii="Times New Roman" w:hAnsi="Times New Roman" w:cs="Times New Roman"/>
          <w:sz w:val="24"/>
          <w:szCs w:val="24"/>
          <w:vertAlign w:val="superscript"/>
        </w:rPr>
        <w:t>nd</w:t>
      </w:r>
      <w:r w:rsidRPr="007F08F0">
        <w:rPr>
          <w:rFonts w:ascii="Times New Roman" w:hAnsi="Times New Roman" w:cs="Times New Roman"/>
          <w:sz w:val="24"/>
          <w:szCs w:val="24"/>
        </w:rPr>
        <w:t xml:space="preserve"> Schedule of the Arbitration Act [</w:t>
      </w:r>
      <w:r w:rsidRPr="00A94A24">
        <w:rPr>
          <w:rFonts w:ascii="Times New Roman" w:hAnsi="Times New Roman" w:cs="Times New Roman"/>
          <w:i/>
          <w:sz w:val="24"/>
          <w:szCs w:val="24"/>
        </w:rPr>
        <w:t>Chapter 7.15</w:t>
      </w:r>
      <w:r w:rsidR="00EF108F" w:rsidRPr="007F08F0">
        <w:rPr>
          <w:rFonts w:ascii="Times New Roman" w:hAnsi="Times New Roman" w:cs="Times New Roman"/>
          <w:sz w:val="24"/>
          <w:szCs w:val="24"/>
        </w:rPr>
        <w:t>] which provides that recourse to a court against an arbitral award may be made only by an application for setting aside in accordance with para</w:t>
      </w:r>
      <w:r w:rsidR="00A94A24">
        <w:rPr>
          <w:rFonts w:ascii="Times New Roman" w:hAnsi="Times New Roman" w:cs="Times New Roman"/>
          <w:sz w:val="24"/>
          <w:szCs w:val="24"/>
        </w:rPr>
        <w:t>(</w:t>
      </w:r>
      <w:r w:rsidR="00EF108F" w:rsidRPr="007F08F0">
        <w:rPr>
          <w:rFonts w:ascii="Times New Roman" w:hAnsi="Times New Roman" w:cs="Times New Roman"/>
          <w:sz w:val="24"/>
          <w:szCs w:val="24"/>
        </w:rPr>
        <w:t>s</w:t>
      </w:r>
      <w:r w:rsidR="00A94A24">
        <w:rPr>
          <w:rFonts w:ascii="Times New Roman" w:hAnsi="Times New Roman" w:cs="Times New Roman"/>
          <w:sz w:val="24"/>
          <w:szCs w:val="24"/>
        </w:rPr>
        <w:t>)</w:t>
      </w:r>
      <w:r w:rsidR="00EF108F" w:rsidRPr="007F08F0">
        <w:rPr>
          <w:rFonts w:ascii="Times New Roman" w:hAnsi="Times New Roman" w:cs="Times New Roman"/>
          <w:sz w:val="24"/>
          <w:szCs w:val="24"/>
        </w:rPr>
        <w:t xml:space="preserve"> (2) and (3) of this article. See </w:t>
      </w:r>
      <w:r w:rsidR="00EF108F" w:rsidRPr="00A94A24">
        <w:rPr>
          <w:rFonts w:ascii="Times New Roman" w:hAnsi="Times New Roman" w:cs="Times New Roman"/>
          <w:i/>
          <w:sz w:val="24"/>
          <w:szCs w:val="24"/>
        </w:rPr>
        <w:t>Catering Employers Association of Zimbabwe</w:t>
      </w:r>
      <w:r w:rsidR="00EF108F" w:rsidRPr="007F08F0">
        <w:rPr>
          <w:rFonts w:ascii="Times New Roman" w:hAnsi="Times New Roman" w:cs="Times New Roman"/>
          <w:sz w:val="24"/>
          <w:szCs w:val="24"/>
        </w:rPr>
        <w:t xml:space="preserve"> v </w:t>
      </w:r>
      <w:r w:rsidR="00EF108F" w:rsidRPr="00A94A24">
        <w:rPr>
          <w:rFonts w:ascii="Times New Roman" w:hAnsi="Times New Roman" w:cs="Times New Roman"/>
          <w:i/>
          <w:sz w:val="24"/>
          <w:szCs w:val="24"/>
        </w:rPr>
        <w:t>Zimbabwe Hotel and Catering Workers</w:t>
      </w:r>
      <w:r w:rsidR="00EF108F" w:rsidRPr="007F08F0">
        <w:rPr>
          <w:rFonts w:ascii="Times New Roman" w:hAnsi="Times New Roman" w:cs="Times New Roman"/>
          <w:sz w:val="24"/>
          <w:szCs w:val="24"/>
        </w:rPr>
        <w:t xml:space="preserve"> </w:t>
      </w:r>
      <w:r w:rsidR="00EF108F" w:rsidRPr="00A94A24">
        <w:rPr>
          <w:rFonts w:ascii="Times New Roman" w:hAnsi="Times New Roman" w:cs="Times New Roman"/>
          <w:i/>
          <w:sz w:val="24"/>
          <w:szCs w:val="24"/>
        </w:rPr>
        <w:t>Union &amp; Anor</w:t>
      </w:r>
      <w:r w:rsidR="00EF108F" w:rsidRPr="007F08F0">
        <w:rPr>
          <w:rFonts w:ascii="Times New Roman" w:hAnsi="Times New Roman" w:cs="Times New Roman"/>
          <w:sz w:val="24"/>
          <w:szCs w:val="24"/>
        </w:rPr>
        <w:t xml:space="preserve"> 2001 (2) ZLR 388 (S) and </w:t>
      </w:r>
      <w:proofErr w:type="spellStart"/>
      <w:r w:rsidR="00EF108F" w:rsidRPr="00A94A24">
        <w:rPr>
          <w:rFonts w:ascii="Times New Roman" w:hAnsi="Times New Roman" w:cs="Times New Roman"/>
          <w:i/>
          <w:sz w:val="24"/>
          <w:szCs w:val="24"/>
        </w:rPr>
        <w:t>Mtetwa</w:t>
      </w:r>
      <w:proofErr w:type="spellEnd"/>
      <w:r w:rsidR="00EF108F" w:rsidRPr="00A94A24">
        <w:rPr>
          <w:rFonts w:ascii="Times New Roman" w:hAnsi="Times New Roman" w:cs="Times New Roman"/>
          <w:i/>
          <w:sz w:val="24"/>
          <w:szCs w:val="24"/>
        </w:rPr>
        <w:t xml:space="preserve"> and </w:t>
      </w:r>
      <w:proofErr w:type="spellStart"/>
      <w:r w:rsidR="00EF108F" w:rsidRPr="00A94A24">
        <w:rPr>
          <w:rFonts w:ascii="Times New Roman" w:hAnsi="Times New Roman" w:cs="Times New Roman"/>
          <w:i/>
          <w:sz w:val="24"/>
          <w:szCs w:val="24"/>
        </w:rPr>
        <w:t>Anor</w:t>
      </w:r>
      <w:proofErr w:type="spellEnd"/>
      <w:r w:rsidR="00EF108F" w:rsidRPr="007F08F0">
        <w:rPr>
          <w:rFonts w:ascii="Times New Roman" w:hAnsi="Times New Roman" w:cs="Times New Roman"/>
          <w:sz w:val="24"/>
          <w:szCs w:val="24"/>
        </w:rPr>
        <w:t xml:space="preserve"> v </w:t>
      </w:r>
      <w:proofErr w:type="spellStart"/>
      <w:r w:rsidR="00EF108F" w:rsidRPr="00A94A24">
        <w:rPr>
          <w:rFonts w:ascii="Times New Roman" w:hAnsi="Times New Roman" w:cs="Times New Roman"/>
          <w:i/>
          <w:sz w:val="24"/>
          <w:szCs w:val="24"/>
        </w:rPr>
        <w:t>Mupamhadzi</w:t>
      </w:r>
      <w:proofErr w:type="spellEnd"/>
      <w:r w:rsidR="00EF108F" w:rsidRPr="007F08F0">
        <w:rPr>
          <w:rFonts w:ascii="Times New Roman" w:hAnsi="Times New Roman" w:cs="Times New Roman"/>
          <w:sz w:val="24"/>
          <w:szCs w:val="24"/>
        </w:rPr>
        <w:t xml:space="preserve"> 2007 (1) ZLR 253 (S).</w:t>
      </w:r>
    </w:p>
    <w:p w:rsidR="00236FC5" w:rsidRPr="007F08F0" w:rsidRDefault="00EF108F" w:rsidP="00831EE0">
      <w:pPr>
        <w:spacing w:after="0" w:line="360" w:lineRule="auto"/>
        <w:ind w:firstLine="600"/>
        <w:jc w:val="both"/>
        <w:rPr>
          <w:rFonts w:ascii="Times New Roman" w:hAnsi="Times New Roman" w:cs="Times New Roman"/>
          <w:sz w:val="24"/>
          <w:szCs w:val="24"/>
        </w:rPr>
      </w:pPr>
      <w:r w:rsidRPr="007F08F0">
        <w:rPr>
          <w:rFonts w:ascii="Times New Roman" w:hAnsi="Times New Roman" w:cs="Times New Roman"/>
          <w:sz w:val="24"/>
          <w:szCs w:val="24"/>
        </w:rPr>
        <w:t xml:space="preserve">In this case the application for review should have been made within 8 weeks from the date of the award. The applicant however, only acted after a period of over one year and was brought after his 3 prior attempts to impugn the registration of the award </w:t>
      </w:r>
      <w:r w:rsidR="009B5029" w:rsidRPr="007F08F0">
        <w:rPr>
          <w:rFonts w:ascii="Times New Roman" w:hAnsi="Times New Roman" w:cs="Times New Roman"/>
          <w:sz w:val="24"/>
          <w:szCs w:val="24"/>
        </w:rPr>
        <w:t>which he did not oppose were dismissed by this court. The explanation given for the delay is unreasonable. The application for condonation in a matter for which review should have been brought within 8 weeks is incapable of condonation. The delay is inordinate. On the merits the applicant’s case is very weak. In my view the applicant’s application for condonation is with respect, completely devoid of merit and is intended solely to delay finalisation of the matter. The application should accordingly be dismissed with costs on a legal practitioner and client scale due to his abuse of process.</w:t>
      </w:r>
    </w:p>
    <w:p w:rsidR="00236FC5" w:rsidRDefault="00236FC5" w:rsidP="00A94A24">
      <w:pPr>
        <w:spacing w:after="0"/>
        <w:ind w:firstLine="600"/>
        <w:jc w:val="both"/>
        <w:rPr>
          <w:rFonts w:ascii="Times New Roman" w:hAnsi="Times New Roman" w:cs="Times New Roman"/>
          <w:sz w:val="24"/>
          <w:szCs w:val="24"/>
        </w:rPr>
      </w:pPr>
      <w:r w:rsidRPr="007F08F0">
        <w:rPr>
          <w:rFonts w:ascii="Times New Roman" w:hAnsi="Times New Roman" w:cs="Times New Roman"/>
          <w:sz w:val="24"/>
          <w:szCs w:val="24"/>
        </w:rPr>
        <w:t>In the result it is ordered that</w:t>
      </w:r>
      <w:r w:rsidR="00A94A24">
        <w:rPr>
          <w:rFonts w:ascii="Times New Roman" w:hAnsi="Times New Roman" w:cs="Times New Roman"/>
          <w:sz w:val="24"/>
          <w:szCs w:val="24"/>
        </w:rPr>
        <w:t>:</w:t>
      </w:r>
    </w:p>
    <w:p w:rsidR="00A94A24" w:rsidRPr="007F08F0" w:rsidRDefault="00A94A24" w:rsidP="00A94A24">
      <w:pPr>
        <w:spacing w:after="0"/>
        <w:ind w:firstLine="600"/>
        <w:jc w:val="both"/>
        <w:rPr>
          <w:rFonts w:ascii="Times New Roman" w:hAnsi="Times New Roman" w:cs="Times New Roman"/>
          <w:sz w:val="24"/>
          <w:szCs w:val="24"/>
        </w:rPr>
      </w:pPr>
    </w:p>
    <w:p w:rsidR="00236FC5" w:rsidRPr="007F08F0" w:rsidRDefault="00236FC5" w:rsidP="007F08F0">
      <w:pPr>
        <w:pStyle w:val="ListParagraph"/>
        <w:numPr>
          <w:ilvl w:val="0"/>
          <w:numId w:val="3"/>
        </w:numPr>
        <w:jc w:val="both"/>
        <w:rPr>
          <w:rFonts w:ascii="Times New Roman" w:hAnsi="Times New Roman" w:cs="Times New Roman"/>
          <w:sz w:val="24"/>
          <w:szCs w:val="24"/>
        </w:rPr>
      </w:pPr>
      <w:r w:rsidRPr="007F08F0">
        <w:rPr>
          <w:rFonts w:ascii="Times New Roman" w:hAnsi="Times New Roman" w:cs="Times New Roman"/>
          <w:sz w:val="24"/>
          <w:szCs w:val="24"/>
        </w:rPr>
        <w:t>The application is dismissed.</w:t>
      </w:r>
    </w:p>
    <w:p w:rsidR="00236FC5" w:rsidRPr="007F08F0" w:rsidRDefault="00236FC5" w:rsidP="007F08F0">
      <w:pPr>
        <w:pStyle w:val="ListParagraph"/>
        <w:numPr>
          <w:ilvl w:val="0"/>
          <w:numId w:val="3"/>
        </w:numPr>
        <w:jc w:val="both"/>
        <w:rPr>
          <w:rFonts w:ascii="Times New Roman" w:hAnsi="Times New Roman" w:cs="Times New Roman"/>
          <w:sz w:val="24"/>
          <w:szCs w:val="24"/>
        </w:rPr>
      </w:pPr>
      <w:r w:rsidRPr="007F08F0">
        <w:rPr>
          <w:rFonts w:ascii="Times New Roman" w:hAnsi="Times New Roman" w:cs="Times New Roman"/>
          <w:sz w:val="24"/>
          <w:szCs w:val="24"/>
        </w:rPr>
        <w:t>Applicant to pay costs on a legal practitioner and client scale.</w:t>
      </w:r>
    </w:p>
    <w:p w:rsidR="00236FC5" w:rsidRDefault="00236FC5" w:rsidP="007F08F0">
      <w:pPr>
        <w:jc w:val="both"/>
        <w:rPr>
          <w:rFonts w:ascii="Times New Roman" w:hAnsi="Times New Roman" w:cs="Times New Roman"/>
          <w:sz w:val="24"/>
          <w:szCs w:val="24"/>
        </w:rPr>
      </w:pPr>
    </w:p>
    <w:p w:rsidR="00A94A24" w:rsidRDefault="00A94A24" w:rsidP="007F08F0">
      <w:pPr>
        <w:jc w:val="both"/>
        <w:rPr>
          <w:rFonts w:ascii="Times New Roman" w:hAnsi="Times New Roman" w:cs="Times New Roman"/>
          <w:sz w:val="24"/>
          <w:szCs w:val="24"/>
        </w:rPr>
      </w:pPr>
    </w:p>
    <w:p w:rsidR="00A94A24" w:rsidRPr="007F08F0" w:rsidRDefault="00A94A24" w:rsidP="007F08F0">
      <w:pPr>
        <w:jc w:val="both"/>
        <w:rPr>
          <w:rFonts w:ascii="Times New Roman" w:hAnsi="Times New Roman" w:cs="Times New Roman"/>
          <w:sz w:val="24"/>
          <w:szCs w:val="24"/>
        </w:rPr>
      </w:pPr>
    </w:p>
    <w:p w:rsidR="00236FC5" w:rsidRPr="007F08F0" w:rsidRDefault="00236FC5" w:rsidP="007F08F0">
      <w:pPr>
        <w:pStyle w:val="NoSpacing"/>
        <w:jc w:val="both"/>
        <w:rPr>
          <w:rFonts w:ascii="Times New Roman" w:hAnsi="Times New Roman" w:cs="Times New Roman"/>
          <w:sz w:val="24"/>
          <w:szCs w:val="24"/>
        </w:rPr>
      </w:pPr>
      <w:proofErr w:type="spellStart"/>
      <w:r w:rsidRPr="00A94A24">
        <w:rPr>
          <w:rFonts w:ascii="Times New Roman" w:hAnsi="Times New Roman" w:cs="Times New Roman"/>
          <w:i/>
          <w:sz w:val="24"/>
          <w:szCs w:val="24"/>
        </w:rPr>
        <w:t>Kawonde</w:t>
      </w:r>
      <w:proofErr w:type="spellEnd"/>
      <w:r w:rsidRPr="00A94A24">
        <w:rPr>
          <w:rFonts w:ascii="Times New Roman" w:hAnsi="Times New Roman" w:cs="Times New Roman"/>
          <w:i/>
          <w:sz w:val="24"/>
          <w:szCs w:val="24"/>
        </w:rPr>
        <w:t xml:space="preserve"> Legal Services</w:t>
      </w:r>
      <w:r w:rsidRPr="007F08F0">
        <w:rPr>
          <w:rFonts w:ascii="Times New Roman" w:hAnsi="Times New Roman" w:cs="Times New Roman"/>
          <w:sz w:val="24"/>
          <w:szCs w:val="24"/>
        </w:rPr>
        <w:t>, applicant’s legal practitioners</w:t>
      </w:r>
    </w:p>
    <w:p w:rsidR="004C0322" w:rsidRPr="007F08F0" w:rsidRDefault="00236FC5" w:rsidP="007F08F0">
      <w:pPr>
        <w:pStyle w:val="NoSpacing"/>
        <w:jc w:val="both"/>
        <w:rPr>
          <w:rFonts w:ascii="Times New Roman" w:hAnsi="Times New Roman" w:cs="Times New Roman"/>
          <w:sz w:val="24"/>
          <w:szCs w:val="24"/>
        </w:rPr>
      </w:pPr>
      <w:r w:rsidRPr="00A94A24">
        <w:rPr>
          <w:rFonts w:ascii="Times New Roman" w:hAnsi="Times New Roman" w:cs="Times New Roman"/>
          <w:i/>
          <w:sz w:val="24"/>
          <w:szCs w:val="24"/>
        </w:rPr>
        <w:t xml:space="preserve">Hussein </w:t>
      </w:r>
      <w:proofErr w:type="spellStart"/>
      <w:r w:rsidRPr="00A94A24">
        <w:rPr>
          <w:rFonts w:ascii="Times New Roman" w:hAnsi="Times New Roman" w:cs="Times New Roman"/>
          <w:i/>
          <w:sz w:val="24"/>
          <w:szCs w:val="24"/>
        </w:rPr>
        <w:t>Ranchhod</w:t>
      </w:r>
      <w:proofErr w:type="spellEnd"/>
      <w:r w:rsidRPr="00A94A24">
        <w:rPr>
          <w:rFonts w:ascii="Times New Roman" w:hAnsi="Times New Roman" w:cs="Times New Roman"/>
          <w:i/>
          <w:sz w:val="24"/>
          <w:szCs w:val="24"/>
        </w:rPr>
        <w:t xml:space="preserve"> &amp; Co</w:t>
      </w:r>
      <w:r w:rsidRPr="007F08F0">
        <w:rPr>
          <w:rFonts w:ascii="Times New Roman" w:hAnsi="Times New Roman" w:cs="Times New Roman"/>
          <w:sz w:val="24"/>
          <w:szCs w:val="24"/>
        </w:rPr>
        <w:t>, 2</w:t>
      </w:r>
      <w:r w:rsidRPr="007F08F0">
        <w:rPr>
          <w:rFonts w:ascii="Times New Roman" w:hAnsi="Times New Roman" w:cs="Times New Roman"/>
          <w:sz w:val="24"/>
          <w:szCs w:val="24"/>
          <w:vertAlign w:val="superscript"/>
        </w:rPr>
        <w:t>nd</w:t>
      </w:r>
      <w:r w:rsidRPr="007F08F0">
        <w:rPr>
          <w:rFonts w:ascii="Times New Roman" w:hAnsi="Times New Roman" w:cs="Times New Roman"/>
          <w:sz w:val="24"/>
          <w:szCs w:val="24"/>
        </w:rPr>
        <w:t xml:space="preserve"> respondent’s legal practitioners.</w:t>
      </w:r>
      <w:r w:rsidR="009B5029" w:rsidRPr="007F08F0">
        <w:rPr>
          <w:rFonts w:ascii="Times New Roman" w:hAnsi="Times New Roman" w:cs="Times New Roman"/>
          <w:sz w:val="24"/>
          <w:szCs w:val="24"/>
        </w:rPr>
        <w:t xml:space="preserve">  </w:t>
      </w:r>
      <w:r w:rsidR="00EF108F" w:rsidRPr="007F08F0">
        <w:rPr>
          <w:rFonts w:ascii="Times New Roman" w:hAnsi="Times New Roman" w:cs="Times New Roman"/>
          <w:sz w:val="24"/>
          <w:szCs w:val="24"/>
        </w:rPr>
        <w:t xml:space="preserve"> </w:t>
      </w:r>
      <w:r w:rsidR="00142167" w:rsidRPr="007F08F0">
        <w:rPr>
          <w:rFonts w:ascii="Times New Roman" w:hAnsi="Times New Roman" w:cs="Times New Roman"/>
          <w:sz w:val="24"/>
          <w:szCs w:val="24"/>
        </w:rPr>
        <w:t xml:space="preserve"> </w:t>
      </w:r>
      <w:r w:rsidR="00E31104" w:rsidRPr="007F08F0">
        <w:rPr>
          <w:rFonts w:ascii="Times New Roman" w:hAnsi="Times New Roman" w:cs="Times New Roman"/>
          <w:sz w:val="24"/>
          <w:szCs w:val="24"/>
        </w:rPr>
        <w:t xml:space="preserve">  </w:t>
      </w:r>
      <w:r w:rsidR="00F96C55" w:rsidRPr="007F08F0">
        <w:rPr>
          <w:rFonts w:ascii="Times New Roman" w:hAnsi="Times New Roman" w:cs="Times New Roman"/>
          <w:sz w:val="24"/>
          <w:szCs w:val="24"/>
        </w:rPr>
        <w:t xml:space="preserve">  </w:t>
      </w:r>
      <w:r w:rsidR="004C0322" w:rsidRPr="007F08F0">
        <w:rPr>
          <w:rFonts w:ascii="Times New Roman" w:hAnsi="Times New Roman" w:cs="Times New Roman"/>
          <w:sz w:val="24"/>
          <w:szCs w:val="24"/>
        </w:rPr>
        <w:t xml:space="preserve"> </w:t>
      </w:r>
    </w:p>
    <w:p w:rsidR="00551832" w:rsidRPr="007F08F0" w:rsidRDefault="004C0322" w:rsidP="007F08F0">
      <w:pPr>
        <w:jc w:val="both"/>
        <w:rPr>
          <w:rFonts w:ascii="Times New Roman" w:hAnsi="Times New Roman" w:cs="Times New Roman"/>
          <w:sz w:val="24"/>
          <w:szCs w:val="24"/>
        </w:rPr>
      </w:pPr>
      <w:r w:rsidRPr="007F08F0">
        <w:rPr>
          <w:rFonts w:ascii="Times New Roman" w:hAnsi="Times New Roman" w:cs="Times New Roman"/>
          <w:sz w:val="24"/>
          <w:szCs w:val="24"/>
        </w:rPr>
        <w:t xml:space="preserve"> </w:t>
      </w:r>
      <w:r w:rsidR="00CA3BC6" w:rsidRPr="007F08F0">
        <w:rPr>
          <w:rFonts w:ascii="Times New Roman" w:hAnsi="Times New Roman" w:cs="Times New Roman"/>
          <w:sz w:val="24"/>
          <w:szCs w:val="24"/>
        </w:rPr>
        <w:t xml:space="preserve"> </w:t>
      </w:r>
      <w:r w:rsidR="003C3114" w:rsidRPr="007F08F0">
        <w:rPr>
          <w:rFonts w:ascii="Times New Roman" w:hAnsi="Times New Roman" w:cs="Times New Roman"/>
          <w:sz w:val="24"/>
          <w:szCs w:val="24"/>
        </w:rPr>
        <w:t xml:space="preserve">  </w:t>
      </w:r>
      <w:r w:rsidR="003D430A" w:rsidRPr="007F08F0">
        <w:rPr>
          <w:rFonts w:ascii="Times New Roman" w:hAnsi="Times New Roman" w:cs="Times New Roman"/>
          <w:sz w:val="24"/>
          <w:szCs w:val="24"/>
        </w:rPr>
        <w:t xml:space="preserve"> </w:t>
      </w:r>
      <w:r w:rsidR="00200CD8" w:rsidRPr="007F08F0">
        <w:rPr>
          <w:rFonts w:ascii="Times New Roman" w:hAnsi="Times New Roman" w:cs="Times New Roman"/>
          <w:sz w:val="24"/>
          <w:szCs w:val="24"/>
        </w:rPr>
        <w:t xml:space="preserve"> </w:t>
      </w:r>
      <w:r w:rsidR="005A5DDD" w:rsidRPr="007F08F0">
        <w:rPr>
          <w:rFonts w:ascii="Times New Roman" w:hAnsi="Times New Roman" w:cs="Times New Roman"/>
          <w:sz w:val="24"/>
          <w:szCs w:val="24"/>
        </w:rPr>
        <w:t xml:space="preserve"> </w:t>
      </w:r>
      <w:r w:rsidR="001F50A6" w:rsidRPr="007F08F0">
        <w:rPr>
          <w:rFonts w:ascii="Times New Roman" w:hAnsi="Times New Roman" w:cs="Times New Roman"/>
          <w:sz w:val="24"/>
          <w:szCs w:val="24"/>
        </w:rPr>
        <w:t xml:space="preserve"> </w:t>
      </w:r>
      <w:r w:rsidR="001A030D" w:rsidRPr="007F08F0">
        <w:rPr>
          <w:rFonts w:ascii="Times New Roman" w:hAnsi="Times New Roman" w:cs="Times New Roman"/>
          <w:sz w:val="24"/>
          <w:szCs w:val="24"/>
        </w:rPr>
        <w:t xml:space="preserve"> </w:t>
      </w:r>
      <w:r w:rsidR="006724A3" w:rsidRPr="007F08F0">
        <w:rPr>
          <w:rFonts w:ascii="Times New Roman" w:hAnsi="Times New Roman" w:cs="Times New Roman"/>
          <w:sz w:val="24"/>
          <w:szCs w:val="24"/>
        </w:rPr>
        <w:t xml:space="preserve">  </w:t>
      </w:r>
    </w:p>
    <w:sectPr w:rsidR="00551832" w:rsidRPr="007F08F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C18" w:rsidRDefault="00A37C18" w:rsidP="002A36C0">
      <w:pPr>
        <w:spacing w:after="0" w:line="240" w:lineRule="auto"/>
      </w:pPr>
      <w:r>
        <w:separator/>
      </w:r>
    </w:p>
  </w:endnote>
  <w:endnote w:type="continuationSeparator" w:id="0">
    <w:p w:rsidR="00A37C18" w:rsidRDefault="00A37C18" w:rsidP="002A3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C18" w:rsidRDefault="00A37C18" w:rsidP="002A36C0">
      <w:pPr>
        <w:spacing w:after="0" w:line="240" w:lineRule="auto"/>
      </w:pPr>
      <w:r>
        <w:separator/>
      </w:r>
    </w:p>
  </w:footnote>
  <w:footnote w:type="continuationSeparator" w:id="0">
    <w:p w:rsidR="00A37C18" w:rsidRDefault="00A37C18" w:rsidP="002A36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5862991"/>
      <w:docPartObj>
        <w:docPartGallery w:val="Page Numbers (Top of Page)"/>
        <w:docPartUnique/>
      </w:docPartObj>
    </w:sdtPr>
    <w:sdtEndPr>
      <w:rPr>
        <w:noProof/>
      </w:rPr>
    </w:sdtEndPr>
    <w:sdtContent>
      <w:p w:rsidR="002A36C0" w:rsidRDefault="002A36C0">
        <w:pPr>
          <w:pStyle w:val="Header"/>
          <w:jc w:val="right"/>
          <w:rPr>
            <w:noProof/>
          </w:rPr>
        </w:pPr>
        <w:r>
          <w:fldChar w:fldCharType="begin"/>
        </w:r>
        <w:r>
          <w:instrText xml:space="preserve"> PAGE   \* MERGEFORMAT </w:instrText>
        </w:r>
        <w:r>
          <w:fldChar w:fldCharType="separate"/>
        </w:r>
        <w:r w:rsidR="000D0FD7">
          <w:rPr>
            <w:noProof/>
          </w:rPr>
          <w:t>1</w:t>
        </w:r>
        <w:r>
          <w:rPr>
            <w:noProof/>
          </w:rPr>
          <w:fldChar w:fldCharType="end"/>
        </w:r>
      </w:p>
      <w:p w:rsidR="002A36C0" w:rsidRDefault="002A36C0">
        <w:pPr>
          <w:pStyle w:val="Header"/>
          <w:jc w:val="right"/>
          <w:rPr>
            <w:noProof/>
          </w:rPr>
        </w:pPr>
        <w:r>
          <w:rPr>
            <w:noProof/>
          </w:rPr>
          <w:t>HH</w:t>
        </w:r>
        <w:r w:rsidR="00F27216">
          <w:rPr>
            <w:noProof/>
          </w:rPr>
          <w:t xml:space="preserve"> 94-17</w:t>
        </w:r>
      </w:p>
      <w:p w:rsidR="002A36C0" w:rsidRDefault="002A36C0">
        <w:pPr>
          <w:pStyle w:val="Header"/>
          <w:jc w:val="right"/>
          <w:rPr>
            <w:noProof/>
          </w:rPr>
        </w:pPr>
        <w:r>
          <w:rPr>
            <w:noProof/>
          </w:rPr>
          <w:t>HC 1603/16</w:t>
        </w:r>
      </w:p>
      <w:p w:rsidR="002A36C0" w:rsidRDefault="002A36C0">
        <w:pPr>
          <w:pStyle w:val="Header"/>
          <w:jc w:val="right"/>
        </w:pPr>
        <w:r>
          <w:rPr>
            <w:noProof/>
          </w:rPr>
          <w:t>Ref HC 3360/15</w:t>
        </w:r>
      </w:p>
    </w:sdtContent>
  </w:sdt>
  <w:p w:rsidR="002A36C0" w:rsidRDefault="002A36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3974CC"/>
    <w:multiLevelType w:val="hybridMultilevel"/>
    <w:tmpl w:val="9800ADDC"/>
    <w:lvl w:ilvl="0" w:tplc="C97AE96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D954C84"/>
    <w:multiLevelType w:val="hybridMultilevel"/>
    <w:tmpl w:val="93FC9B70"/>
    <w:lvl w:ilvl="0" w:tplc="054CB36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71FF2493"/>
    <w:multiLevelType w:val="hybridMultilevel"/>
    <w:tmpl w:val="5E3A52FC"/>
    <w:lvl w:ilvl="0" w:tplc="5C7EA26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A2"/>
    <w:rsid w:val="00054454"/>
    <w:rsid w:val="000A10D6"/>
    <w:rsid w:val="000D0FD7"/>
    <w:rsid w:val="00142167"/>
    <w:rsid w:val="00154A36"/>
    <w:rsid w:val="00166915"/>
    <w:rsid w:val="001A030D"/>
    <w:rsid w:val="001C1345"/>
    <w:rsid w:val="001F50A6"/>
    <w:rsid w:val="00200CD8"/>
    <w:rsid w:val="00236FC5"/>
    <w:rsid w:val="002A36C0"/>
    <w:rsid w:val="003048A2"/>
    <w:rsid w:val="003853EB"/>
    <w:rsid w:val="003C3114"/>
    <w:rsid w:val="003D430A"/>
    <w:rsid w:val="00405074"/>
    <w:rsid w:val="00435A04"/>
    <w:rsid w:val="00447027"/>
    <w:rsid w:val="004B7ED6"/>
    <w:rsid w:val="004C0322"/>
    <w:rsid w:val="004D4818"/>
    <w:rsid w:val="00540F09"/>
    <w:rsid w:val="00551832"/>
    <w:rsid w:val="005A1B19"/>
    <w:rsid w:val="005A5DDD"/>
    <w:rsid w:val="00661B8F"/>
    <w:rsid w:val="006724A3"/>
    <w:rsid w:val="007E0D66"/>
    <w:rsid w:val="007E17DD"/>
    <w:rsid w:val="007F08F0"/>
    <w:rsid w:val="00812659"/>
    <w:rsid w:val="00831EE0"/>
    <w:rsid w:val="008C13C1"/>
    <w:rsid w:val="008E13D1"/>
    <w:rsid w:val="00903E3E"/>
    <w:rsid w:val="009A462D"/>
    <w:rsid w:val="009B5029"/>
    <w:rsid w:val="00A37C18"/>
    <w:rsid w:val="00A67730"/>
    <w:rsid w:val="00A94A24"/>
    <w:rsid w:val="00BE2C9A"/>
    <w:rsid w:val="00CA3BC6"/>
    <w:rsid w:val="00D76F20"/>
    <w:rsid w:val="00DE2638"/>
    <w:rsid w:val="00DF53CF"/>
    <w:rsid w:val="00E31104"/>
    <w:rsid w:val="00E53D69"/>
    <w:rsid w:val="00E93EA7"/>
    <w:rsid w:val="00EF108F"/>
    <w:rsid w:val="00F15D67"/>
    <w:rsid w:val="00F27216"/>
    <w:rsid w:val="00F702D6"/>
    <w:rsid w:val="00F90EAC"/>
    <w:rsid w:val="00F96C5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1832"/>
    <w:pPr>
      <w:spacing w:after="0" w:line="240" w:lineRule="auto"/>
    </w:pPr>
  </w:style>
  <w:style w:type="paragraph" w:styleId="ListParagraph">
    <w:name w:val="List Paragraph"/>
    <w:basedOn w:val="Normal"/>
    <w:uiPriority w:val="34"/>
    <w:qFormat/>
    <w:rsid w:val="001F50A6"/>
    <w:pPr>
      <w:ind w:left="720"/>
      <w:contextualSpacing/>
    </w:pPr>
  </w:style>
  <w:style w:type="paragraph" w:styleId="Header">
    <w:name w:val="header"/>
    <w:basedOn w:val="Normal"/>
    <w:link w:val="HeaderChar"/>
    <w:uiPriority w:val="99"/>
    <w:unhideWhenUsed/>
    <w:rsid w:val="002A3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6C0"/>
  </w:style>
  <w:style w:type="paragraph" w:styleId="Footer">
    <w:name w:val="footer"/>
    <w:basedOn w:val="Normal"/>
    <w:link w:val="FooterChar"/>
    <w:uiPriority w:val="99"/>
    <w:unhideWhenUsed/>
    <w:rsid w:val="002A3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6C0"/>
  </w:style>
  <w:style w:type="paragraph" w:styleId="BalloonText">
    <w:name w:val="Balloon Text"/>
    <w:basedOn w:val="Normal"/>
    <w:link w:val="BalloonTextChar"/>
    <w:uiPriority w:val="99"/>
    <w:semiHidden/>
    <w:unhideWhenUsed/>
    <w:rsid w:val="00E53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D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1832"/>
    <w:pPr>
      <w:spacing w:after="0" w:line="240" w:lineRule="auto"/>
    </w:pPr>
  </w:style>
  <w:style w:type="paragraph" w:styleId="ListParagraph">
    <w:name w:val="List Paragraph"/>
    <w:basedOn w:val="Normal"/>
    <w:uiPriority w:val="34"/>
    <w:qFormat/>
    <w:rsid w:val="001F50A6"/>
    <w:pPr>
      <w:ind w:left="720"/>
      <w:contextualSpacing/>
    </w:pPr>
  </w:style>
  <w:style w:type="paragraph" w:styleId="Header">
    <w:name w:val="header"/>
    <w:basedOn w:val="Normal"/>
    <w:link w:val="HeaderChar"/>
    <w:uiPriority w:val="99"/>
    <w:unhideWhenUsed/>
    <w:rsid w:val="002A3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6C0"/>
  </w:style>
  <w:style w:type="paragraph" w:styleId="Footer">
    <w:name w:val="footer"/>
    <w:basedOn w:val="Normal"/>
    <w:link w:val="FooterChar"/>
    <w:uiPriority w:val="99"/>
    <w:unhideWhenUsed/>
    <w:rsid w:val="002A3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6C0"/>
  </w:style>
  <w:style w:type="paragraph" w:styleId="BalloonText">
    <w:name w:val="Balloon Text"/>
    <w:basedOn w:val="Normal"/>
    <w:link w:val="BalloonTextChar"/>
    <w:uiPriority w:val="99"/>
    <w:semiHidden/>
    <w:unhideWhenUsed/>
    <w:rsid w:val="00E53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D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user</cp:lastModifiedBy>
  <cp:revision>2</cp:revision>
  <cp:lastPrinted>2017-02-09T12:53:00Z</cp:lastPrinted>
  <dcterms:created xsi:type="dcterms:W3CDTF">2017-02-16T08:03:00Z</dcterms:created>
  <dcterms:modified xsi:type="dcterms:W3CDTF">2017-02-16T08:03:00Z</dcterms:modified>
</cp:coreProperties>
</file>