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1FD" w:rsidRDefault="001C4FD6" w:rsidP="00B437D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WISHMAN MUTOMBA</w:t>
      </w:r>
    </w:p>
    <w:p w:rsidR="002161FD" w:rsidRDefault="00853E31"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65B5F" w:rsidRDefault="001C4FD6"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MUCHAFA TAVENGWA </w:t>
      </w:r>
    </w:p>
    <w:p w:rsidR="001C4FD6" w:rsidRDefault="001C4FD6"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C4FD6" w:rsidRDefault="001C4FD6"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CITY OF HARARE</w:t>
      </w:r>
    </w:p>
    <w:p w:rsidR="00527493" w:rsidRDefault="00527493" w:rsidP="00B437D5">
      <w:pPr>
        <w:spacing w:after="0" w:line="240" w:lineRule="auto"/>
        <w:rPr>
          <w:rFonts w:ascii="Times New Roman" w:hAnsi="Times New Roman" w:cs="Times New Roman"/>
          <w:sz w:val="24"/>
          <w:szCs w:val="24"/>
        </w:rPr>
      </w:pPr>
    </w:p>
    <w:p w:rsidR="00FF5164" w:rsidRDefault="00FF5164" w:rsidP="00B437D5">
      <w:pPr>
        <w:spacing w:after="0" w:line="240" w:lineRule="auto"/>
        <w:rPr>
          <w:rFonts w:ascii="Times New Roman" w:hAnsi="Times New Roman" w:cs="Times New Roman"/>
          <w:sz w:val="24"/>
          <w:szCs w:val="24"/>
        </w:rPr>
      </w:pPr>
    </w:p>
    <w:p w:rsidR="00B437D5" w:rsidRPr="002B389B"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B437D5" w:rsidRPr="002B389B" w:rsidRDefault="002161FD"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CHITAPI </w:t>
      </w:r>
      <w:r w:rsidR="00971248">
        <w:rPr>
          <w:rFonts w:ascii="Times New Roman" w:hAnsi="Times New Roman" w:cs="Times New Roman"/>
          <w:sz w:val="24"/>
          <w:szCs w:val="24"/>
        </w:rPr>
        <w:t>&amp; MUNANGATI-MANONGWA J</w:t>
      </w:r>
      <w:r>
        <w:rPr>
          <w:rFonts w:ascii="Times New Roman" w:hAnsi="Times New Roman" w:cs="Times New Roman"/>
          <w:sz w:val="24"/>
          <w:szCs w:val="24"/>
        </w:rPr>
        <w:t>J</w:t>
      </w:r>
    </w:p>
    <w:p w:rsidR="00FF5164"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sidR="00890A7D">
        <w:rPr>
          <w:rFonts w:ascii="Times New Roman" w:hAnsi="Times New Roman" w:cs="Times New Roman"/>
          <w:sz w:val="24"/>
          <w:szCs w:val="24"/>
        </w:rPr>
        <w:t xml:space="preserve">, </w:t>
      </w:r>
      <w:r w:rsidR="001B6D4C">
        <w:rPr>
          <w:rFonts w:ascii="Times New Roman" w:hAnsi="Times New Roman" w:cs="Times New Roman"/>
          <w:sz w:val="24"/>
          <w:szCs w:val="24"/>
        </w:rPr>
        <w:t>7 September</w:t>
      </w:r>
      <w:r w:rsidR="00F42963">
        <w:rPr>
          <w:rFonts w:ascii="Times New Roman" w:hAnsi="Times New Roman" w:cs="Times New Roman"/>
          <w:sz w:val="24"/>
          <w:szCs w:val="24"/>
        </w:rPr>
        <w:t xml:space="preserve"> </w:t>
      </w:r>
      <w:r w:rsidR="00890A7D">
        <w:rPr>
          <w:rFonts w:ascii="Times New Roman" w:hAnsi="Times New Roman" w:cs="Times New Roman"/>
          <w:sz w:val="24"/>
          <w:szCs w:val="24"/>
        </w:rPr>
        <w:t>2023</w:t>
      </w:r>
    </w:p>
    <w:p w:rsidR="006854D9" w:rsidRDefault="006854D9" w:rsidP="00B437D5">
      <w:pPr>
        <w:spacing w:after="0" w:line="240" w:lineRule="auto"/>
        <w:rPr>
          <w:rFonts w:ascii="Times New Roman" w:hAnsi="Times New Roman" w:cs="Times New Roman"/>
          <w:b/>
          <w:sz w:val="24"/>
          <w:szCs w:val="24"/>
        </w:rPr>
      </w:pPr>
    </w:p>
    <w:p w:rsidR="00B437D5" w:rsidRDefault="0056169F" w:rsidP="0056169F">
      <w:pPr>
        <w:tabs>
          <w:tab w:val="left" w:pos="762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B437D5" w:rsidRDefault="0058071B" w:rsidP="00B437D5">
      <w:pPr>
        <w:spacing w:after="0" w:line="240" w:lineRule="auto"/>
        <w:rPr>
          <w:rFonts w:ascii="Times New Roman" w:hAnsi="Times New Roman" w:cs="Times New Roman"/>
          <w:b/>
          <w:sz w:val="24"/>
          <w:szCs w:val="24"/>
        </w:rPr>
      </w:pPr>
      <w:r>
        <w:rPr>
          <w:rFonts w:ascii="Times New Roman" w:hAnsi="Times New Roman" w:cs="Times New Roman"/>
          <w:b/>
          <w:sz w:val="24"/>
          <w:szCs w:val="24"/>
        </w:rPr>
        <w:t>Civil Appeal</w:t>
      </w:r>
    </w:p>
    <w:p w:rsidR="00501CC4" w:rsidRDefault="00501CC4" w:rsidP="00B437D5">
      <w:pPr>
        <w:spacing w:after="0" w:line="240" w:lineRule="auto"/>
        <w:rPr>
          <w:rFonts w:ascii="Times New Roman" w:hAnsi="Times New Roman" w:cs="Times New Roman"/>
          <w:b/>
          <w:sz w:val="24"/>
          <w:szCs w:val="24"/>
        </w:rPr>
      </w:pPr>
    </w:p>
    <w:p w:rsidR="00501CC4" w:rsidRDefault="00501CC4" w:rsidP="00B437D5">
      <w:pPr>
        <w:spacing w:after="0" w:line="240" w:lineRule="auto"/>
        <w:rPr>
          <w:rFonts w:ascii="Times New Roman" w:hAnsi="Times New Roman" w:cs="Times New Roman"/>
          <w:b/>
          <w:sz w:val="24"/>
          <w:szCs w:val="24"/>
        </w:rPr>
      </w:pPr>
    </w:p>
    <w:p w:rsidR="00501CC4" w:rsidRPr="00501CC4" w:rsidRDefault="00971248" w:rsidP="00B437D5">
      <w:pPr>
        <w:spacing w:after="0" w:line="240" w:lineRule="auto"/>
        <w:rPr>
          <w:rFonts w:ascii="Times New Roman" w:hAnsi="Times New Roman" w:cs="Times New Roman"/>
          <w:sz w:val="24"/>
          <w:szCs w:val="24"/>
        </w:rPr>
      </w:pPr>
      <w:r>
        <w:rPr>
          <w:rFonts w:ascii="Times New Roman" w:hAnsi="Times New Roman" w:cs="Times New Roman"/>
          <w:i/>
          <w:sz w:val="24"/>
          <w:szCs w:val="24"/>
        </w:rPr>
        <w:t>N. Chikono,</w:t>
      </w:r>
      <w:r>
        <w:rPr>
          <w:rFonts w:ascii="Times New Roman" w:hAnsi="Times New Roman" w:cs="Times New Roman"/>
          <w:sz w:val="24"/>
          <w:szCs w:val="24"/>
        </w:rPr>
        <w:t xml:space="preserve"> for the appella</w:t>
      </w:r>
      <w:r w:rsidR="00501CC4" w:rsidRPr="00501CC4">
        <w:rPr>
          <w:rFonts w:ascii="Times New Roman" w:hAnsi="Times New Roman" w:cs="Times New Roman"/>
          <w:sz w:val="24"/>
          <w:szCs w:val="24"/>
        </w:rPr>
        <w:t>nt</w:t>
      </w:r>
    </w:p>
    <w:p w:rsidR="00501CC4" w:rsidRPr="00501CC4" w:rsidRDefault="00971248" w:rsidP="00B437D5">
      <w:pPr>
        <w:spacing w:after="0" w:line="240" w:lineRule="auto"/>
        <w:rPr>
          <w:rFonts w:ascii="Times New Roman" w:hAnsi="Times New Roman" w:cs="Times New Roman"/>
          <w:sz w:val="24"/>
          <w:szCs w:val="24"/>
        </w:rPr>
      </w:pPr>
      <w:r>
        <w:rPr>
          <w:rFonts w:ascii="Times New Roman" w:hAnsi="Times New Roman" w:cs="Times New Roman"/>
          <w:i/>
          <w:sz w:val="24"/>
          <w:szCs w:val="24"/>
        </w:rPr>
        <w:t>A. Mufunda</w:t>
      </w:r>
      <w:r w:rsidR="00501CC4" w:rsidRPr="00501CC4">
        <w:rPr>
          <w:rFonts w:ascii="Times New Roman" w:hAnsi="Times New Roman" w:cs="Times New Roman"/>
          <w:sz w:val="24"/>
          <w:szCs w:val="24"/>
        </w:rPr>
        <w:t xml:space="preserve">, for the </w:t>
      </w:r>
      <w:r>
        <w:rPr>
          <w:rFonts w:ascii="Times New Roman" w:hAnsi="Times New Roman" w:cs="Times New Roman"/>
          <w:sz w:val="24"/>
          <w:szCs w:val="24"/>
        </w:rPr>
        <w:t>1</w:t>
      </w:r>
      <w:r w:rsidRPr="00971248">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501CC4" w:rsidRPr="00501CC4">
        <w:rPr>
          <w:rFonts w:ascii="Times New Roman" w:hAnsi="Times New Roman" w:cs="Times New Roman"/>
          <w:sz w:val="24"/>
          <w:szCs w:val="24"/>
        </w:rPr>
        <w:t xml:space="preserve">respondent </w:t>
      </w:r>
    </w:p>
    <w:p w:rsidR="00971248" w:rsidRPr="00971248" w:rsidRDefault="00971248" w:rsidP="00971248">
      <w:pPr>
        <w:spacing w:after="0" w:line="240" w:lineRule="auto"/>
        <w:rPr>
          <w:rFonts w:ascii="Times New Roman" w:hAnsi="Times New Roman" w:cs="Times New Roman"/>
          <w:sz w:val="24"/>
          <w:szCs w:val="24"/>
        </w:rPr>
      </w:pPr>
      <w:r w:rsidRPr="00971248">
        <w:rPr>
          <w:rFonts w:ascii="Times New Roman" w:hAnsi="Times New Roman" w:cs="Times New Roman"/>
          <w:sz w:val="24"/>
          <w:szCs w:val="24"/>
        </w:rPr>
        <w:t>No appearance for the 2</w:t>
      </w:r>
      <w:r w:rsidRPr="00971248">
        <w:rPr>
          <w:rFonts w:ascii="Times New Roman" w:hAnsi="Times New Roman" w:cs="Times New Roman"/>
          <w:sz w:val="24"/>
          <w:szCs w:val="24"/>
          <w:vertAlign w:val="superscript"/>
        </w:rPr>
        <w:t>nd</w:t>
      </w:r>
      <w:r w:rsidRPr="00971248">
        <w:rPr>
          <w:rFonts w:ascii="Times New Roman" w:hAnsi="Times New Roman" w:cs="Times New Roman"/>
          <w:sz w:val="24"/>
          <w:szCs w:val="24"/>
        </w:rPr>
        <w:t xml:space="preserve"> respondent </w:t>
      </w:r>
    </w:p>
    <w:p w:rsidR="00D11663" w:rsidRDefault="00D11663" w:rsidP="00B437D5">
      <w:pPr>
        <w:spacing w:after="0" w:line="240" w:lineRule="auto"/>
        <w:rPr>
          <w:rFonts w:ascii="Times New Roman" w:hAnsi="Times New Roman" w:cs="Times New Roman"/>
          <w:b/>
          <w:sz w:val="24"/>
          <w:szCs w:val="24"/>
        </w:rPr>
      </w:pPr>
    </w:p>
    <w:p w:rsidR="00A21901" w:rsidRDefault="00A21901" w:rsidP="00F31901">
      <w:pPr>
        <w:spacing w:after="0" w:line="360" w:lineRule="auto"/>
        <w:jc w:val="both"/>
        <w:rPr>
          <w:rFonts w:ascii="Times New Roman" w:hAnsi="Times New Roman" w:cs="Times New Roman"/>
          <w:sz w:val="24"/>
          <w:szCs w:val="24"/>
        </w:rPr>
      </w:pPr>
    </w:p>
    <w:p w:rsidR="00E82A2F" w:rsidRDefault="00B437D5" w:rsidP="00FB0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83AC8">
        <w:rPr>
          <w:rFonts w:ascii="Times New Roman" w:hAnsi="Times New Roman" w:cs="Times New Roman"/>
          <w:b/>
          <w:sz w:val="24"/>
          <w:szCs w:val="24"/>
        </w:rPr>
        <w:t>CHITAPI J</w:t>
      </w:r>
      <w:r w:rsidR="00AE0BD9">
        <w:rPr>
          <w:rFonts w:ascii="Times New Roman" w:hAnsi="Times New Roman" w:cs="Times New Roman"/>
          <w:b/>
          <w:sz w:val="24"/>
          <w:szCs w:val="24"/>
        </w:rPr>
        <w:t xml:space="preserve">:     </w:t>
      </w:r>
      <w:r w:rsidR="00AE0BD9">
        <w:rPr>
          <w:rFonts w:ascii="Times New Roman" w:hAnsi="Times New Roman" w:cs="Times New Roman"/>
          <w:sz w:val="24"/>
          <w:szCs w:val="24"/>
        </w:rPr>
        <w:t xml:space="preserve">The </w:t>
      </w:r>
      <w:r w:rsidR="00FB0778">
        <w:rPr>
          <w:rFonts w:ascii="Times New Roman" w:hAnsi="Times New Roman" w:cs="Times New Roman"/>
          <w:sz w:val="24"/>
          <w:szCs w:val="24"/>
        </w:rPr>
        <w:t>appellant was legally represented at the hearing of his appeal on 15 June</w:t>
      </w:r>
      <w:r w:rsidR="00CE0CE1">
        <w:rPr>
          <w:rFonts w:ascii="Times New Roman" w:hAnsi="Times New Roman" w:cs="Times New Roman"/>
          <w:sz w:val="24"/>
          <w:szCs w:val="24"/>
        </w:rPr>
        <w:t xml:space="preserve"> 2023 against the </w:t>
      </w:r>
      <w:r w:rsidR="00E82A2F">
        <w:rPr>
          <w:rFonts w:ascii="Times New Roman" w:hAnsi="Times New Roman" w:cs="Times New Roman"/>
          <w:sz w:val="24"/>
          <w:szCs w:val="24"/>
        </w:rPr>
        <w:t xml:space="preserve">judgement of the </w:t>
      </w:r>
      <w:r w:rsidR="00A85146">
        <w:rPr>
          <w:rFonts w:ascii="Times New Roman" w:hAnsi="Times New Roman" w:cs="Times New Roman"/>
          <w:sz w:val="24"/>
          <w:szCs w:val="24"/>
        </w:rPr>
        <w:t>m</w:t>
      </w:r>
      <w:r w:rsidR="00E82A2F">
        <w:rPr>
          <w:rFonts w:ascii="Times New Roman" w:hAnsi="Times New Roman" w:cs="Times New Roman"/>
          <w:sz w:val="24"/>
          <w:szCs w:val="24"/>
        </w:rPr>
        <w:t xml:space="preserve">agistrates </w:t>
      </w:r>
      <w:r w:rsidR="00A85146">
        <w:rPr>
          <w:rFonts w:ascii="Times New Roman" w:hAnsi="Times New Roman" w:cs="Times New Roman"/>
          <w:sz w:val="24"/>
          <w:szCs w:val="24"/>
        </w:rPr>
        <w:t>c</w:t>
      </w:r>
      <w:r w:rsidR="00E82A2F">
        <w:rPr>
          <w:rFonts w:ascii="Times New Roman" w:hAnsi="Times New Roman" w:cs="Times New Roman"/>
          <w:sz w:val="24"/>
          <w:szCs w:val="24"/>
        </w:rPr>
        <w:t>ourt, sitting at Harare on 14 November 2</w:t>
      </w:r>
      <w:r w:rsidR="00A85146">
        <w:rPr>
          <w:rFonts w:ascii="Times New Roman" w:hAnsi="Times New Roman" w:cs="Times New Roman"/>
          <w:sz w:val="24"/>
          <w:szCs w:val="24"/>
        </w:rPr>
        <w:t>0</w:t>
      </w:r>
      <w:r w:rsidR="00E82A2F">
        <w:rPr>
          <w:rFonts w:ascii="Times New Roman" w:hAnsi="Times New Roman" w:cs="Times New Roman"/>
          <w:sz w:val="24"/>
          <w:szCs w:val="24"/>
        </w:rPr>
        <w:t xml:space="preserve">22 per Machingura </w:t>
      </w:r>
      <w:r w:rsidR="00453BD3">
        <w:rPr>
          <w:rFonts w:ascii="Times New Roman" w:hAnsi="Times New Roman" w:cs="Times New Roman"/>
          <w:sz w:val="24"/>
          <w:szCs w:val="24"/>
        </w:rPr>
        <w:t>M</w:t>
      </w:r>
      <w:r w:rsidR="00E82A2F">
        <w:rPr>
          <w:rFonts w:ascii="Times New Roman" w:hAnsi="Times New Roman" w:cs="Times New Roman"/>
          <w:sz w:val="24"/>
          <w:szCs w:val="24"/>
        </w:rPr>
        <w:t xml:space="preserve">agistrate </w:t>
      </w:r>
      <w:r w:rsidR="00A85146" w:rsidRPr="00A85146">
        <w:rPr>
          <w:rFonts w:ascii="Times New Roman" w:hAnsi="Times New Roman" w:cs="Times New Roman"/>
          <w:i/>
          <w:sz w:val="24"/>
          <w:szCs w:val="24"/>
        </w:rPr>
        <w:t>E</w:t>
      </w:r>
      <w:r w:rsidR="00E82A2F" w:rsidRPr="00A85146">
        <w:rPr>
          <w:rFonts w:ascii="Times New Roman" w:hAnsi="Times New Roman" w:cs="Times New Roman"/>
          <w:i/>
          <w:sz w:val="24"/>
          <w:szCs w:val="24"/>
        </w:rPr>
        <w:t>squire</w:t>
      </w:r>
      <w:r w:rsidR="00E82A2F">
        <w:rPr>
          <w:rFonts w:ascii="Times New Roman" w:hAnsi="Times New Roman" w:cs="Times New Roman"/>
          <w:sz w:val="24"/>
          <w:szCs w:val="24"/>
        </w:rPr>
        <w:t>.  The appeal succeeded albeit the success came by when the court exercised its review powers as provided in s 26 of the High Court Act [</w:t>
      </w:r>
      <w:r w:rsidR="00E82A2F" w:rsidRPr="00A85146">
        <w:rPr>
          <w:rFonts w:ascii="Times New Roman" w:hAnsi="Times New Roman" w:cs="Times New Roman"/>
          <w:i/>
          <w:sz w:val="24"/>
          <w:szCs w:val="24"/>
        </w:rPr>
        <w:t>Chapter 7:06</w:t>
      </w:r>
      <w:r w:rsidR="00E82A2F">
        <w:rPr>
          <w:rFonts w:ascii="Times New Roman" w:hAnsi="Times New Roman" w:cs="Times New Roman"/>
          <w:sz w:val="24"/>
          <w:szCs w:val="24"/>
        </w:rPr>
        <w:t xml:space="preserve">].  By letter dated 10 August 2023 the appellant requests for </w:t>
      </w:r>
      <w:r w:rsidR="00A85146">
        <w:rPr>
          <w:rFonts w:ascii="Times New Roman" w:hAnsi="Times New Roman" w:cs="Times New Roman"/>
          <w:sz w:val="24"/>
          <w:szCs w:val="24"/>
        </w:rPr>
        <w:t>a</w:t>
      </w:r>
      <w:r w:rsidR="00E82A2F">
        <w:rPr>
          <w:rFonts w:ascii="Times New Roman" w:hAnsi="Times New Roman" w:cs="Times New Roman"/>
          <w:sz w:val="24"/>
          <w:szCs w:val="24"/>
        </w:rPr>
        <w:t xml:space="preserve"> </w:t>
      </w:r>
      <w:r w:rsidR="00A85146">
        <w:rPr>
          <w:rFonts w:ascii="Times New Roman" w:hAnsi="Times New Roman" w:cs="Times New Roman"/>
          <w:sz w:val="24"/>
          <w:szCs w:val="24"/>
        </w:rPr>
        <w:t>“</w:t>
      </w:r>
      <w:r w:rsidR="00E82A2F">
        <w:rPr>
          <w:rFonts w:ascii="Times New Roman" w:hAnsi="Times New Roman" w:cs="Times New Roman"/>
          <w:sz w:val="24"/>
          <w:szCs w:val="24"/>
        </w:rPr>
        <w:t>ruling</w:t>
      </w:r>
      <w:r w:rsidR="00A85146">
        <w:rPr>
          <w:rFonts w:ascii="Times New Roman" w:hAnsi="Times New Roman" w:cs="Times New Roman"/>
          <w:sz w:val="24"/>
          <w:szCs w:val="24"/>
        </w:rPr>
        <w:t>”</w:t>
      </w:r>
      <w:r w:rsidR="00E82A2F">
        <w:rPr>
          <w:rFonts w:ascii="Times New Roman" w:hAnsi="Times New Roman" w:cs="Times New Roman"/>
          <w:sz w:val="24"/>
          <w:szCs w:val="24"/>
        </w:rPr>
        <w:t xml:space="preserve"> under case number CIV ‘A’ 40</w:t>
      </w:r>
      <w:r w:rsidR="00A85146">
        <w:rPr>
          <w:rFonts w:ascii="Times New Roman" w:hAnsi="Times New Roman" w:cs="Times New Roman"/>
          <w:sz w:val="24"/>
          <w:szCs w:val="24"/>
        </w:rPr>
        <w:t>3</w:t>
      </w:r>
      <w:r w:rsidR="00E82A2F">
        <w:rPr>
          <w:rFonts w:ascii="Times New Roman" w:hAnsi="Times New Roman" w:cs="Times New Roman"/>
          <w:sz w:val="24"/>
          <w:szCs w:val="24"/>
        </w:rPr>
        <w:t>/22.  It is not clear why the appellant has not used his legal practitioners to make the request.  It is not clear whether the appellant understands the meaning of a “ruling”.  I say so because at the end of the hearing, the court issued an order which in fact would equate to the “ruling”.  The appellant however stated in his letter as follows:</w:t>
      </w:r>
    </w:p>
    <w:p w:rsidR="00E82A2F" w:rsidRDefault="00E82A2F" w:rsidP="00E82A2F">
      <w:pPr>
        <w:spacing w:after="0" w:line="240" w:lineRule="auto"/>
        <w:jc w:val="both"/>
        <w:rPr>
          <w:rFonts w:ascii="Times New Roman" w:hAnsi="Times New Roman" w:cs="Times New Roman"/>
        </w:rPr>
      </w:pPr>
      <w:r>
        <w:rPr>
          <w:rFonts w:ascii="Times New Roman" w:hAnsi="Times New Roman" w:cs="Times New Roman"/>
          <w:sz w:val="24"/>
          <w:szCs w:val="24"/>
        </w:rPr>
        <w:tab/>
      </w:r>
      <w:r w:rsidRPr="00E82A2F">
        <w:rPr>
          <w:rFonts w:ascii="Times New Roman" w:hAnsi="Times New Roman" w:cs="Times New Roman"/>
        </w:rPr>
        <w:t xml:space="preserve">“This development (i.e. to request for a ruling) came after the Magistrate Court Civil which </w:t>
      </w:r>
      <w:r w:rsidRPr="00E82A2F">
        <w:rPr>
          <w:rFonts w:ascii="Times New Roman" w:hAnsi="Times New Roman" w:cs="Times New Roman"/>
        </w:rPr>
        <w:tab/>
        <w:t xml:space="preserve">was handling the matter for eviction under case number 10690/19 requested the ruling for </w:t>
      </w:r>
      <w:r w:rsidRPr="00E82A2F">
        <w:rPr>
          <w:rFonts w:ascii="Times New Roman" w:hAnsi="Times New Roman" w:cs="Times New Roman"/>
        </w:rPr>
        <w:tab/>
        <w:t>them to execute the order.”</w:t>
      </w:r>
    </w:p>
    <w:p w:rsidR="00E82A2F" w:rsidRDefault="00E82A2F" w:rsidP="00E82A2F">
      <w:pPr>
        <w:spacing w:after="0" w:line="240" w:lineRule="auto"/>
        <w:jc w:val="both"/>
        <w:rPr>
          <w:rFonts w:ascii="Times New Roman" w:hAnsi="Times New Roman" w:cs="Times New Roman"/>
        </w:rPr>
      </w:pPr>
    </w:p>
    <w:p w:rsidR="00E82A2F" w:rsidRDefault="00E82A2F" w:rsidP="00E82A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considered it advised to give the reasons for the order which the court made on appeal</w:t>
      </w:r>
      <w:r w:rsidR="00906A10">
        <w:rPr>
          <w:rFonts w:ascii="Times New Roman" w:hAnsi="Times New Roman" w:cs="Times New Roman"/>
          <w:sz w:val="24"/>
          <w:szCs w:val="24"/>
        </w:rPr>
        <w:t xml:space="preserve">. </w:t>
      </w:r>
      <w:r>
        <w:rPr>
          <w:rFonts w:ascii="Times New Roman" w:hAnsi="Times New Roman" w:cs="Times New Roman"/>
          <w:sz w:val="24"/>
          <w:szCs w:val="24"/>
        </w:rPr>
        <w:t xml:space="preserve"> </w:t>
      </w:r>
      <w:r w:rsidR="00906A10">
        <w:rPr>
          <w:rFonts w:ascii="Times New Roman" w:hAnsi="Times New Roman" w:cs="Times New Roman"/>
          <w:sz w:val="24"/>
          <w:szCs w:val="24"/>
        </w:rPr>
        <w:t>T</w:t>
      </w:r>
      <w:r>
        <w:rPr>
          <w:rFonts w:ascii="Times New Roman" w:hAnsi="Times New Roman" w:cs="Times New Roman"/>
          <w:sz w:val="24"/>
          <w:szCs w:val="24"/>
        </w:rPr>
        <w:t>he order was as follows:</w:t>
      </w:r>
    </w:p>
    <w:p w:rsidR="004806FC" w:rsidRDefault="004806FC" w:rsidP="00E82A2F">
      <w:pPr>
        <w:spacing w:after="0" w:line="360" w:lineRule="auto"/>
        <w:jc w:val="both"/>
        <w:rPr>
          <w:rFonts w:ascii="Times New Roman" w:hAnsi="Times New Roman" w:cs="Times New Roman"/>
          <w:sz w:val="24"/>
          <w:szCs w:val="24"/>
        </w:rPr>
      </w:pPr>
    </w:p>
    <w:p w:rsidR="00E82A2F" w:rsidRDefault="00E82A2F" w:rsidP="00E82A2F">
      <w:pPr>
        <w:spacing w:after="0" w:line="360" w:lineRule="auto"/>
        <w:jc w:val="both"/>
        <w:rPr>
          <w:rFonts w:ascii="Times New Roman" w:hAnsi="Times New Roman" w:cs="Times New Roman"/>
        </w:rPr>
      </w:pPr>
      <w:r>
        <w:rPr>
          <w:rFonts w:ascii="Times New Roman" w:hAnsi="Times New Roman" w:cs="Times New Roman"/>
          <w:sz w:val="24"/>
          <w:szCs w:val="24"/>
        </w:rPr>
        <w:lastRenderedPageBreak/>
        <w:tab/>
      </w:r>
      <w:r w:rsidRPr="00E82A2F">
        <w:rPr>
          <w:rFonts w:ascii="Times New Roman" w:hAnsi="Times New Roman" w:cs="Times New Roman"/>
        </w:rPr>
        <w:t>“</w:t>
      </w:r>
      <w:r w:rsidRPr="0058071B">
        <w:rPr>
          <w:rFonts w:ascii="Times New Roman" w:hAnsi="Times New Roman" w:cs="Times New Roman"/>
          <w:b/>
        </w:rPr>
        <w:t xml:space="preserve">IT IS ORDERED </w:t>
      </w:r>
      <w:r w:rsidR="004806FC" w:rsidRPr="0058071B">
        <w:rPr>
          <w:rFonts w:ascii="Times New Roman" w:hAnsi="Times New Roman" w:cs="Times New Roman"/>
          <w:b/>
        </w:rPr>
        <w:t>THAT</w:t>
      </w:r>
      <w:r w:rsidR="004806FC">
        <w:rPr>
          <w:rFonts w:ascii="Times New Roman" w:hAnsi="Times New Roman" w:cs="Times New Roman"/>
        </w:rPr>
        <w:t>:</w:t>
      </w:r>
    </w:p>
    <w:p w:rsidR="004806FC" w:rsidRDefault="004806FC" w:rsidP="00E82A2F">
      <w:pPr>
        <w:spacing w:after="0" w:line="360" w:lineRule="auto"/>
        <w:jc w:val="both"/>
        <w:rPr>
          <w:rFonts w:ascii="Times New Roman" w:hAnsi="Times New Roman" w:cs="Times New Roman"/>
        </w:rPr>
      </w:pPr>
      <w:r>
        <w:rPr>
          <w:rFonts w:ascii="Times New Roman" w:hAnsi="Times New Roman" w:cs="Times New Roman"/>
        </w:rPr>
        <w:tab/>
        <w:t xml:space="preserve"> In </w:t>
      </w:r>
      <w:r w:rsidR="0058071B">
        <w:rPr>
          <w:rFonts w:ascii="Times New Roman" w:hAnsi="Times New Roman" w:cs="Times New Roman"/>
        </w:rPr>
        <w:t xml:space="preserve">terms of the powers given to court to review proceedings as provided under the High Court Act </w:t>
      </w:r>
      <w:r w:rsidR="0058071B">
        <w:rPr>
          <w:rFonts w:ascii="Times New Roman" w:hAnsi="Times New Roman" w:cs="Times New Roman"/>
        </w:rPr>
        <w:tab/>
        <w:t>[</w:t>
      </w:r>
      <w:r w:rsidR="0058071B" w:rsidRPr="0058071B">
        <w:rPr>
          <w:rFonts w:ascii="Times New Roman" w:hAnsi="Times New Roman" w:cs="Times New Roman"/>
          <w:i/>
        </w:rPr>
        <w:t>Chapter 7:06</w:t>
      </w:r>
      <w:r w:rsidR="0058071B">
        <w:rPr>
          <w:rFonts w:ascii="Times New Roman" w:hAnsi="Times New Roman" w:cs="Times New Roman"/>
        </w:rPr>
        <w:t>] Section 26 thereof:</w:t>
      </w:r>
    </w:p>
    <w:p w:rsidR="0058071B" w:rsidRDefault="0058071B" w:rsidP="0058071B">
      <w:pPr>
        <w:tabs>
          <w:tab w:val="left" w:pos="720"/>
          <w:tab w:val="left" w:pos="1080"/>
        </w:tabs>
        <w:spacing w:after="0" w:line="360" w:lineRule="auto"/>
        <w:jc w:val="both"/>
        <w:rPr>
          <w:rFonts w:ascii="Times New Roman" w:hAnsi="Times New Roman" w:cs="Times New Roman"/>
        </w:rPr>
      </w:pPr>
      <w:r>
        <w:rPr>
          <w:rFonts w:ascii="Times New Roman" w:hAnsi="Times New Roman" w:cs="Times New Roman"/>
        </w:rPr>
        <w:tab/>
        <w:t>1.</w:t>
      </w:r>
      <w:r>
        <w:rPr>
          <w:rFonts w:ascii="Times New Roman" w:hAnsi="Times New Roman" w:cs="Times New Roman"/>
        </w:rPr>
        <w:tab/>
        <w:t>The proceedings in case number 10690/19 are set aside.</w:t>
      </w:r>
    </w:p>
    <w:p w:rsidR="0058071B" w:rsidRDefault="0058071B" w:rsidP="0058071B">
      <w:pPr>
        <w:tabs>
          <w:tab w:val="left" w:pos="720"/>
          <w:tab w:val="left" w:pos="1080"/>
        </w:tabs>
        <w:spacing w:after="0" w:line="360" w:lineRule="auto"/>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t>The matter is referred to the court a quo for a fresh trial before a different magistrate.”</w:t>
      </w:r>
      <w:r>
        <w:rPr>
          <w:rFonts w:ascii="Times New Roman" w:hAnsi="Times New Roman" w:cs="Times New Roman"/>
        </w:rPr>
        <w:tab/>
      </w:r>
    </w:p>
    <w:p w:rsidR="00E82A2F" w:rsidRDefault="0058071B" w:rsidP="00E82A2F">
      <w:pPr>
        <w:spacing w:after="0" w:line="360" w:lineRule="auto"/>
        <w:jc w:val="both"/>
        <w:rPr>
          <w:rFonts w:ascii="Times New Roman" w:hAnsi="Times New Roman" w:cs="Times New Roman"/>
        </w:rPr>
      </w:pPr>
      <w:r>
        <w:rPr>
          <w:rFonts w:ascii="Times New Roman" w:hAnsi="Times New Roman" w:cs="Times New Roman"/>
        </w:rPr>
        <w:tab/>
      </w:r>
    </w:p>
    <w:p w:rsidR="00F0030D" w:rsidRPr="00A27221" w:rsidRDefault="00E82A2F" w:rsidP="00E82A2F">
      <w:pPr>
        <w:spacing w:after="0" w:line="360" w:lineRule="auto"/>
        <w:jc w:val="both"/>
        <w:rPr>
          <w:rFonts w:ascii="Times New Roman" w:hAnsi="Times New Roman" w:cs="Times New Roman"/>
          <w:sz w:val="24"/>
          <w:szCs w:val="24"/>
        </w:rPr>
      </w:pPr>
      <w:r>
        <w:rPr>
          <w:rFonts w:ascii="Times New Roman" w:hAnsi="Times New Roman" w:cs="Times New Roman"/>
        </w:rPr>
        <w:tab/>
      </w:r>
      <w:r w:rsidRPr="00A27221">
        <w:rPr>
          <w:rFonts w:ascii="Times New Roman" w:hAnsi="Times New Roman" w:cs="Times New Roman"/>
          <w:sz w:val="24"/>
          <w:szCs w:val="24"/>
        </w:rPr>
        <w:t xml:space="preserve">I should caution the appellant for future guidance that whether </w:t>
      </w:r>
      <w:r w:rsidR="00B94132" w:rsidRPr="00A27221">
        <w:rPr>
          <w:rFonts w:ascii="Times New Roman" w:hAnsi="Times New Roman" w:cs="Times New Roman"/>
          <w:sz w:val="24"/>
          <w:szCs w:val="24"/>
        </w:rPr>
        <w:t>represented or not, if a litigant considers it necessary to address a matter before the court it is not permitted for the litigant to address the judge(s)</w:t>
      </w:r>
      <w:r w:rsidR="00205233" w:rsidRPr="00A27221">
        <w:rPr>
          <w:rFonts w:ascii="Times New Roman" w:hAnsi="Times New Roman" w:cs="Times New Roman"/>
          <w:sz w:val="24"/>
          <w:szCs w:val="24"/>
        </w:rPr>
        <w:t xml:space="preserve"> directly or by copying the correspondence to the judge(s) in letters written in that regard. All communications concerning a matter before the court whether pending or concluded should be </w:t>
      </w:r>
      <w:r w:rsidR="0059674D" w:rsidRPr="00A27221">
        <w:rPr>
          <w:rFonts w:ascii="Times New Roman" w:hAnsi="Times New Roman" w:cs="Times New Roman"/>
          <w:sz w:val="24"/>
          <w:szCs w:val="24"/>
        </w:rPr>
        <w:t xml:space="preserve">addressed to the Registrar of the High Court.  The applicant addressed his letter to the Registrar but copied it to “High Court Judge </w:t>
      </w:r>
      <w:r w:rsidR="00531B2F" w:rsidRPr="00531B2F">
        <w:rPr>
          <w:rFonts w:ascii="Times New Roman" w:hAnsi="Times New Roman" w:cs="Times New Roman"/>
          <w:smallCaps/>
          <w:sz w:val="24"/>
          <w:szCs w:val="24"/>
        </w:rPr>
        <w:t>C</w:t>
      </w:r>
      <w:r w:rsidR="00531B2F">
        <w:rPr>
          <w:rFonts w:ascii="Times New Roman" w:hAnsi="Times New Roman" w:cs="Times New Roman"/>
          <w:smallCaps/>
          <w:sz w:val="24"/>
          <w:szCs w:val="24"/>
        </w:rPr>
        <w:t>hitapi</w:t>
      </w:r>
      <w:r w:rsidR="00531B2F">
        <w:rPr>
          <w:rFonts w:ascii="Times New Roman" w:hAnsi="Times New Roman" w:cs="Times New Roman"/>
          <w:sz w:val="24"/>
          <w:szCs w:val="24"/>
        </w:rPr>
        <w:t xml:space="preserve"> </w:t>
      </w:r>
      <w:r w:rsidR="0059674D" w:rsidRPr="00A27221">
        <w:rPr>
          <w:rFonts w:ascii="Times New Roman" w:hAnsi="Times New Roman" w:cs="Times New Roman"/>
          <w:sz w:val="24"/>
          <w:szCs w:val="24"/>
        </w:rPr>
        <w:t>(s</w:t>
      </w:r>
      <w:r w:rsidR="00531B2F">
        <w:rPr>
          <w:rFonts w:ascii="Times New Roman" w:hAnsi="Times New Roman" w:cs="Times New Roman"/>
          <w:sz w:val="24"/>
          <w:szCs w:val="24"/>
        </w:rPr>
        <w:t>i</w:t>
      </w:r>
      <w:r w:rsidR="0059674D" w:rsidRPr="00A27221">
        <w:rPr>
          <w:rFonts w:ascii="Times New Roman" w:hAnsi="Times New Roman" w:cs="Times New Roman"/>
          <w:sz w:val="24"/>
          <w:szCs w:val="24"/>
        </w:rPr>
        <w:t>c).”  The copying to the judge of the letter is not permitted</w:t>
      </w:r>
      <w:r w:rsidR="00906A10">
        <w:rPr>
          <w:rFonts w:ascii="Times New Roman" w:hAnsi="Times New Roman" w:cs="Times New Roman"/>
          <w:sz w:val="24"/>
          <w:szCs w:val="24"/>
        </w:rPr>
        <w:t xml:space="preserve">. </w:t>
      </w:r>
      <w:r w:rsidR="0059674D" w:rsidRPr="00A27221">
        <w:rPr>
          <w:rFonts w:ascii="Times New Roman" w:hAnsi="Times New Roman" w:cs="Times New Roman"/>
          <w:sz w:val="24"/>
          <w:szCs w:val="24"/>
        </w:rPr>
        <w:t xml:space="preserve"> </w:t>
      </w:r>
      <w:r w:rsidR="00906A10">
        <w:rPr>
          <w:rFonts w:ascii="Times New Roman" w:hAnsi="Times New Roman" w:cs="Times New Roman"/>
          <w:sz w:val="24"/>
          <w:szCs w:val="24"/>
        </w:rPr>
        <w:t>W</w:t>
      </w:r>
      <w:r w:rsidR="0059674D" w:rsidRPr="00A27221">
        <w:rPr>
          <w:rFonts w:ascii="Times New Roman" w:hAnsi="Times New Roman" w:cs="Times New Roman"/>
          <w:sz w:val="24"/>
          <w:szCs w:val="24"/>
        </w:rPr>
        <w:t>here the litigant has done so</w:t>
      </w:r>
      <w:r w:rsidR="00906A10">
        <w:rPr>
          <w:rFonts w:ascii="Times New Roman" w:hAnsi="Times New Roman" w:cs="Times New Roman"/>
          <w:sz w:val="24"/>
          <w:szCs w:val="24"/>
        </w:rPr>
        <w:t>,</w:t>
      </w:r>
      <w:r w:rsidR="0059674D" w:rsidRPr="00A27221">
        <w:rPr>
          <w:rFonts w:ascii="Times New Roman" w:hAnsi="Times New Roman" w:cs="Times New Roman"/>
          <w:sz w:val="24"/>
          <w:szCs w:val="24"/>
        </w:rPr>
        <w:t xml:space="preserve"> the Registrar must not refer the letter to the</w:t>
      </w:r>
      <w:r w:rsidR="007A0F87">
        <w:rPr>
          <w:rFonts w:ascii="Times New Roman" w:hAnsi="Times New Roman" w:cs="Times New Roman"/>
          <w:sz w:val="24"/>
          <w:szCs w:val="24"/>
        </w:rPr>
        <w:t xml:space="preserve"> judge, but should advise the wri</w:t>
      </w:r>
      <w:r w:rsidR="0059674D" w:rsidRPr="00A27221">
        <w:rPr>
          <w:rFonts w:ascii="Times New Roman" w:hAnsi="Times New Roman" w:cs="Times New Roman"/>
          <w:sz w:val="24"/>
          <w:szCs w:val="24"/>
        </w:rPr>
        <w:t xml:space="preserve">ter to properly address the communication to the Registrar.  It is the Registrar who may if he or she considers it necessary to solicit the judges </w:t>
      </w:r>
      <w:r w:rsidR="00B56D5E" w:rsidRPr="00A27221">
        <w:rPr>
          <w:rFonts w:ascii="Times New Roman" w:hAnsi="Times New Roman" w:cs="Times New Roman"/>
          <w:sz w:val="24"/>
          <w:szCs w:val="24"/>
        </w:rPr>
        <w:t>input before</w:t>
      </w:r>
      <w:r w:rsidR="00F0030D" w:rsidRPr="00A27221">
        <w:rPr>
          <w:rFonts w:ascii="Times New Roman" w:hAnsi="Times New Roman" w:cs="Times New Roman"/>
          <w:sz w:val="24"/>
          <w:szCs w:val="24"/>
        </w:rPr>
        <w:t xml:space="preserve"> replying then refer the letter to the judge</w:t>
      </w:r>
      <w:r w:rsidR="00906A10">
        <w:rPr>
          <w:rFonts w:ascii="Times New Roman" w:hAnsi="Times New Roman" w:cs="Times New Roman"/>
          <w:sz w:val="24"/>
          <w:szCs w:val="24"/>
        </w:rPr>
        <w:t>.</w:t>
      </w:r>
      <w:r w:rsidR="00F0030D" w:rsidRPr="00A27221">
        <w:rPr>
          <w:rFonts w:ascii="Times New Roman" w:hAnsi="Times New Roman" w:cs="Times New Roman"/>
          <w:sz w:val="24"/>
          <w:szCs w:val="24"/>
        </w:rPr>
        <w:t xml:space="preserve"> </w:t>
      </w:r>
      <w:r w:rsidR="00906A10">
        <w:rPr>
          <w:rFonts w:ascii="Times New Roman" w:hAnsi="Times New Roman" w:cs="Times New Roman"/>
          <w:sz w:val="24"/>
          <w:szCs w:val="24"/>
        </w:rPr>
        <w:t>T</w:t>
      </w:r>
      <w:r w:rsidR="00F0030D" w:rsidRPr="00A27221">
        <w:rPr>
          <w:rFonts w:ascii="Times New Roman" w:hAnsi="Times New Roman" w:cs="Times New Roman"/>
          <w:sz w:val="24"/>
          <w:szCs w:val="24"/>
        </w:rPr>
        <w:t xml:space="preserve">he judge will in turn </w:t>
      </w:r>
      <w:r w:rsidR="00906A10">
        <w:rPr>
          <w:rFonts w:ascii="Times New Roman" w:hAnsi="Times New Roman" w:cs="Times New Roman"/>
          <w:sz w:val="24"/>
          <w:szCs w:val="24"/>
        </w:rPr>
        <w:t>provide any</w:t>
      </w:r>
      <w:r w:rsidR="00F0030D" w:rsidRPr="00A27221">
        <w:rPr>
          <w:rFonts w:ascii="Times New Roman" w:hAnsi="Times New Roman" w:cs="Times New Roman"/>
          <w:sz w:val="24"/>
          <w:szCs w:val="24"/>
        </w:rPr>
        <w:t xml:space="preserve"> input to the Registrar who then communicate</w:t>
      </w:r>
      <w:r w:rsidR="007A0F87">
        <w:rPr>
          <w:rFonts w:ascii="Times New Roman" w:hAnsi="Times New Roman" w:cs="Times New Roman"/>
          <w:sz w:val="24"/>
          <w:szCs w:val="24"/>
        </w:rPr>
        <w:t>s</w:t>
      </w:r>
      <w:r w:rsidR="00F0030D" w:rsidRPr="00A27221">
        <w:rPr>
          <w:rFonts w:ascii="Times New Roman" w:hAnsi="Times New Roman" w:cs="Times New Roman"/>
          <w:sz w:val="24"/>
          <w:szCs w:val="24"/>
        </w:rPr>
        <w:t xml:space="preserve"> or responds to the letter.  </w:t>
      </w:r>
    </w:p>
    <w:p w:rsidR="007F34F6" w:rsidRPr="00A27221" w:rsidRDefault="00F73E57" w:rsidP="00E82A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commente</w:t>
      </w:r>
      <w:r w:rsidR="00F0030D" w:rsidRPr="00A27221">
        <w:rPr>
          <w:rFonts w:ascii="Times New Roman" w:hAnsi="Times New Roman" w:cs="Times New Roman"/>
          <w:sz w:val="24"/>
          <w:szCs w:val="24"/>
        </w:rPr>
        <w:t xml:space="preserve">d on the impropriety of the conduct </w:t>
      </w:r>
      <w:r w:rsidR="00B72687" w:rsidRPr="00A27221">
        <w:rPr>
          <w:rFonts w:ascii="Times New Roman" w:hAnsi="Times New Roman" w:cs="Times New Roman"/>
          <w:sz w:val="24"/>
          <w:szCs w:val="24"/>
        </w:rPr>
        <w:t>of the appellant copying his letter to the judge, I outline the reasons for the order which the appeal court made as quoted</w:t>
      </w:r>
      <w:r w:rsidR="00C25147" w:rsidRPr="00A27221">
        <w:rPr>
          <w:rFonts w:ascii="Times New Roman" w:hAnsi="Times New Roman" w:cs="Times New Roman"/>
          <w:sz w:val="24"/>
          <w:szCs w:val="24"/>
        </w:rPr>
        <w:t xml:space="preserve"> (</w:t>
      </w:r>
      <w:r w:rsidR="00C25147" w:rsidRPr="00F73E57">
        <w:rPr>
          <w:rFonts w:ascii="Times New Roman" w:hAnsi="Times New Roman" w:cs="Times New Roman"/>
          <w:i/>
          <w:sz w:val="24"/>
          <w:szCs w:val="24"/>
        </w:rPr>
        <w:t>supra</w:t>
      </w:r>
      <w:r w:rsidR="00C25147" w:rsidRPr="00A27221">
        <w:rPr>
          <w:rFonts w:ascii="Times New Roman" w:hAnsi="Times New Roman" w:cs="Times New Roman"/>
          <w:sz w:val="24"/>
          <w:szCs w:val="24"/>
        </w:rPr>
        <w:t>).  The appellant was the plaintiff in case number 10690/91 wherein he sued the first and second respondents as first and second defendants for eviction fr</w:t>
      </w:r>
      <w:r w:rsidR="00DC3A4F">
        <w:rPr>
          <w:rFonts w:ascii="Times New Roman" w:hAnsi="Times New Roman" w:cs="Times New Roman"/>
          <w:sz w:val="24"/>
          <w:szCs w:val="24"/>
        </w:rPr>
        <w:t>o</w:t>
      </w:r>
      <w:r w:rsidR="00C25147" w:rsidRPr="00A27221">
        <w:rPr>
          <w:rFonts w:ascii="Times New Roman" w:hAnsi="Times New Roman" w:cs="Times New Roman"/>
          <w:sz w:val="24"/>
          <w:szCs w:val="24"/>
        </w:rPr>
        <w:t>m a proper</w:t>
      </w:r>
      <w:r w:rsidR="00DC3A4F">
        <w:rPr>
          <w:rFonts w:ascii="Times New Roman" w:hAnsi="Times New Roman" w:cs="Times New Roman"/>
          <w:sz w:val="24"/>
          <w:szCs w:val="24"/>
        </w:rPr>
        <w:t>ty called Stand 13565, Mabvuku,</w:t>
      </w:r>
      <w:r w:rsidR="00C25147" w:rsidRPr="00A27221">
        <w:rPr>
          <w:rFonts w:ascii="Times New Roman" w:hAnsi="Times New Roman" w:cs="Times New Roman"/>
          <w:sz w:val="24"/>
          <w:szCs w:val="24"/>
        </w:rPr>
        <w:t xml:space="preserve"> Harare. The appellant in his summons and particulars of claim pleaded that he was the legitimate owner of the property and had been allocated the same by the second respondent</w:t>
      </w:r>
      <w:r w:rsidR="00DC3A4F">
        <w:rPr>
          <w:rFonts w:ascii="Times New Roman" w:hAnsi="Times New Roman" w:cs="Times New Roman"/>
          <w:sz w:val="24"/>
          <w:szCs w:val="24"/>
        </w:rPr>
        <w:t xml:space="preserve"> in 2015.  He pleaded that he paid to the second respondent</w:t>
      </w:r>
      <w:r w:rsidR="00C25147" w:rsidRPr="00A27221">
        <w:rPr>
          <w:rFonts w:ascii="Times New Roman" w:hAnsi="Times New Roman" w:cs="Times New Roman"/>
          <w:sz w:val="24"/>
          <w:szCs w:val="24"/>
        </w:rPr>
        <w:t xml:space="preserve"> the full amount representing the intrinsic value of the land</w:t>
      </w:r>
      <w:r w:rsidR="0082133A" w:rsidRPr="00A27221">
        <w:rPr>
          <w:rFonts w:ascii="Times New Roman" w:hAnsi="Times New Roman" w:cs="Times New Roman"/>
          <w:sz w:val="24"/>
          <w:szCs w:val="24"/>
        </w:rPr>
        <w:t>,</w:t>
      </w:r>
      <w:r w:rsidR="00C25147" w:rsidRPr="00A27221">
        <w:rPr>
          <w:rFonts w:ascii="Times New Roman" w:hAnsi="Times New Roman" w:cs="Times New Roman"/>
          <w:sz w:val="24"/>
          <w:szCs w:val="24"/>
        </w:rPr>
        <w:t xml:space="preserve"> bills for water,</w:t>
      </w:r>
      <w:r w:rsidR="0082133A" w:rsidRPr="00A27221">
        <w:rPr>
          <w:rFonts w:ascii="Times New Roman" w:hAnsi="Times New Roman" w:cs="Times New Roman"/>
          <w:sz w:val="24"/>
          <w:szCs w:val="24"/>
        </w:rPr>
        <w:t xml:space="preserve"> sewer and has been paying rates on the property. The appellant pleaded that in 2016, the first respondent unlawfully </w:t>
      </w:r>
      <w:r w:rsidR="007F34F6" w:rsidRPr="00A27221">
        <w:rPr>
          <w:rFonts w:ascii="Times New Roman" w:hAnsi="Times New Roman" w:cs="Times New Roman"/>
          <w:sz w:val="24"/>
          <w:szCs w:val="24"/>
        </w:rPr>
        <w:t xml:space="preserve">occupied the property without the authority or consent of the appellant.  In consequence the appellant sought the eviction of the first respondent and all other persons claiming rights of occupation of the property through the first respondent.  </w:t>
      </w:r>
    </w:p>
    <w:p w:rsidR="007F34F6" w:rsidRPr="00A27221" w:rsidRDefault="007F34F6" w:rsidP="00E82A2F">
      <w:pPr>
        <w:spacing w:after="0" w:line="360" w:lineRule="auto"/>
        <w:jc w:val="both"/>
        <w:rPr>
          <w:rFonts w:ascii="Times New Roman" w:hAnsi="Times New Roman" w:cs="Times New Roman"/>
          <w:sz w:val="24"/>
          <w:szCs w:val="24"/>
        </w:rPr>
      </w:pPr>
      <w:r w:rsidRPr="00A27221">
        <w:rPr>
          <w:rFonts w:ascii="Times New Roman" w:hAnsi="Times New Roman" w:cs="Times New Roman"/>
          <w:sz w:val="24"/>
          <w:szCs w:val="24"/>
        </w:rPr>
        <w:lastRenderedPageBreak/>
        <w:tab/>
        <w:t xml:space="preserve">Both the first and second respondents entered appearance to defend the appellant’s action proceedings/claim.  The second respondent then filed a plea to the appellant’s summons. The second respondent in its plea admitted the appellant’s claim and averred that the first respondent should be evicted from the property.  The second respondent admitted that it was the plaintiff who was allocated the property in issue.  In short the second respondent did not oppose the relief sought by the appellant or rather it admitted the appellant’s claim.  </w:t>
      </w:r>
    </w:p>
    <w:p w:rsidR="004013BF" w:rsidRPr="00A27221" w:rsidRDefault="007F34F6" w:rsidP="00E82A2F">
      <w:pPr>
        <w:spacing w:after="0" w:line="360" w:lineRule="auto"/>
        <w:jc w:val="both"/>
        <w:rPr>
          <w:rFonts w:ascii="Times New Roman" w:hAnsi="Times New Roman" w:cs="Times New Roman"/>
          <w:sz w:val="24"/>
          <w:szCs w:val="24"/>
        </w:rPr>
      </w:pPr>
      <w:r w:rsidRPr="00A27221">
        <w:rPr>
          <w:rFonts w:ascii="Times New Roman" w:hAnsi="Times New Roman" w:cs="Times New Roman"/>
          <w:sz w:val="24"/>
          <w:szCs w:val="24"/>
        </w:rPr>
        <w:tab/>
        <w:t>The first respondent in denying the claim specially pleaded the</w:t>
      </w:r>
      <w:r w:rsidR="00924BF0">
        <w:rPr>
          <w:rFonts w:ascii="Times New Roman" w:hAnsi="Times New Roman" w:cs="Times New Roman"/>
          <w:sz w:val="24"/>
          <w:szCs w:val="24"/>
        </w:rPr>
        <w:t xml:space="preserve"> dilatory defences </w:t>
      </w:r>
      <w:r w:rsidR="00D5451E" w:rsidRPr="00A27221">
        <w:rPr>
          <w:rFonts w:ascii="Times New Roman" w:hAnsi="Times New Roman" w:cs="Times New Roman"/>
          <w:sz w:val="24"/>
          <w:szCs w:val="24"/>
        </w:rPr>
        <w:t xml:space="preserve">of prescription and </w:t>
      </w:r>
      <w:r w:rsidR="00D5451E" w:rsidRPr="00A27221">
        <w:rPr>
          <w:rFonts w:ascii="Times New Roman" w:hAnsi="Times New Roman" w:cs="Times New Roman"/>
          <w:i/>
          <w:sz w:val="24"/>
          <w:szCs w:val="24"/>
        </w:rPr>
        <w:t>res judicta</w:t>
      </w:r>
      <w:r w:rsidR="00D5451E" w:rsidRPr="00A27221">
        <w:rPr>
          <w:rFonts w:ascii="Times New Roman" w:hAnsi="Times New Roman" w:cs="Times New Roman"/>
          <w:sz w:val="24"/>
          <w:szCs w:val="24"/>
        </w:rPr>
        <w:t xml:space="preserve">.  The decision on the special plea is not </w:t>
      </w:r>
      <w:r w:rsidR="00924BF0">
        <w:rPr>
          <w:rFonts w:ascii="Times New Roman" w:hAnsi="Times New Roman" w:cs="Times New Roman"/>
          <w:sz w:val="24"/>
          <w:szCs w:val="24"/>
        </w:rPr>
        <w:t xml:space="preserve">on </w:t>
      </w:r>
      <w:r w:rsidR="00D5451E" w:rsidRPr="00A27221">
        <w:rPr>
          <w:rFonts w:ascii="Times New Roman" w:hAnsi="Times New Roman" w:cs="Times New Roman"/>
          <w:sz w:val="24"/>
          <w:szCs w:val="24"/>
        </w:rPr>
        <w:t xml:space="preserve">record. However the matter </w:t>
      </w:r>
      <w:r w:rsidR="004013BF" w:rsidRPr="00A27221">
        <w:rPr>
          <w:rFonts w:ascii="Times New Roman" w:hAnsi="Times New Roman" w:cs="Times New Roman"/>
          <w:sz w:val="24"/>
          <w:szCs w:val="24"/>
        </w:rPr>
        <w:t>proceeded</w:t>
      </w:r>
      <w:r w:rsidR="00D5451E" w:rsidRPr="00A27221">
        <w:rPr>
          <w:rFonts w:ascii="Times New Roman" w:hAnsi="Times New Roman" w:cs="Times New Roman"/>
          <w:sz w:val="24"/>
          <w:szCs w:val="24"/>
        </w:rPr>
        <w:t xml:space="preserve"> to pre-trial conference which implies that the special plea did not succeed. </w:t>
      </w:r>
      <w:r w:rsidR="004013BF" w:rsidRPr="00A27221">
        <w:rPr>
          <w:rFonts w:ascii="Times New Roman" w:hAnsi="Times New Roman" w:cs="Times New Roman"/>
          <w:sz w:val="24"/>
          <w:szCs w:val="24"/>
        </w:rPr>
        <w:t xml:space="preserve">I say so because the pleas of prescription and </w:t>
      </w:r>
      <w:r w:rsidR="004013BF" w:rsidRPr="00A27221">
        <w:rPr>
          <w:rFonts w:ascii="Times New Roman" w:hAnsi="Times New Roman" w:cs="Times New Roman"/>
          <w:i/>
          <w:sz w:val="24"/>
          <w:szCs w:val="24"/>
        </w:rPr>
        <w:t>res judicta</w:t>
      </w:r>
      <w:r w:rsidR="004013BF" w:rsidRPr="00A27221">
        <w:rPr>
          <w:rFonts w:ascii="Times New Roman" w:hAnsi="Times New Roman" w:cs="Times New Roman"/>
          <w:sz w:val="24"/>
          <w:szCs w:val="24"/>
        </w:rPr>
        <w:t xml:space="preserve"> if they succeed would have disposed of the eviction proceedings thus rendering the pre-trial conference unnecessary.  </w:t>
      </w:r>
      <w:r w:rsidR="004013BF" w:rsidRPr="00A27221">
        <w:rPr>
          <w:rFonts w:ascii="Times New Roman" w:hAnsi="Times New Roman" w:cs="Times New Roman"/>
          <w:sz w:val="24"/>
          <w:szCs w:val="24"/>
        </w:rPr>
        <w:tab/>
      </w:r>
    </w:p>
    <w:p w:rsidR="00CA633E" w:rsidRPr="00A27221" w:rsidRDefault="004013BF" w:rsidP="00E82A2F">
      <w:pPr>
        <w:spacing w:after="0" w:line="360" w:lineRule="auto"/>
        <w:jc w:val="both"/>
        <w:rPr>
          <w:rFonts w:ascii="Times New Roman" w:hAnsi="Times New Roman" w:cs="Times New Roman"/>
          <w:sz w:val="24"/>
          <w:szCs w:val="24"/>
        </w:rPr>
      </w:pPr>
      <w:r w:rsidRPr="00A27221">
        <w:rPr>
          <w:rFonts w:ascii="Times New Roman" w:hAnsi="Times New Roman" w:cs="Times New Roman"/>
          <w:sz w:val="24"/>
          <w:szCs w:val="24"/>
        </w:rPr>
        <w:tab/>
        <w:t>The first respondent does not seem to have filed a plea on the merits.  The record does not contain such plea assuming that it was filed.  It would appear that the special plea was all that was filed.  Be that as it may the record contains pre-trial conference issues which were prepared by the first respondent’s</w:t>
      </w:r>
      <w:r w:rsidR="0072455A" w:rsidRPr="00A27221">
        <w:rPr>
          <w:rFonts w:ascii="Times New Roman" w:hAnsi="Times New Roman" w:cs="Times New Roman"/>
          <w:sz w:val="24"/>
          <w:szCs w:val="24"/>
        </w:rPr>
        <w:t xml:space="preserve"> legal practitioners.  It is not clear as to whether these were then the adopted trial issues.  As for the reasons which will be apparent, it did not became necessary for the appeal court to get into the issue in as much as the parties did not raise it.  What i</w:t>
      </w:r>
      <w:r w:rsidR="00906A10">
        <w:rPr>
          <w:rFonts w:ascii="Times New Roman" w:hAnsi="Times New Roman" w:cs="Times New Roman"/>
          <w:sz w:val="24"/>
          <w:szCs w:val="24"/>
        </w:rPr>
        <w:t>t</w:t>
      </w:r>
      <w:r w:rsidR="0072455A" w:rsidRPr="00A27221">
        <w:rPr>
          <w:rFonts w:ascii="Times New Roman" w:hAnsi="Times New Roman" w:cs="Times New Roman"/>
          <w:sz w:val="24"/>
          <w:szCs w:val="24"/>
        </w:rPr>
        <w:t xml:space="preserve"> amounted to however was that it was difficult for the court to follow the correct paper trial of the proceedings in the court </w:t>
      </w:r>
      <w:r w:rsidR="0072455A" w:rsidRPr="00627C06">
        <w:rPr>
          <w:rFonts w:ascii="Times New Roman" w:hAnsi="Times New Roman" w:cs="Times New Roman"/>
          <w:i/>
          <w:sz w:val="24"/>
          <w:szCs w:val="24"/>
        </w:rPr>
        <w:t>a quo</w:t>
      </w:r>
      <w:r w:rsidR="0072455A" w:rsidRPr="00A27221">
        <w:rPr>
          <w:rFonts w:ascii="Times New Roman" w:hAnsi="Times New Roman" w:cs="Times New Roman"/>
          <w:sz w:val="24"/>
          <w:szCs w:val="24"/>
        </w:rPr>
        <w:t>.  It is the duty of the parties to an appeal upon being invited to inspec</w:t>
      </w:r>
      <w:r w:rsidR="00627C06">
        <w:rPr>
          <w:rFonts w:ascii="Times New Roman" w:hAnsi="Times New Roman" w:cs="Times New Roman"/>
          <w:sz w:val="24"/>
          <w:szCs w:val="24"/>
        </w:rPr>
        <w:t>t and I agree with the contents of </w:t>
      </w:r>
      <w:r w:rsidR="008A4964">
        <w:rPr>
          <w:rFonts w:ascii="Times New Roman" w:hAnsi="Times New Roman" w:cs="Times New Roman"/>
          <w:sz w:val="24"/>
          <w:szCs w:val="24"/>
        </w:rPr>
        <w:t xml:space="preserve">the </w:t>
      </w:r>
      <w:r w:rsidR="00627C06">
        <w:rPr>
          <w:rFonts w:ascii="Times New Roman" w:hAnsi="Times New Roman" w:cs="Times New Roman"/>
          <w:sz w:val="24"/>
          <w:szCs w:val="24"/>
        </w:rPr>
        <w:t>record which is then certified to </w:t>
      </w:r>
      <w:r w:rsidR="00CA633E" w:rsidRPr="00A27221">
        <w:rPr>
          <w:rFonts w:ascii="Times New Roman" w:hAnsi="Times New Roman" w:cs="Times New Roman"/>
          <w:sz w:val="24"/>
          <w:szCs w:val="24"/>
        </w:rPr>
        <w:t>pay</w:t>
      </w:r>
      <w:r w:rsidR="00627C06">
        <w:rPr>
          <w:rFonts w:ascii="Times New Roman" w:hAnsi="Times New Roman" w:cs="Times New Roman"/>
          <w:sz w:val="24"/>
          <w:szCs w:val="24"/>
        </w:rPr>
        <w:t> meticulous care to certification of the record.</w:t>
      </w:r>
      <w:r w:rsidR="00CA789F" w:rsidRPr="00A27221">
        <w:rPr>
          <w:rFonts w:ascii="Times New Roman" w:hAnsi="Times New Roman" w:cs="Times New Roman"/>
          <w:sz w:val="24"/>
          <w:szCs w:val="24"/>
        </w:rPr>
        <w:t xml:space="preserve">                                                                                                                                                                                                                                                                                                                                                                                                                                                                                                                                                                                                                                                                                  </w:t>
      </w:r>
      <w:r w:rsidR="00627C06">
        <w:rPr>
          <w:rFonts w:ascii="Times New Roman" w:hAnsi="Times New Roman" w:cs="Times New Roman"/>
          <w:sz w:val="24"/>
          <w:szCs w:val="24"/>
        </w:rPr>
        <w:t xml:space="preserve"> </w:t>
      </w:r>
      <w:r w:rsidR="0072455A" w:rsidRPr="00A27221">
        <w:rPr>
          <w:rFonts w:ascii="Times New Roman" w:hAnsi="Times New Roman" w:cs="Times New Roman"/>
          <w:sz w:val="24"/>
          <w:szCs w:val="24"/>
        </w:rPr>
        <w:t xml:space="preserve">The appeal court determines an appeal on the record and where the parties have certified a record, then the appeal is determined on that record. </w:t>
      </w:r>
    </w:p>
    <w:p w:rsidR="00383FD1" w:rsidRPr="00A27221" w:rsidRDefault="00CA633E" w:rsidP="00E82A2F">
      <w:pPr>
        <w:spacing w:after="0" w:line="360" w:lineRule="auto"/>
        <w:jc w:val="both"/>
        <w:rPr>
          <w:rFonts w:ascii="Times New Roman" w:hAnsi="Times New Roman" w:cs="Times New Roman"/>
          <w:sz w:val="24"/>
          <w:szCs w:val="24"/>
        </w:rPr>
      </w:pPr>
      <w:r w:rsidRPr="00A27221">
        <w:rPr>
          <w:rFonts w:ascii="Times New Roman" w:hAnsi="Times New Roman" w:cs="Times New Roman"/>
          <w:sz w:val="24"/>
          <w:szCs w:val="24"/>
        </w:rPr>
        <w:tab/>
        <w:t>As far as the pre-trial conference is concerned, although there ar</w:t>
      </w:r>
      <w:r w:rsidR="008A4964">
        <w:rPr>
          <w:rFonts w:ascii="Times New Roman" w:hAnsi="Times New Roman" w:cs="Times New Roman"/>
          <w:sz w:val="24"/>
          <w:szCs w:val="24"/>
        </w:rPr>
        <w:t>e notices on record to indicate</w:t>
      </w:r>
      <w:r w:rsidRPr="00A27221">
        <w:rPr>
          <w:rFonts w:ascii="Times New Roman" w:hAnsi="Times New Roman" w:cs="Times New Roman"/>
          <w:sz w:val="24"/>
          <w:szCs w:val="24"/>
        </w:rPr>
        <w:t xml:space="preserve"> that i</w:t>
      </w:r>
      <w:r w:rsidR="00F06D01">
        <w:rPr>
          <w:rFonts w:ascii="Times New Roman" w:hAnsi="Times New Roman" w:cs="Times New Roman"/>
          <w:sz w:val="24"/>
          <w:szCs w:val="24"/>
        </w:rPr>
        <w:t>t was held on 4 November 2019, t</w:t>
      </w:r>
      <w:r w:rsidRPr="00A27221">
        <w:rPr>
          <w:rFonts w:ascii="Times New Roman" w:hAnsi="Times New Roman" w:cs="Times New Roman"/>
          <w:sz w:val="24"/>
          <w:szCs w:val="24"/>
        </w:rPr>
        <w:t xml:space="preserve">here are no agreed or adopted minutes of the pre-trial conference.  Only the pre-trial conference minutes of the plaintiff and the first defendant </w:t>
      </w:r>
      <w:r w:rsidR="009976D9" w:rsidRPr="00A27221">
        <w:rPr>
          <w:rFonts w:ascii="Times New Roman" w:hAnsi="Times New Roman" w:cs="Times New Roman"/>
          <w:sz w:val="24"/>
          <w:szCs w:val="24"/>
        </w:rPr>
        <w:t>are on record. Again, the record fell short in relation to its completeness and omission of such important record of pre-trial procedure.  The issues however could be made out from the particulars of claim, plea and reply as well as</w:t>
      </w:r>
      <w:r w:rsidR="006656AD" w:rsidRPr="00A27221">
        <w:rPr>
          <w:rFonts w:ascii="Times New Roman" w:hAnsi="Times New Roman" w:cs="Times New Roman"/>
          <w:sz w:val="24"/>
          <w:szCs w:val="24"/>
        </w:rPr>
        <w:t xml:space="preserve"> from the draft issues of the plaintiff and first defendant.  </w:t>
      </w:r>
    </w:p>
    <w:p w:rsidR="00383FD1" w:rsidRPr="00A27221" w:rsidRDefault="00383FD1" w:rsidP="00E82A2F">
      <w:pPr>
        <w:spacing w:after="0" w:line="360" w:lineRule="auto"/>
        <w:jc w:val="both"/>
        <w:rPr>
          <w:rFonts w:ascii="Times New Roman" w:hAnsi="Times New Roman" w:cs="Times New Roman"/>
          <w:sz w:val="24"/>
          <w:szCs w:val="24"/>
        </w:rPr>
      </w:pPr>
      <w:r w:rsidRPr="00A27221">
        <w:rPr>
          <w:rFonts w:ascii="Times New Roman" w:hAnsi="Times New Roman" w:cs="Times New Roman"/>
          <w:sz w:val="24"/>
          <w:szCs w:val="24"/>
        </w:rPr>
        <w:lastRenderedPageBreak/>
        <w:tab/>
        <w:t>The first defendant resisted the claim on the basis that he was the legitimate owner</w:t>
      </w:r>
      <w:r w:rsidR="008A4964">
        <w:rPr>
          <w:rFonts w:ascii="Times New Roman" w:hAnsi="Times New Roman" w:cs="Times New Roman"/>
          <w:sz w:val="24"/>
          <w:szCs w:val="24"/>
        </w:rPr>
        <w:t xml:space="preserve"> of the property</w:t>
      </w:r>
      <w:r w:rsidRPr="00A27221">
        <w:rPr>
          <w:rFonts w:ascii="Times New Roman" w:hAnsi="Times New Roman" w:cs="Times New Roman"/>
          <w:sz w:val="24"/>
          <w:szCs w:val="24"/>
        </w:rPr>
        <w:t xml:space="preserve"> in his own right. The crisp issue for determination was therefore who between the appellant and the first respondent had superior rights to the other.  The secondary issue would be whether </w:t>
      </w:r>
      <w:r w:rsidR="003A24B4">
        <w:rPr>
          <w:rFonts w:ascii="Times New Roman" w:hAnsi="Times New Roman" w:cs="Times New Roman"/>
          <w:sz w:val="24"/>
          <w:szCs w:val="24"/>
        </w:rPr>
        <w:t xml:space="preserve">should </w:t>
      </w:r>
      <w:r w:rsidRPr="00A27221">
        <w:rPr>
          <w:rFonts w:ascii="Times New Roman" w:hAnsi="Times New Roman" w:cs="Times New Roman"/>
          <w:sz w:val="24"/>
          <w:szCs w:val="24"/>
        </w:rPr>
        <w:t>the appellant establish superior rights to the property, he was entitled to an order to evict the first respondent therefrom.</w:t>
      </w:r>
    </w:p>
    <w:p w:rsidR="00A27221" w:rsidRDefault="00383FD1" w:rsidP="00E82A2F">
      <w:pPr>
        <w:spacing w:after="0" w:line="360" w:lineRule="auto"/>
        <w:jc w:val="both"/>
        <w:rPr>
          <w:rFonts w:ascii="Times New Roman" w:hAnsi="Times New Roman" w:cs="Times New Roman"/>
          <w:sz w:val="24"/>
          <w:szCs w:val="24"/>
        </w:rPr>
      </w:pPr>
      <w:r w:rsidRPr="00A27221">
        <w:rPr>
          <w:rFonts w:ascii="Times New Roman" w:hAnsi="Times New Roman" w:cs="Times New Roman"/>
          <w:sz w:val="24"/>
          <w:szCs w:val="24"/>
        </w:rPr>
        <w:tab/>
        <w:t xml:space="preserve">Following a full trial, the learned magistrate dismissed the appellant’s claim.  In dismissing the </w:t>
      </w:r>
      <w:r w:rsidR="00DB2A08" w:rsidRPr="00A27221">
        <w:rPr>
          <w:rFonts w:ascii="Times New Roman" w:hAnsi="Times New Roman" w:cs="Times New Roman"/>
          <w:sz w:val="24"/>
          <w:szCs w:val="24"/>
        </w:rPr>
        <w:t xml:space="preserve">claim, the learned magistrate noted that both the appellant and the first respondent had each produced documents to show that they each “legally procedurally acquired the stand in question.”  The learned magistrate generalized the documents. The documents were not individually listed </w:t>
      </w:r>
      <w:r w:rsidR="003A24B4">
        <w:rPr>
          <w:rFonts w:ascii="Times New Roman" w:hAnsi="Times New Roman" w:cs="Times New Roman"/>
          <w:sz w:val="24"/>
          <w:szCs w:val="24"/>
        </w:rPr>
        <w:t xml:space="preserve">nor was their </w:t>
      </w:r>
      <w:r w:rsidR="00DB2A08" w:rsidRPr="00A27221">
        <w:rPr>
          <w:rFonts w:ascii="Times New Roman" w:hAnsi="Times New Roman" w:cs="Times New Roman"/>
          <w:sz w:val="24"/>
          <w:szCs w:val="24"/>
        </w:rPr>
        <w:t xml:space="preserve">detail </w:t>
      </w:r>
      <w:r w:rsidR="00A27221" w:rsidRPr="00A27221">
        <w:rPr>
          <w:rFonts w:ascii="Times New Roman" w:hAnsi="Times New Roman" w:cs="Times New Roman"/>
          <w:sz w:val="24"/>
          <w:szCs w:val="24"/>
        </w:rPr>
        <w:t>analysed as well as their relevance and effect on the claim or defence as the case maybe.  The learned magistrate without analysis then stated in the judgement as follows:-</w:t>
      </w:r>
    </w:p>
    <w:p w:rsidR="00A27221" w:rsidRDefault="00A27221" w:rsidP="007D5119">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“Considering the documents produced by the defendant which are even more than what the plaintiff </w:t>
      </w:r>
      <w:r w:rsidR="007D5119">
        <w:rPr>
          <w:rFonts w:ascii="Times New Roman" w:hAnsi="Times New Roman" w:cs="Times New Roman"/>
        </w:rPr>
        <w:tab/>
      </w:r>
      <w:r>
        <w:rPr>
          <w:rFonts w:ascii="Times New Roman" w:hAnsi="Times New Roman" w:cs="Times New Roman"/>
        </w:rPr>
        <w:t xml:space="preserve">produced, the plaintiff has not proved on a </w:t>
      </w:r>
      <w:r w:rsidR="007D5119">
        <w:rPr>
          <w:rFonts w:ascii="Times New Roman" w:hAnsi="Times New Roman" w:cs="Times New Roman"/>
        </w:rPr>
        <w:t xml:space="preserve">balance of probabilities that the defendant has no </w:t>
      </w:r>
      <w:r w:rsidR="00F06D01">
        <w:rPr>
          <w:rFonts w:ascii="Times New Roman" w:hAnsi="Times New Roman" w:cs="Times New Roman"/>
        </w:rPr>
        <w:t>r</w:t>
      </w:r>
      <w:r w:rsidR="007D5119">
        <w:rPr>
          <w:rFonts w:ascii="Times New Roman" w:hAnsi="Times New Roman" w:cs="Times New Roman"/>
        </w:rPr>
        <w:t xml:space="preserve">ight </w:t>
      </w:r>
      <w:r w:rsidR="007D5119">
        <w:rPr>
          <w:rFonts w:ascii="Times New Roman" w:hAnsi="Times New Roman" w:cs="Times New Roman"/>
        </w:rPr>
        <w:tab/>
        <w:t>to be at the stand in question.”</w:t>
      </w:r>
    </w:p>
    <w:p w:rsidR="007D5119" w:rsidRDefault="007D5119" w:rsidP="007D5119">
      <w:pPr>
        <w:spacing w:after="0" w:line="240" w:lineRule="auto"/>
        <w:jc w:val="both"/>
        <w:rPr>
          <w:rFonts w:ascii="Times New Roman" w:hAnsi="Times New Roman" w:cs="Times New Roman"/>
          <w:sz w:val="24"/>
          <w:szCs w:val="24"/>
        </w:rPr>
      </w:pPr>
    </w:p>
    <w:p w:rsidR="009D1BBD" w:rsidRDefault="007D5119" w:rsidP="007D51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D1BBD">
        <w:rPr>
          <w:rFonts w:ascii="Times New Roman" w:hAnsi="Times New Roman" w:cs="Times New Roman"/>
          <w:sz w:val="24"/>
          <w:szCs w:val="24"/>
        </w:rPr>
        <w:t>The learned magistrate then went on to state that the court could not determine the matter without input from the City of Harare.  City of Harare had however cons</w:t>
      </w:r>
      <w:r w:rsidR="003A24B4">
        <w:rPr>
          <w:rFonts w:ascii="Times New Roman" w:hAnsi="Times New Roman" w:cs="Times New Roman"/>
          <w:sz w:val="24"/>
          <w:szCs w:val="24"/>
        </w:rPr>
        <w:t>en</w:t>
      </w:r>
      <w:r w:rsidR="009D1BBD">
        <w:rPr>
          <w:rFonts w:ascii="Times New Roman" w:hAnsi="Times New Roman" w:cs="Times New Roman"/>
          <w:sz w:val="24"/>
          <w:szCs w:val="24"/>
        </w:rPr>
        <w:t xml:space="preserve">ted to the claim.  </w:t>
      </w:r>
    </w:p>
    <w:p w:rsidR="002A2104" w:rsidRDefault="009D1BBD" w:rsidP="007D51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record indeed shows that the parties each produced a number of documents linking them to the stand.  The determination of who the superior rights holder would be in such a case depended upon an examination of the alleged documents of rights to title and making findings on their authenticity and credibility.  Such process would have to </w:t>
      </w:r>
      <w:r w:rsidR="00DA360E">
        <w:rPr>
          <w:rFonts w:ascii="Times New Roman" w:hAnsi="Times New Roman" w:cs="Times New Roman"/>
          <w:sz w:val="24"/>
          <w:szCs w:val="24"/>
        </w:rPr>
        <w:t>be co-joined with a setting out of the paper trial and chronology of the devolution of those documents. The learned magistrate clearly failed to appreciate that it was his function to consider the facts and evidence and set out those facts found to be proved and to thereafter relate them to the determination of the issues for determination.  T</w:t>
      </w:r>
      <w:r w:rsidR="00772D7F">
        <w:rPr>
          <w:rFonts w:ascii="Times New Roman" w:hAnsi="Times New Roman" w:cs="Times New Roman"/>
          <w:sz w:val="24"/>
          <w:szCs w:val="24"/>
        </w:rPr>
        <w:t>o leave the matter</w:t>
      </w:r>
      <w:r w:rsidR="00DA360E">
        <w:rPr>
          <w:rFonts w:ascii="Times New Roman" w:hAnsi="Times New Roman" w:cs="Times New Roman"/>
          <w:sz w:val="24"/>
          <w:szCs w:val="24"/>
        </w:rPr>
        <w:t xml:space="preserve"> open and to simply </w:t>
      </w:r>
      <w:r w:rsidR="002A2104">
        <w:rPr>
          <w:rFonts w:ascii="Times New Roman" w:hAnsi="Times New Roman" w:cs="Times New Roman"/>
          <w:sz w:val="24"/>
          <w:szCs w:val="24"/>
        </w:rPr>
        <w:t>state that the first respondent had produced more documents than the appellant and on that basis to then deny the relief sought as indeed to find for the first respondent was not based upon an</w:t>
      </w:r>
      <w:r w:rsidR="001C28FC">
        <w:rPr>
          <w:rFonts w:ascii="Times New Roman" w:hAnsi="Times New Roman" w:cs="Times New Roman"/>
          <w:sz w:val="24"/>
          <w:szCs w:val="24"/>
        </w:rPr>
        <w:t>y</w:t>
      </w:r>
      <w:r w:rsidR="002A2104">
        <w:rPr>
          <w:rFonts w:ascii="Times New Roman" w:hAnsi="Times New Roman" w:cs="Times New Roman"/>
          <w:sz w:val="24"/>
          <w:szCs w:val="24"/>
        </w:rPr>
        <w:t xml:space="preserve"> accepted principle of evidential assessment and adjudication.  </w:t>
      </w:r>
    </w:p>
    <w:p w:rsidR="00F75046" w:rsidRDefault="002A2104" w:rsidP="007D51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Upon considering the court </w:t>
      </w:r>
      <w:r w:rsidRPr="002A2104">
        <w:rPr>
          <w:rFonts w:ascii="Times New Roman" w:hAnsi="Times New Roman" w:cs="Times New Roman"/>
          <w:i/>
          <w:sz w:val="24"/>
          <w:szCs w:val="24"/>
        </w:rPr>
        <w:t>a quo</w:t>
      </w:r>
      <w:r>
        <w:rPr>
          <w:rFonts w:ascii="Times New Roman" w:hAnsi="Times New Roman" w:cs="Times New Roman"/>
          <w:sz w:val="24"/>
          <w:szCs w:val="24"/>
        </w:rPr>
        <w:t xml:space="preserve">’s judgement, the appeal court was of the unanimous view that the court </w:t>
      </w:r>
      <w:r w:rsidRPr="00772D7F">
        <w:rPr>
          <w:rFonts w:ascii="Times New Roman" w:hAnsi="Times New Roman" w:cs="Times New Roman"/>
          <w:i/>
          <w:sz w:val="24"/>
          <w:szCs w:val="24"/>
        </w:rPr>
        <w:t>a quo</w:t>
      </w:r>
      <w:r>
        <w:rPr>
          <w:rFonts w:ascii="Times New Roman" w:hAnsi="Times New Roman" w:cs="Times New Roman"/>
          <w:sz w:val="24"/>
          <w:szCs w:val="24"/>
        </w:rPr>
        <w:t xml:space="preserve">’s judgement was a judgement in name because the learned magistrate did not </w:t>
      </w:r>
      <w:r>
        <w:rPr>
          <w:rFonts w:ascii="Times New Roman" w:hAnsi="Times New Roman" w:cs="Times New Roman"/>
          <w:sz w:val="24"/>
          <w:szCs w:val="24"/>
        </w:rPr>
        <w:lastRenderedPageBreak/>
        <w:t xml:space="preserve">assess the evidence as he was required to. The judgement if it be so called was hollow and was a regurgitation of documents which the parties had produced as exhibit </w:t>
      </w:r>
      <w:r w:rsidR="00772D7F">
        <w:rPr>
          <w:rFonts w:ascii="Times New Roman" w:hAnsi="Times New Roman" w:cs="Times New Roman"/>
          <w:sz w:val="24"/>
          <w:szCs w:val="24"/>
        </w:rPr>
        <w:t>giv</w:t>
      </w:r>
      <w:r>
        <w:rPr>
          <w:rFonts w:ascii="Times New Roman" w:hAnsi="Times New Roman" w:cs="Times New Roman"/>
          <w:sz w:val="24"/>
          <w:szCs w:val="24"/>
        </w:rPr>
        <w:t>en in general terms and a decision</w:t>
      </w:r>
      <w:r w:rsidR="00393323">
        <w:rPr>
          <w:rFonts w:ascii="Times New Roman" w:hAnsi="Times New Roman" w:cs="Times New Roman"/>
          <w:sz w:val="24"/>
          <w:szCs w:val="24"/>
        </w:rPr>
        <w:t xml:space="preserve"> being made thereon that one party’s basket of produced </w:t>
      </w:r>
      <w:r w:rsidR="001C28FC">
        <w:rPr>
          <w:rFonts w:ascii="Times New Roman" w:hAnsi="Times New Roman" w:cs="Times New Roman"/>
          <w:sz w:val="24"/>
          <w:szCs w:val="24"/>
        </w:rPr>
        <w:t xml:space="preserve">documents </w:t>
      </w:r>
      <w:r w:rsidR="00393323">
        <w:rPr>
          <w:rFonts w:ascii="Times New Roman" w:hAnsi="Times New Roman" w:cs="Times New Roman"/>
          <w:sz w:val="24"/>
          <w:szCs w:val="24"/>
        </w:rPr>
        <w:t>was more than the other party’s</w:t>
      </w:r>
      <w:r w:rsidR="00781D23">
        <w:rPr>
          <w:rFonts w:ascii="Times New Roman" w:hAnsi="Times New Roman" w:cs="Times New Roman"/>
          <w:sz w:val="24"/>
          <w:szCs w:val="24"/>
        </w:rPr>
        <w:t xml:space="preserve"> basket.  In the case of </w:t>
      </w:r>
      <w:r w:rsidR="00781D23" w:rsidRPr="00F75046">
        <w:rPr>
          <w:rFonts w:ascii="Times New Roman" w:hAnsi="Times New Roman" w:cs="Times New Roman"/>
          <w:i/>
          <w:sz w:val="24"/>
          <w:szCs w:val="24"/>
        </w:rPr>
        <w:t xml:space="preserve">S </w:t>
      </w:r>
      <w:r w:rsidR="00781D23" w:rsidRPr="00F75046">
        <w:rPr>
          <w:rFonts w:ascii="Times New Roman" w:hAnsi="Times New Roman" w:cs="Times New Roman"/>
          <w:sz w:val="24"/>
          <w:szCs w:val="24"/>
        </w:rPr>
        <w:t>v</w:t>
      </w:r>
      <w:r w:rsidR="00781D23" w:rsidRPr="00F75046">
        <w:rPr>
          <w:rFonts w:ascii="Times New Roman" w:hAnsi="Times New Roman" w:cs="Times New Roman"/>
          <w:i/>
          <w:sz w:val="24"/>
          <w:szCs w:val="24"/>
        </w:rPr>
        <w:t xml:space="preserve"> Makawa &amp; Ano</w:t>
      </w:r>
      <w:r w:rsidR="00781D23">
        <w:rPr>
          <w:rFonts w:ascii="Times New Roman" w:hAnsi="Times New Roman" w:cs="Times New Roman"/>
          <w:sz w:val="24"/>
          <w:szCs w:val="24"/>
        </w:rPr>
        <w:t xml:space="preserve"> </w:t>
      </w:r>
      <w:r w:rsidR="00F75046">
        <w:rPr>
          <w:rFonts w:ascii="Times New Roman" w:hAnsi="Times New Roman" w:cs="Times New Roman"/>
          <w:sz w:val="24"/>
          <w:szCs w:val="24"/>
        </w:rPr>
        <w:t>1991 (1) ZLR 142 (</w:t>
      </w:r>
      <w:r w:rsidR="00772D7F">
        <w:rPr>
          <w:rFonts w:ascii="Times New Roman" w:hAnsi="Times New Roman" w:cs="Times New Roman"/>
          <w:sz w:val="24"/>
          <w:szCs w:val="24"/>
        </w:rPr>
        <w:t>SC</w:t>
      </w:r>
      <w:r w:rsidR="00F75046">
        <w:rPr>
          <w:rFonts w:ascii="Times New Roman" w:hAnsi="Times New Roman" w:cs="Times New Roman"/>
          <w:sz w:val="24"/>
          <w:szCs w:val="24"/>
        </w:rPr>
        <w:t xml:space="preserve">) @ p 146 D – E </w:t>
      </w:r>
      <w:r w:rsidR="00F75046" w:rsidRPr="00F75046">
        <w:rPr>
          <w:rFonts w:ascii="Times New Roman" w:hAnsi="Times New Roman" w:cs="Times New Roman"/>
          <w:smallCaps/>
          <w:sz w:val="24"/>
          <w:szCs w:val="24"/>
        </w:rPr>
        <w:t>Makarau J</w:t>
      </w:r>
      <w:r w:rsidR="00F75046">
        <w:rPr>
          <w:rFonts w:ascii="Times New Roman" w:hAnsi="Times New Roman" w:cs="Times New Roman"/>
          <w:sz w:val="24"/>
          <w:szCs w:val="24"/>
        </w:rPr>
        <w:t xml:space="preserve"> stated:-</w:t>
      </w:r>
    </w:p>
    <w:p w:rsidR="00F75046" w:rsidRDefault="00F75046" w:rsidP="00F75046">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“Although there are indications in this case that the Magistrate may have considered the case, a </w:t>
      </w:r>
      <w:r>
        <w:rPr>
          <w:rFonts w:ascii="Times New Roman" w:hAnsi="Times New Roman" w:cs="Times New Roman"/>
        </w:rPr>
        <w:tab/>
        <w:t xml:space="preserve">large portion of those considerations remained stored in his mind instead of being committed to </w:t>
      </w:r>
      <w:r>
        <w:rPr>
          <w:rFonts w:ascii="Times New Roman" w:hAnsi="Times New Roman" w:cs="Times New Roman"/>
        </w:rPr>
        <w:tab/>
        <w:t xml:space="preserve">paper.  In the circumstances this amounts to an omission to consider and give reasons. There is a </w:t>
      </w:r>
      <w:r>
        <w:rPr>
          <w:rFonts w:ascii="Times New Roman" w:hAnsi="Times New Roman" w:cs="Times New Roman"/>
        </w:rPr>
        <w:tab/>
        <w:t xml:space="preserve">gross irregularity in the proceedings …….  See </w:t>
      </w:r>
      <w:r w:rsidRPr="00F75046">
        <w:rPr>
          <w:rFonts w:ascii="Times New Roman" w:hAnsi="Times New Roman" w:cs="Times New Roman"/>
          <w:i/>
        </w:rPr>
        <w:t xml:space="preserve">R </w:t>
      </w:r>
      <w:r w:rsidRPr="00F75046">
        <w:rPr>
          <w:rFonts w:ascii="Times New Roman" w:hAnsi="Times New Roman" w:cs="Times New Roman"/>
        </w:rPr>
        <w:t>v</w:t>
      </w:r>
      <w:r w:rsidRPr="00F75046">
        <w:rPr>
          <w:rFonts w:ascii="Times New Roman" w:hAnsi="Times New Roman" w:cs="Times New Roman"/>
          <w:i/>
        </w:rPr>
        <w:t xml:space="preserve"> Jokonya</w:t>
      </w:r>
      <w:r>
        <w:rPr>
          <w:rFonts w:ascii="Times New Roman" w:hAnsi="Times New Roman" w:cs="Times New Roman"/>
        </w:rPr>
        <w:t>.”</w:t>
      </w:r>
    </w:p>
    <w:p w:rsidR="00F75046" w:rsidRDefault="00F75046" w:rsidP="00F75046">
      <w:pPr>
        <w:spacing w:after="0" w:line="240" w:lineRule="auto"/>
        <w:jc w:val="both"/>
        <w:rPr>
          <w:rFonts w:ascii="Times New Roman" w:hAnsi="Times New Roman" w:cs="Times New Roman"/>
        </w:rPr>
      </w:pPr>
    </w:p>
    <w:p w:rsidR="00825969" w:rsidRDefault="00F75046" w:rsidP="00F750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the authorities cited concerned criminal appeals, </w:t>
      </w:r>
      <w:r w:rsidR="00825969">
        <w:rPr>
          <w:rFonts w:ascii="Times New Roman" w:hAnsi="Times New Roman" w:cs="Times New Roman"/>
          <w:sz w:val="24"/>
          <w:szCs w:val="24"/>
        </w:rPr>
        <w:t xml:space="preserve">the principle underlying the effect of a failure by the judicial officer to give adequate or sufficient reasons for the decision constitutes a gross irregularity which vitiates the judgement. </w:t>
      </w:r>
      <w:r w:rsidR="00825969" w:rsidRPr="00825969">
        <w:rPr>
          <w:rFonts w:ascii="Times New Roman" w:hAnsi="Times New Roman" w:cs="Times New Roman"/>
          <w:sz w:val="24"/>
          <w:szCs w:val="24"/>
        </w:rPr>
        <w:t>In</w:t>
      </w:r>
      <w:r w:rsidR="00825969" w:rsidRPr="00825969">
        <w:rPr>
          <w:rFonts w:ascii="Times New Roman" w:hAnsi="Times New Roman" w:cs="Times New Roman"/>
          <w:i/>
          <w:sz w:val="24"/>
          <w:szCs w:val="24"/>
        </w:rPr>
        <w:t xml:space="preserve"> casu</w:t>
      </w:r>
      <w:r w:rsidR="00825969">
        <w:rPr>
          <w:rFonts w:ascii="Times New Roman" w:hAnsi="Times New Roman" w:cs="Times New Roman"/>
          <w:sz w:val="24"/>
          <w:szCs w:val="24"/>
        </w:rPr>
        <w:t xml:space="preserve"> by stating that one party produced more documents than the other, it implies that the learned magistrate could have considered the documents but stored to memory what he made out of those documents and conclusions he made thereon.  In the case of </w:t>
      </w:r>
      <w:r w:rsidR="00825969" w:rsidRPr="00825969">
        <w:rPr>
          <w:rFonts w:ascii="Times New Roman" w:hAnsi="Times New Roman" w:cs="Times New Roman"/>
          <w:i/>
          <w:sz w:val="24"/>
          <w:szCs w:val="24"/>
        </w:rPr>
        <w:t xml:space="preserve">Soalemeziz </w:t>
      </w:r>
      <w:r w:rsidR="00825969" w:rsidRPr="00825969">
        <w:rPr>
          <w:rFonts w:ascii="Times New Roman" w:hAnsi="Times New Roman" w:cs="Times New Roman"/>
          <w:sz w:val="24"/>
          <w:szCs w:val="24"/>
        </w:rPr>
        <w:t>v</w:t>
      </w:r>
      <w:r w:rsidR="00825969" w:rsidRPr="00825969">
        <w:rPr>
          <w:rFonts w:ascii="Times New Roman" w:hAnsi="Times New Roman" w:cs="Times New Roman"/>
          <w:i/>
          <w:sz w:val="24"/>
          <w:szCs w:val="24"/>
        </w:rPr>
        <w:t xml:space="preserve"> Dudley Holdings</w:t>
      </w:r>
      <w:r w:rsidR="00825969">
        <w:rPr>
          <w:rFonts w:ascii="Times New Roman" w:hAnsi="Times New Roman" w:cs="Times New Roman"/>
          <w:sz w:val="24"/>
          <w:szCs w:val="24"/>
        </w:rPr>
        <w:t xml:space="preserve"> (1987) 10 NSWLR 247 @ 279 </w:t>
      </w:r>
      <w:r w:rsidR="00825969" w:rsidRPr="00825969">
        <w:rPr>
          <w:rFonts w:ascii="Times New Roman" w:hAnsi="Times New Roman" w:cs="Times New Roman"/>
          <w:smallCaps/>
          <w:sz w:val="24"/>
          <w:szCs w:val="24"/>
        </w:rPr>
        <w:t>Mchugh JA</w:t>
      </w:r>
      <w:r w:rsidR="00825969">
        <w:rPr>
          <w:rFonts w:ascii="Times New Roman" w:hAnsi="Times New Roman" w:cs="Times New Roman"/>
          <w:sz w:val="24"/>
          <w:szCs w:val="24"/>
        </w:rPr>
        <w:t xml:space="preserve"> stated on the need to give reasons for a judicial decision:-</w:t>
      </w:r>
    </w:p>
    <w:p w:rsidR="00CE192C" w:rsidRDefault="00825969" w:rsidP="00825969">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 xml:space="preserve">The giving of reasons for a judicial decision serves at least three purposes.  First, it enables the </w:t>
      </w:r>
      <w:r w:rsidR="000320F5">
        <w:rPr>
          <w:rFonts w:ascii="Times New Roman" w:hAnsi="Times New Roman" w:cs="Times New Roman"/>
        </w:rPr>
        <w:tab/>
      </w:r>
      <w:r>
        <w:rPr>
          <w:rFonts w:ascii="Times New Roman" w:hAnsi="Times New Roman" w:cs="Times New Roman"/>
        </w:rPr>
        <w:t xml:space="preserve">parties to use the extent to which </w:t>
      </w:r>
      <w:r w:rsidR="00CE192C">
        <w:rPr>
          <w:rFonts w:ascii="Times New Roman" w:hAnsi="Times New Roman" w:cs="Times New Roman"/>
        </w:rPr>
        <w:t xml:space="preserve">that arguments have been understood and accepted as well as the </w:t>
      </w:r>
      <w:r w:rsidR="00CE192C">
        <w:rPr>
          <w:rFonts w:ascii="Times New Roman" w:hAnsi="Times New Roman" w:cs="Times New Roman"/>
        </w:rPr>
        <w:tab/>
        <w:t xml:space="preserve">basis of the judge’s decision. As </w:t>
      </w:r>
      <w:r w:rsidR="001C28FC">
        <w:rPr>
          <w:rFonts w:ascii="Times New Roman" w:hAnsi="Times New Roman" w:cs="Times New Roman"/>
        </w:rPr>
        <w:t xml:space="preserve">Lord </w:t>
      </w:r>
      <w:r w:rsidR="00CE192C">
        <w:rPr>
          <w:rFonts w:ascii="Times New Roman" w:hAnsi="Times New Roman" w:cs="Times New Roman"/>
        </w:rPr>
        <w:t xml:space="preserve">MacMillan has pointed out, the main object of a reasoned </w:t>
      </w:r>
      <w:r w:rsidR="00CE192C">
        <w:rPr>
          <w:rFonts w:ascii="Times New Roman" w:hAnsi="Times New Roman" w:cs="Times New Roman"/>
        </w:rPr>
        <w:tab/>
        <w:t xml:space="preserve">judgement, is not to do but to seem to do justice.  The writing of judgements (1948) 26 CanBar Rev </w:t>
      </w:r>
      <w:r w:rsidR="00CE192C">
        <w:rPr>
          <w:rFonts w:ascii="Times New Roman" w:hAnsi="Times New Roman" w:cs="Times New Roman"/>
        </w:rPr>
        <w:tab/>
        <w:t xml:space="preserve">at 491.  Thus the articulation of reasons provides the foundation for the acceptability of the decision </w:t>
      </w:r>
      <w:r w:rsidR="00CE192C">
        <w:rPr>
          <w:rFonts w:ascii="Times New Roman" w:hAnsi="Times New Roman" w:cs="Times New Roman"/>
        </w:rPr>
        <w:tab/>
        <w:t xml:space="preserve">by the parties and by the public. Secondly the giving of reasons furthers judicial accountability.  As </w:t>
      </w:r>
      <w:r w:rsidR="00CE192C">
        <w:rPr>
          <w:rFonts w:ascii="Times New Roman" w:hAnsi="Times New Roman" w:cs="Times New Roman"/>
        </w:rPr>
        <w:tab/>
        <w:t xml:space="preserve">Professor Shapiro has recently said (In reference of Judicial CanBar (1987) 100 Harv L Rev 731 at </w:t>
      </w:r>
      <w:r w:rsidR="00CE192C">
        <w:rPr>
          <w:rFonts w:ascii="Times New Roman" w:hAnsi="Times New Roman" w:cs="Times New Roman"/>
        </w:rPr>
        <w:tab/>
        <w:t xml:space="preserve">737):-  </w:t>
      </w:r>
    </w:p>
    <w:p w:rsidR="00CE192C" w:rsidRDefault="00CE192C" w:rsidP="00825969">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 requirement that judges give reasons for their decisions – grounds of decision that can </w:t>
      </w:r>
      <w:r>
        <w:rPr>
          <w:rFonts w:ascii="Times New Roman" w:hAnsi="Times New Roman" w:cs="Times New Roman"/>
        </w:rPr>
        <w:tab/>
      </w:r>
      <w:r>
        <w:rPr>
          <w:rFonts w:ascii="Times New Roman" w:hAnsi="Times New Roman" w:cs="Times New Roman"/>
        </w:rPr>
        <w:tab/>
      </w:r>
      <w:r w:rsidR="001C28FC">
        <w:rPr>
          <w:rFonts w:ascii="Times New Roman" w:hAnsi="Times New Roman" w:cs="Times New Roman"/>
        </w:rPr>
        <w:tab/>
      </w:r>
      <w:r>
        <w:rPr>
          <w:rFonts w:ascii="Times New Roman" w:hAnsi="Times New Roman" w:cs="Times New Roman"/>
        </w:rPr>
        <w:t>be deb</w:t>
      </w:r>
      <w:r w:rsidR="001C28FC">
        <w:rPr>
          <w:rFonts w:ascii="Times New Roman" w:hAnsi="Times New Roman" w:cs="Times New Roman"/>
        </w:rPr>
        <w:t>a</w:t>
      </w:r>
      <w:r>
        <w:rPr>
          <w:rFonts w:ascii="Times New Roman" w:hAnsi="Times New Roman" w:cs="Times New Roman"/>
        </w:rPr>
        <w:t>ted</w:t>
      </w:r>
      <w:r w:rsidR="001C28FC">
        <w:rPr>
          <w:rFonts w:ascii="Times New Roman" w:hAnsi="Times New Roman" w:cs="Times New Roman"/>
        </w:rPr>
        <w:t>,</w:t>
      </w:r>
      <w:r>
        <w:rPr>
          <w:rFonts w:ascii="Times New Roman" w:hAnsi="Times New Roman" w:cs="Times New Roman"/>
        </w:rPr>
        <w:t xml:space="preserve"> attacked and defended …serves a vital function in constraining the judiciary’s </w:t>
      </w:r>
      <w:r>
        <w:rPr>
          <w:rFonts w:ascii="Times New Roman" w:hAnsi="Times New Roman" w:cs="Times New Roman"/>
        </w:rPr>
        <w:tab/>
      </w:r>
      <w:r>
        <w:rPr>
          <w:rFonts w:ascii="Times New Roman" w:hAnsi="Times New Roman" w:cs="Times New Roman"/>
        </w:rPr>
        <w:tab/>
        <w:t>exercise of power.’</w:t>
      </w:r>
    </w:p>
    <w:p w:rsidR="00CE192C" w:rsidRDefault="00CE192C" w:rsidP="00825969">
      <w:pPr>
        <w:spacing w:after="0" w:line="240" w:lineRule="auto"/>
        <w:jc w:val="both"/>
        <w:rPr>
          <w:rFonts w:ascii="Times New Roman" w:hAnsi="Times New Roman" w:cs="Times New Roman"/>
        </w:rPr>
      </w:pPr>
    </w:p>
    <w:p w:rsidR="00F75046" w:rsidRPr="000608FE" w:rsidRDefault="00CE192C" w:rsidP="000608FE">
      <w:pPr>
        <w:spacing w:after="0" w:line="240" w:lineRule="auto"/>
        <w:jc w:val="both"/>
        <w:rPr>
          <w:rFonts w:ascii="Times New Roman" w:hAnsi="Times New Roman" w:cs="Times New Roman"/>
        </w:rPr>
      </w:pPr>
      <w:r>
        <w:rPr>
          <w:rFonts w:ascii="Times New Roman" w:hAnsi="Times New Roman" w:cs="Times New Roman"/>
          <w:sz w:val="24"/>
          <w:szCs w:val="24"/>
        </w:rPr>
        <w:tab/>
      </w:r>
      <w:r w:rsidRPr="000608FE">
        <w:rPr>
          <w:rFonts w:ascii="Times New Roman" w:hAnsi="Times New Roman" w:cs="Times New Roman"/>
        </w:rPr>
        <w:t xml:space="preserve">Thirdly under the common law system of adjudication, courts not only resolve disputes – </w:t>
      </w:r>
      <w:r w:rsidR="000608FE" w:rsidRPr="000608FE">
        <w:rPr>
          <w:rFonts w:ascii="Times New Roman" w:hAnsi="Times New Roman" w:cs="Times New Roman"/>
        </w:rPr>
        <w:tab/>
      </w:r>
      <w:r w:rsidRPr="000608FE">
        <w:rPr>
          <w:rFonts w:ascii="Times New Roman" w:hAnsi="Times New Roman" w:cs="Times New Roman"/>
        </w:rPr>
        <w:t xml:space="preserve">they </w:t>
      </w:r>
      <w:r w:rsidR="000608FE">
        <w:rPr>
          <w:rFonts w:ascii="Times New Roman" w:hAnsi="Times New Roman" w:cs="Times New Roman"/>
        </w:rPr>
        <w:tab/>
      </w:r>
      <w:r w:rsidRPr="000608FE">
        <w:rPr>
          <w:rFonts w:ascii="Times New Roman" w:hAnsi="Times New Roman" w:cs="Times New Roman"/>
        </w:rPr>
        <w:t xml:space="preserve">formulate </w:t>
      </w:r>
      <w:r w:rsidR="000608FE" w:rsidRPr="000608FE">
        <w:rPr>
          <w:rFonts w:ascii="Times New Roman" w:hAnsi="Times New Roman" w:cs="Times New Roman"/>
        </w:rPr>
        <w:t xml:space="preserve">rules for application </w:t>
      </w:r>
      <w:r w:rsidR="000608FE">
        <w:rPr>
          <w:rFonts w:ascii="Times New Roman" w:hAnsi="Times New Roman" w:cs="Times New Roman"/>
        </w:rPr>
        <w:t xml:space="preserve">in future cases. Taggart “should Canadian judges be legally </w:t>
      </w:r>
      <w:r w:rsidR="00791E99">
        <w:rPr>
          <w:rFonts w:ascii="Times New Roman" w:hAnsi="Times New Roman" w:cs="Times New Roman"/>
        </w:rPr>
        <w:tab/>
      </w:r>
      <w:r w:rsidR="000608FE">
        <w:rPr>
          <w:rFonts w:ascii="Times New Roman" w:hAnsi="Times New Roman" w:cs="Times New Roman"/>
        </w:rPr>
        <w:t>Required to Give Reasoned Decisions in Civil Cases</w:t>
      </w:r>
      <w:r w:rsidR="00791E99">
        <w:rPr>
          <w:rFonts w:ascii="Times New Roman" w:hAnsi="Times New Roman" w:cs="Times New Roman"/>
        </w:rPr>
        <w:t xml:space="preserve">” (1983) 33 University of Toronto Law Journal </w:t>
      </w:r>
      <w:r w:rsidR="00791E99">
        <w:rPr>
          <w:rFonts w:ascii="Times New Roman" w:hAnsi="Times New Roman" w:cs="Times New Roman"/>
        </w:rPr>
        <w:tab/>
        <w:t xml:space="preserve">1 @ 3 – 4.  Hence the giving of reasons enables practitioners, legislators and members of the public </w:t>
      </w:r>
      <w:r w:rsidR="00791E99">
        <w:rPr>
          <w:rFonts w:ascii="Times New Roman" w:hAnsi="Times New Roman" w:cs="Times New Roman"/>
        </w:rPr>
        <w:tab/>
        <w:t>to ascertain the basis upon which like cases will probably be decided in the future.”</w:t>
      </w:r>
      <w:r w:rsidR="00825969" w:rsidRPr="000608FE">
        <w:rPr>
          <w:rFonts w:ascii="Times New Roman" w:hAnsi="Times New Roman" w:cs="Times New Roman"/>
        </w:rPr>
        <w:t xml:space="preserve">   </w:t>
      </w:r>
    </w:p>
    <w:p w:rsidR="00CE192C" w:rsidRDefault="00CE192C" w:rsidP="00825969">
      <w:pPr>
        <w:spacing w:after="0" w:line="240" w:lineRule="auto"/>
        <w:jc w:val="both"/>
        <w:rPr>
          <w:rFonts w:ascii="Times New Roman" w:hAnsi="Times New Roman" w:cs="Times New Roman"/>
          <w:sz w:val="24"/>
          <w:szCs w:val="24"/>
        </w:rPr>
      </w:pPr>
    </w:p>
    <w:p w:rsidR="00791E99" w:rsidRDefault="00791E99" w:rsidP="00791E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judgement of the learned magistrate left the court disabled to entertain grounds of appeal. Counsel for both parties when asked for their views on the judgment and the intended </w:t>
      </w:r>
      <w:r>
        <w:rPr>
          <w:rFonts w:ascii="Times New Roman" w:hAnsi="Times New Roman" w:cs="Times New Roman"/>
          <w:sz w:val="24"/>
          <w:szCs w:val="24"/>
        </w:rPr>
        <w:lastRenderedPageBreak/>
        <w:t xml:space="preserve">disposition of the appeal by way of review expressed the view as well that the judgement was unhelpful as it did not adjudicate </w:t>
      </w:r>
      <w:r w:rsidR="001C28FC">
        <w:rPr>
          <w:rFonts w:ascii="Times New Roman" w:hAnsi="Times New Roman" w:cs="Times New Roman"/>
          <w:sz w:val="24"/>
          <w:szCs w:val="24"/>
        </w:rPr>
        <w:t>o</w:t>
      </w:r>
      <w:r>
        <w:rPr>
          <w:rFonts w:ascii="Times New Roman" w:hAnsi="Times New Roman" w:cs="Times New Roman"/>
          <w:sz w:val="24"/>
          <w:szCs w:val="24"/>
        </w:rPr>
        <w:t xml:space="preserve">n evidence led and documents produced.  </w:t>
      </w:r>
    </w:p>
    <w:p w:rsidR="00791E99" w:rsidRDefault="00791E99" w:rsidP="00791E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view of the demonstrated gross irregularity noted whose details have been discussed, it was resolved to set aside the proceedings and order a fresh trial before a different magistrate. It was so ordered as per the order granted on 15 June 2023 as quoted.  Thus, the full reasons for the order are herein contained.   </w:t>
      </w:r>
    </w:p>
    <w:p w:rsidR="00CE192C" w:rsidRPr="00F75046" w:rsidRDefault="00CE192C" w:rsidP="00825969">
      <w:pPr>
        <w:spacing w:after="0" w:line="240" w:lineRule="auto"/>
        <w:jc w:val="both"/>
        <w:rPr>
          <w:rFonts w:ascii="Times New Roman" w:hAnsi="Times New Roman" w:cs="Times New Roman"/>
          <w:sz w:val="24"/>
          <w:szCs w:val="24"/>
        </w:rPr>
      </w:pPr>
    </w:p>
    <w:p w:rsidR="007D5119" w:rsidRPr="007D5119" w:rsidRDefault="002A2104" w:rsidP="007D51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A360E">
        <w:rPr>
          <w:rFonts w:ascii="Times New Roman" w:hAnsi="Times New Roman" w:cs="Times New Roman"/>
          <w:sz w:val="24"/>
          <w:szCs w:val="24"/>
        </w:rPr>
        <w:t xml:space="preserve">  </w:t>
      </w:r>
      <w:r w:rsidR="009D1BBD">
        <w:rPr>
          <w:rFonts w:ascii="Times New Roman" w:hAnsi="Times New Roman" w:cs="Times New Roman"/>
          <w:sz w:val="24"/>
          <w:szCs w:val="24"/>
        </w:rPr>
        <w:t xml:space="preserve"> </w:t>
      </w:r>
    </w:p>
    <w:p w:rsidR="00E82A2F" w:rsidRPr="00A27221" w:rsidRDefault="00DB2A08" w:rsidP="007D5119">
      <w:pPr>
        <w:spacing w:after="0" w:line="240" w:lineRule="auto"/>
        <w:jc w:val="both"/>
        <w:rPr>
          <w:rFonts w:ascii="Times New Roman" w:hAnsi="Times New Roman" w:cs="Times New Roman"/>
          <w:sz w:val="24"/>
          <w:szCs w:val="24"/>
        </w:rPr>
      </w:pPr>
      <w:r w:rsidRPr="00A27221">
        <w:rPr>
          <w:rFonts w:ascii="Times New Roman" w:hAnsi="Times New Roman" w:cs="Times New Roman"/>
          <w:sz w:val="24"/>
          <w:szCs w:val="24"/>
        </w:rPr>
        <w:t xml:space="preserve"> </w:t>
      </w:r>
      <w:r w:rsidR="00383FD1" w:rsidRPr="00A27221">
        <w:rPr>
          <w:rFonts w:ascii="Times New Roman" w:hAnsi="Times New Roman" w:cs="Times New Roman"/>
          <w:sz w:val="24"/>
          <w:szCs w:val="24"/>
        </w:rPr>
        <w:t xml:space="preserve"> </w:t>
      </w:r>
      <w:r w:rsidR="009976D9" w:rsidRPr="00A27221">
        <w:rPr>
          <w:rFonts w:ascii="Times New Roman" w:hAnsi="Times New Roman" w:cs="Times New Roman"/>
          <w:sz w:val="24"/>
          <w:szCs w:val="24"/>
        </w:rPr>
        <w:t xml:space="preserve"> </w:t>
      </w:r>
      <w:r w:rsidR="00CA633E" w:rsidRPr="00A27221">
        <w:rPr>
          <w:rFonts w:ascii="Times New Roman" w:hAnsi="Times New Roman" w:cs="Times New Roman"/>
          <w:sz w:val="24"/>
          <w:szCs w:val="24"/>
        </w:rPr>
        <w:t xml:space="preserve"> </w:t>
      </w:r>
      <w:r w:rsidR="0072455A" w:rsidRPr="00A27221">
        <w:rPr>
          <w:rFonts w:ascii="Times New Roman" w:hAnsi="Times New Roman" w:cs="Times New Roman"/>
          <w:sz w:val="24"/>
          <w:szCs w:val="24"/>
        </w:rPr>
        <w:t xml:space="preserve"> </w:t>
      </w:r>
      <w:r w:rsidR="004013BF" w:rsidRPr="00A27221">
        <w:rPr>
          <w:rFonts w:ascii="Times New Roman" w:hAnsi="Times New Roman" w:cs="Times New Roman"/>
          <w:sz w:val="24"/>
          <w:szCs w:val="24"/>
        </w:rPr>
        <w:t xml:space="preserve">   </w:t>
      </w:r>
      <w:r w:rsidR="00D5451E" w:rsidRPr="00A27221">
        <w:rPr>
          <w:rFonts w:ascii="Times New Roman" w:hAnsi="Times New Roman" w:cs="Times New Roman"/>
          <w:sz w:val="24"/>
          <w:szCs w:val="24"/>
        </w:rPr>
        <w:t xml:space="preserve">  </w:t>
      </w:r>
      <w:r w:rsidR="007F34F6" w:rsidRPr="00A27221">
        <w:rPr>
          <w:rFonts w:ascii="Times New Roman" w:hAnsi="Times New Roman" w:cs="Times New Roman"/>
          <w:sz w:val="24"/>
          <w:szCs w:val="24"/>
        </w:rPr>
        <w:t xml:space="preserve">  </w:t>
      </w:r>
      <w:r w:rsidR="00B72687" w:rsidRPr="00A27221">
        <w:rPr>
          <w:rFonts w:ascii="Times New Roman" w:hAnsi="Times New Roman" w:cs="Times New Roman"/>
          <w:sz w:val="24"/>
          <w:szCs w:val="24"/>
        </w:rPr>
        <w:t xml:space="preserve"> </w:t>
      </w:r>
      <w:r w:rsidR="00F0030D" w:rsidRPr="00A27221">
        <w:rPr>
          <w:rFonts w:ascii="Times New Roman" w:hAnsi="Times New Roman" w:cs="Times New Roman"/>
          <w:sz w:val="24"/>
          <w:szCs w:val="24"/>
        </w:rPr>
        <w:t xml:space="preserve">  </w:t>
      </w:r>
      <w:r w:rsidR="0059674D" w:rsidRPr="00A27221">
        <w:rPr>
          <w:rFonts w:ascii="Times New Roman" w:hAnsi="Times New Roman" w:cs="Times New Roman"/>
          <w:sz w:val="24"/>
          <w:szCs w:val="24"/>
        </w:rPr>
        <w:t xml:space="preserve"> </w:t>
      </w:r>
      <w:r w:rsidR="00E82A2F" w:rsidRPr="00A27221">
        <w:rPr>
          <w:rFonts w:ascii="Times New Roman" w:hAnsi="Times New Roman" w:cs="Times New Roman"/>
          <w:sz w:val="24"/>
          <w:szCs w:val="24"/>
        </w:rPr>
        <w:t xml:space="preserve"> </w:t>
      </w:r>
    </w:p>
    <w:p w:rsidR="006B4880" w:rsidRPr="000F69AD" w:rsidRDefault="000F567A" w:rsidP="000F69AD">
      <w:pPr>
        <w:spacing w:after="0" w:line="240" w:lineRule="auto"/>
        <w:jc w:val="both"/>
        <w:rPr>
          <w:rFonts w:ascii="Times New Roman" w:hAnsi="Times New Roman" w:cs="Times New Roman"/>
        </w:rPr>
      </w:pPr>
      <w:r>
        <w:rPr>
          <w:rFonts w:ascii="Times New Roman" w:hAnsi="Times New Roman" w:cs="Times New Roman"/>
          <w:sz w:val="24"/>
          <w:szCs w:val="24"/>
        </w:rPr>
        <w:t xml:space="preserve"> </w:t>
      </w:r>
      <w:r w:rsidR="0023579E">
        <w:rPr>
          <w:rFonts w:ascii="Times New Roman" w:hAnsi="Times New Roman" w:cs="Times New Roman"/>
          <w:sz w:val="24"/>
          <w:szCs w:val="24"/>
        </w:rPr>
        <w:t xml:space="preserve"> </w:t>
      </w:r>
      <w:r w:rsidR="00044DEA">
        <w:rPr>
          <w:rFonts w:ascii="Times New Roman" w:hAnsi="Times New Roman" w:cs="Times New Roman"/>
          <w:sz w:val="24"/>
          <w:szCs w:val="24"/>
        </w:rPr>
        <w:t xml:space="preserve"> </w:t>
      </w:r>
      <w:r w:rsidR="00CF50EC">
        <w:rPr>
          <w:rFonts w:ascii="Times New Roman" w:hAnsi="Times New Roman" w:cs="Times New Roman"/>
          <w:sz w:val="24"/>
          <w:szCs w:val="24"/>
        </w:rPr>
        <w:t xml:space="preserve"> </w:t>
      </w:r>
      <w:r w:rsidR="009A7649">
        <w:rPr>
          <w:rFonts w:ascii="Times New Roman" w:hAnsi="Times New Roman" w:cs="Times New Roman"/>
          <w:sz w:val="24"/>
          <w:szCs w:val="24"/>
        </w:rPr>
        <w:t xml:space="preserve"> </w:t>
      </w:r>
      <w:r w:rsidR="008035AF">
        <w:rPr>
          <w:rFonts w:ascii="Times New Roman" w:hAnsi="Times New Roman" w:cs="Times New Roman"/>
          <w:sz w:val="24"/>
          <w:szCs w:val="24"/>
        </w:rPr>
        <w:t xml:space="preserve">  </w:t>
      </w:r>
      <w:r w:rsidR="00B56F81">
        <w:rPr>
          <w:rFonts w:ascii="Times New Roman" w:hAnsi="Times New Roman" w:cs="Times New Roman"/>
          <w:sz w:val="24"/>
          <w:szCs w:val="24"/>
        </w:rPr>
        <w:t xml:space="preserve"> </w:t>
      </w:r>
      <w:r w:rsidR="00170D7B">
        <w:rPr>
          <w:rFonts w:ascii="Times New Roman" w:hAnsi="Times New Roman" w:cs="Times New Roman"/>
          <w:sz w:val="24"/>
          <w:szCs w:val="24"/>
        </w:rPr>
        <w:t xml:space="preserve">   </w:t>
      </w:r>
      <w:r w:rsidR="007C02D6">
        <w:rPr>
          <w:rFonts w:ascii="Times New Roman" w:hAnsi="Times New Roman" w:cs="Times New Roman"/>
          <w:sz w:val="24"/>
          <w:szCs w:val="24"/>
        </w:rPr>
        <w:t xml:space="preserve"> </w:t>
      </w:r>
      <w:r w:rsidR="00DC2704">
        <w:rPr>
          <w:rFonts w:ascii="Times New Roman" w:hAnsi="Times New Roman" w:cs="Times New Roman"/>
          <w:sz w:val="24"/>
          <w:szCs w:val="24"/>
        </w:rPr>
        <w:t xml:space="preserve"> </w:t>
      </w:r>
      <w:r w:rsidR="00394139">
        <w:rPr>
          <w:rFonts w:ascii="Times New Roman" w:hAnsi="Times New Roman" w:cs="Times New Roman"/>
          <w:sz w:val="24"/>
          <w:szCs w:val="24"/>
        </w:rPr>
        <w:t xml:space="preserve">  </w:t>
      </w:r>
      <w:r w:rsidR="005D34D6">
        <w:rPr>
          <w:rFonts w:ascii="Times New Roman" w:hAnsi="Times New Roman" w:cs="Times New Roman"/>
          <w:sz w:val="24"/>
          <w:szCs w:val="24"/>
        </w:rPr>
        <w:t xml:space="preserve"> </w:t>
      </w:r>
      <w:r w:rsidR="00747047">
        <w:rPr>
          <w:rFonts w:ascii="Times New Roman" w:hAnsi="Times New Roman" w:cs="Times New Roman"/>
          <w:sz w:val="24"/>
          <w:szCs w:val="24"/>
        </w:rPr>
        <w:t xml:space="preserve"> </w:t>
      </w:r>
      <w:r w:rsidR="00EA7C28">
        <w:rPr>
          <w:rFonts w:ascii="Times New Roman" w:hAnsi="Times New Roman" w:cs="Times New Roman"/>
          <w:sz w:val="24"/>
          <w:szCs w:val="24"/>
        </w:rPr>
        <w:t xml:space="preserve"> </w:t>
      </w:r>
    </w:p>
    <w:p w:rsidR="008F0C17" w:rsidRPr="002320B3" w:rsidRDefault="008F0C17" w:rsidP="0028657F">
      <w:pPr>
        <w:spacing w:after="0" w:line="360" w:lineRule="auto"/>
        <w:ind w:left="720" w:hanging="720"/>
        <w:jc w:val="both"/>
        <w:rPr>
          <w:rFonts w:ascii="Times New Roman" w:hAnsi="Times New Roman" w:cs="Times New Roman"/>
          <w:sz w:val="24"/>
          <w:szCs w:val="24"/>
        </w:rPr>
      </w:pPr>
      <w:r w:rsidRPr="008F0C17">
        <w:rPr>
          <w:rFonts w:ascii="Times New Roman" w:hAnsi="Times New Roman" w:cs="Times New Roman"/>
          <w:smallCaps/>
          <w:sz w:val="24"/>
          <w:szCs w:val="24"/>
        </w:rPr>
        <w:t>Chitapi J</w:t>
      </w:r>
      <w:r>
        <w:rPr>
          <w:rFonts w:ascii="Times New Roman" w:hAnsi="Times New Roman" w:cs="Times New Roman"/>
          <w:sz w:val="24"/>
          <w:szCs w:val="24"/>
        </w:rPr>
        <w:t>:……………………………</w:t>
      </w:r>
      <w:r w:rsidR="00791E99">
        <w:rPr>
          <w:rFonts w:ascii="Times New Roman" w:hAnsi="Times New Roman" w:cs="Times New Roman"/>
          <w:sz w:val="24"/>
          <w:szCs w:val="24"/>
        </w:rPr>
        <w:t>……………...</w:t>
      </w:r>
    </w:p>
    <w:p w:rsidR="00812F0F" w:rsidRDefault="00812F0F" w:rsidP="00812F0F">
      <w:pPr>
        <w:pStyle w:val="ListParagraph"/>
        <w:spacing w:after="0" w:line="360" w:lineRule="auto"/>
        <w:ind w:left="0"/>
        <w:jc w:val="both"/>
        <w:rPr>
          <w:rFonts w:ascii="Times New Roman" w:hAnsi="Times New Roman" w:cs="Times New Roman"/>
          <w:sz w:val="24"/>
          <w:szCs w:val="24"/>
        </w:rPr>
      </w:pPr>
    </w:p>
    <w:p w:rsidR="00791E99" w:rsidRDefault="00791E99" w:rsidP="00812F0F">
      <w:pPr>
        <w:pStyle w:val="ListParagraph"/>
        <w:spacing w:after="0" w:line="360" w:lineRule="auto"/>
        <w:ind w:left="0"/>
        <w:jc w:val="both"/>
        <w:rPr>
          <w:rFonts w:ascii="Times New Roman" w:hAnsi="Times New Roman" w:cs="Times New Roman"/>
          <w:sz w:val="24"/>
          <w:szCs w:val="24"/>
        </w:rPr>
      </w:pPr>
    </w:p>
    <w:p w:rsidR="00791E99" w:rsidRDefault="00791E99" w:rsidP="00812F0F">
      <w:pPr>
        <w:pStyle w:val="ListParagraph"/>
        <w:spacing w:after="0" w:line="360" w:lineRule="auto"/>
        <w:ind w:left="0"/>
        <w:jc w:val="both"/>
        <w:rPr>
          <w:rFonts w:ascii="Times New Roman" w:hAnsi="Times New Roman" w:cs="Times New Roman"/>
          <w:sz w:val="24"/>
          <w:szCs w:val="24"/>
        </w:rPr>
      </w:pPr>
    </w:p>
    <w:p w:rsidR="0028657F" w:rsidRDefault="00791E99" w:rsidP="00827852">
      <w:pPr>
        <w:spacing w:after="0" w:line="360" w:lineRule="auto"/>
        <w:jc w:val="both"/>
        <w:rPr>
          <w:rFonts w:ascii="Times New Roman" w:hAnsi="Times New Roman" w:cs="Times New Roman"/>
          <w:sz w:val="24"/>
          <w:szCs w:val="24"/>
        </w:rPr>
      </w:pPr>
      <w:r>
        <w:rPr>
          <w:rFonts w:ascii="Times New Roman" w:hAnsi="Times New Roman" w:cs="Times New Roman"/>
          <w:smallCaps/>
          <w:sz w:val="24"/>
          <w:szCs w:val="24"/>
        </w:rPr>
        <w:t>Munangati-Manongwa</w:t>
      </w:r>
      <w:r w:rsidR="0028657F" w:rsidRPr="008F0C17">
        <w:rPr>
          <w:rFonts w:ascii="Times New Roman" w:hAnsi="Times New Roman" w:cs="Times New Roman"/>
          <w:smallCaps/>
          <w:sz w:val="24"/>
          <w:szCs w:val="24"/>
        </w:rPr>
        <w:t xml:space="preserve"> J</w:t>
      </w:r>
      <w:r>
        <w:rPr>
          <w:rFonts w:ascii="Times New Roman" w:hAnsi="Times New Roman" w:cs="Times New Roman"/>
          <w:sz w:val="24"/>
          <w:szCs w:val="24"/>
        </w:rPr>
        <w:t>:…………………..</w:t>
      </w:r>
      <w:r w:rsidR="0028657F">
        <w:rPr>
          <w:rFonts w:ascii="Times New Roman" w:hAnsi="Times New Roman" w:cs="Times New Roman"/>
          <w:sz w:val="24"/>
          <w:szCs w:val="24"/>
        </w:rPr>
        <w:t>……..</w:t>
      </w:r>
      <w:r>
        <w:rPr>
          <w:rFonts w:ascii="Times New Roman" w:hAnsi="Times New Roman" w:cs="Times New Roman"/>
          <w:sz w:val="24"/>
          <w:szCs w:val="24"/>
        </w:rPr>
        <w:t>I agree</w:t>
      </w:r>
    </w:p>
    <w:p w:rsidR="00791E99" w:rsidRDefault="00791E99" w:rsidP="00827852">
      <w:pPr>
        <w:spacing w:after="0" w:line="360" w:lineRule="auto"/>
        <w:jc w:val="both"/>
        <w:rPr>
          <w:rFonts w:ascii="Times New Roman" w:hAnsi="Times New Roman" w:cs="Times New Roman"/>
          <w:sz w:val="24"/>
          <w:szCs w:val="24"/>
        </w:rPr>
      </w:pPr>
    </w:p>
    <w:p w:rsidR="00791E99" w:rsidRDefault="00791E99" w:rsidP="00827852">
      <w:pPr>
        <w:spacing w:after="0" w:line="360" w:lineRule="auto"/>
        <w:jc w:val="both"/>
        <w:rPr>
          <w:rFonts w:ascii="Times New Roman" w:hAnsi="Times New Roman" w:cs="Times New Roman"/>
          <w:sz w:val="24"/>
          <w:szCs w:val="24"/>
        </w:rPr>
      </w:pPr>
    </w:p>
    <w:p w:rsidR="003A6456" w:rsidRDefault="003A6456" w:rsidP="00812F0F">
      <w:pPr>
        <w:pStyle w:val="ListParagraph"/>
        <w:spacing w:after="0" w:line="240" w:lineRule="auto"/>
        <w:ind w:left="0"/>
        <w:jc w:val="both"/>
        <w:rPr>
          <w:rFonts w:ascii="Times New Roman" w:hAnsi="Times New Roman" w:cs="Times New Roman"/>
          <w:i/>
        </w:rPr>
      </w:pPr>
    </w:p>
    <w:p w:rsidR="0028657F" w:rsidRPr="0028657F" w:rsidRDefault="001C28FC" w:rsidP="00812F0F">
      <w:pPr>
        <w:pStyle w:val="ListParagraph"/>
        <w:spacing w:after="0" w:line="240" w:lineRule="auto"/>
        <w:ind w:left="0"/>
        <w:jc w:val="both"/>
        <w:rPr>
          <w:rFonts w:ascii="Times New Roman" w:hAnsi="Times New Roman" w:cs="Times New Roman"/>
          <w:smallCaps/>
        </w:rPr>
      </w:pPr>
      <w:r>
        <w:rPr>
          <w:rFonts w:ascii="Times New Roman" w:hAnsi="Times New Roman" w:cs="Times New Roman"/>
          <w:i/>
        </w:rPr>
        <w:t>Moyo Chikono and Gumiro</w:t>
      </w:r>
      <w:r w:rsidR="0028657F" w:rsidRPr="0028657F">
        <w:rPr>
          <w:rFonts w:ascii="Times New Roman" w:hAnsi="Times New Roman" w:cs="Times New Roman"/>
        </w:rPr>
        <w:t xml:space="preserve">, </w:t>
      </w:r>
      <w:r w:rsidR="0058071B">
        <w:rPr>
          <w:rFonts w:ascii="Times New Roman" w:hAnsi="Times New Roman" w:cs="Times New Roman"/>
        </w:rPr>
        <w:t>appellant</w:t>
      </w:r>
      <w:r w:rsidR="0028657F" w:rsidRPr="0028657F">
        <w:rPr>
          <w:rFonts w:ascii="Times New Roman" w:hAnsi="Times New Roman" w:cs="Times New Roman"/>
        </w:rPr>
        <w:t>’s legal practitioners</w:t>
      </w:r>
    </w:p>
    <w:p w:rsidR="001C28FC" w:rsidRDefault="001C28FC" w:rsidP="0028657F">
      <w:pPr>
        <w:pStyle w:val="ListParagraph"/>
        <w:spacing w:after="0" w:line="240" w:lineRule="auto"/>
        <w:ind w:left="0"/>
        <w:jc w:val="both"/>
        <w:rPr>
          <w:rFonts w:ascii="Times New Roman" w:hAnsi="Times New Roman" w:cs="Times New Roman"/>
        </w:rPr>
      </w:pPr>
      <w:r>
        <w:rPr>
          <w:rFonts w:ascii="Times New Roman" w:hAnsi="Times New Roman" w:cs="Times New Roman"/>
          <w:i/>
        </w:rPr>
        <w:t>Mu</w:t>
      </w:r>
      <w:r w:rsidR="00DF2B62">
        <w:rPr>
          <w:rFonts w:ascii="Times New Roman" w:hAnsi="Times New Roman" w:cs="Times New Roman"/>
          <w:i/>
        </w:rPr>
        <w:t>fu</w:t>
      </w:r>
      <w:r>
        <w:rPr>
          <w:rFonts w:ascii="Times New Roman" w:hAnsi="Times New Roman" w:cs="Times New Roman"/>
          <w:i/>
        </w:rPr>
        <w:t>nda &amp; Partners</w:t>
      </w:r>
      <w:r w:rsidR="0028657F">
        <w:rPr>
          <w:rFonts w:ascii="Times New Roman" w:hAnsi="Times New Roman" w:cs="Times New Roman"/>
        </w:rPr>
        <w:t xml:space="preserve">, </w:t>
      </w:r>
      <w:r w:rsidR="0058071B">
        <w:rPr>
          <w:rFonts w:ascii="Times New Roman" w:hAnsi="Times New Roman" w:cs="Times New Roman"/>
        </w:rPr>
        <w:t xml:space="preserve">first </w:t>
      </w:r>
      <w:r w:rsidR="0028657F">
        <w:rPr>
          <w:rFonts w:ascii="Times New Roman" w:hAnsi="Times New Roman" w:cs="Times New Roman"/>
        </w:rPr>
        <w:t>respondent’s legal practitioners</w:t>
      </w:r>
    </w:p>
    <w:p w:rsidR="001C28FC" w:rsidRPr="00DA2C5D" w:rsidRDefault="001C28FC" w:rsidP="001C28FC">
      <w:pPr>
        <w:pStyle w:val="ListParagraph"/>
        <w:spacing w:after="0" w:line="240" w:lineRule="auto"/>
        <w:ind w:left="0"/>
        <w:jc w:val="both"/>
        <w:rPr>
          <w:rFonts w:ascii="Times New Roman" w:hAnsi="Times New Roman" w:cs="Times New Roman"/>
        </w:rPr>
      </w:pPr>
      <w:r>
        <w:rPr>
          <w:rFonts w:ascii="Times New Roman" w:hAnsi="Times New Roman" w:cs="Times New Roman"/>
          <w:i/>
        </w:rPr>
        <w:t>Gambe Law Group</w:t>
      </w:r>
      <w:r>
        <w:rPr>
          <w:rFonts w:ascii="Times New Roman" w:hAnsi="Times New Roman" w:cs="Times New Roman"/>
        </w:rPr>
        <w:t>, second respondent’s legal practitioners</w:t>
      </w:r>
      <w:r>
        <w:rPr>
          <w:rFonts w:ascii="Times New Roman" w:hAnsi="Times New Roman" w:cs="Times New Roman"/>
        </w:rPr>
        <w:tab/>
      </w:r>
    </w:p>
    <w:p w:rsidR="006854D9" w:rsidRPr="00DA2C5D" w:rsidRDefault="00812F0F" w:rsidP="0028657F">
      <w:pPr>
        <w:pStyle w:val="ListParagraph"/>
        <w:spacing w:after="0" w:line="240" w:lineRule="auto"/>
        <w:ind w:left="0"/>
        <w:jc w:val="both"/>
        <w:rPr>
          <w:rFonts w:ascii="Times New Roman" w:hAnsi="Times New Roman" w:cs="Times New Roman"/>
        </w:rPr>
      </w:pPr>
      <w:r>
        <w:rPr>
          <w:rFonts w:ascii="Times New Roman" w:hAnsi="Times New Roman" w:cs="Times New Roman"/>
        </w:rPr>
        <w:tab/>
      </w:r>
    </w:p>
    <w:sectPr w:rsidR="006854D9" w:rsidRPr="00DA2C5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A52" w:rsidRDefault="005C0A52" w:rsidP="00F739CD">
      <w:pPr>
        <w:spacing w:after="0" w:line="240" w:lineRule="auto"/>
      </w:pPr>
      <w:r>
        <w:separator/>
      </w:r>
    </w:p>
  </w:endnote>
  <w:endnote w:type="continuationSeparator" w:id="0">
    <w:p w:rsidR="005C0A52" w:rsidRDefault="005C0A52" w:rsidP="00F7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A52" w:rsidRDefault="005C0A52" w:rsidP="00F739CD">
      <w:pPr>
        <w:spacing w:after="0" w:line="240" w:lineRule="auto"/>
      </w:pPr>
      <w:r>
        <w:separator/>
      </w:r>
    </w:p>
  </w:footnote>
  <w:footnote w:type="continuationSeparator" w:id="0">
    <w:p w:rsidR="005C0A52" w:rsidRDefault="005C0A52" w:rsidP="00F73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35170"/>
      <w:docPartObj>
        <w:docPartGallery w:val="Page Numbers (Top of Page)"/>
        <w:docPartUnique/>
      </w:docPartObj>
    </w:sdtPr>
    <w:sdtEndPr>
      <w:rPr>
        <w:noProof/>
      </w:rPr>
    </w:sdtEndPr>
    <w:sdtContent>
      <w:p w:rsidR="00171552" w:rsidRDefault="00171552">
        <w:pPr>
          <w:pStyle w:val="Header"/>
          <w:jc w:val="right"/>
          <w:rPr>
            <w:noProof/>
          </w:rPr>
        </w:pPr>
        <w:r>
          <w:fldChar w:fldCharType="begin"/>
        </w:r>
        <w:r>
          <w:instrText xml:space="preserve"> PAGE   \* MERGEFORMAT </w:instrText>
        </w:r>
        <w:r>
          <w:fldChar w:fldCharType="separate"/>
        </w:r>
        <w:r w:rsidR="009E081F">
          <w:rPr>
            <w:noProof/>
          </w:rPr>
          <w:t>1</w:t>
        </w:r>
        <w:r>
          <w:rPr>
            <w:noProof/>
          </w:rPr>
          <w:fldChar w:fldCharType="end"/>
        </w:r>
      </w:p>
      <w:p w:rsidR="00501CC4" w:rsidRDefault="00501CC4">
        <w:pPr>
          <w:pStyle w:val="Header"/>
          <w:jc w:val="right"/>
          <w:rPr>
            <w:noProof/>
          </w:rPr>
        </w:pPr>
        <w:r>
          <w:rPr>
            <w:noProof/>
          </w:rPr>
          <w:t>HH</w:t>
        </w:r>
        <w:r w:rsidR="00EE2124">
          <w:rPr>
            <w:noProof/>
          </w:rPr>
          <w:t xml:space="preserve"> </w:t>
        </w:r>
        <w:r w:rsidR="00906A10">
          <w:rPr>
            <w:noProof/>
          </w:rPr>
          <w:t>511/23</w:t>
        </w:r>
        <w:r w:rsidR="00EE2124">
          <w:rPr>
            <w:noProof/>
          </w:rPr>
          <w:t xml:space="preserve"> </w:t>
        </w:r>
      </w:p>
      <w:p w:rsidR="00501CC4" w:rsidRDefault="001C4FD6">
        <w:pPr>
          <w:pStyle w:val="Header"/>
          <w:jc w:val="right"/>
          <w:rPr>
            <w:noProof/>
          </w:rPr>
        </w:pPr>
        <w:r>
          <w:rPr>
            <w:noProof/>
          </w:rPr>
          <w:t>CIV ‘A’ 403/22</w:t>
        </w:r>
      </w:p>
      <w:p w:rsidR="001C4FD6" w:rsidRDefault="001C4FD6">
        <w:pPr>
          <w:pStyle w:val="Header"/>
          <w:jc w:val="right"/>
          <w:rPr>
            <w:noProof/>
          </w:rPr>
        </w:pPr>
        <w:r>
          <w:rPr>
            <w:noProof/>
          </w:rPr>
          <w:t>REF CASE 10690/19</w:t>
        </w:r>
      </w:p>
      <w:p w:rsidR="001C4FD6" w:rsidRDefault="001C4FD6">
        <w:pPr>
          <w:pStyle w:val="Header"/>
          <w:jc w:val="right"/>
          <w:rPr>
            <w:noProof/>
          </w:rPr>
        </w:pPr>
        <w:r>
          <w:rPr>
            <w:noProof/>
          </w:rPr>
          <w:t>APPLIC 261/22</w:t>
        </w:r>
      </w:p>
      <w:p w:rsidR="00171552" w:rsidRDefault="005C0A52">
        <w:pPr>
          <w:pStyle w:val="Header"/>
          <w:jc w:val="right"/>
        </w:pPr>
      </w:p>
    </w:sdtContent>
  </w:sdt>
  <w:p w:rsidR="00171552" w:rsidRDefault="001715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77E"/>
    <w:multiLevelType w:val="hybridMultilevel"/>
    <w:tmpl w:val="5BE82E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3B0024"/>
    <w:multiLevelType w:val="hybridMultilevel"/>
    <w:tmpl w:val="4B6CFA42"/>
    <w:lvl w:ilvl="0" w:tplc="DDDCBFAA">
      <w:start w:val="1"/>
      <w:numFmt w:val="lowerRoman"/>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 w15:restartNumberingAfterBreak="0">
    <w:nsid w:val="09924F5C"/>
    <w:multiLevelType w:val="hybridMultilevel"/>
    <w:tmpl w:val="3C70E2BC"/>
    <w:lvl w:ilvl="0" w:tplc="FB8EFF48">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A324022"/>
    <w:multiLevelType w:val="hybridMultilevel"/>
    <w:tmpl w:val="CB8A1AFA"/>
    <w:lvl w:ilvl="0" w:tplc="93FE118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A906D0"/>
    <w:multiLevelType w:val="hybridMultilevel"/>
    <w:tmpl w:val="2BDCE356"/>
    <w:lvl w:ilvl="0" w:tplc="9774B8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CE3420"/>
    <w:multiLevelType w:val="hybridMultilevel"/>
    <w:tmpl w:val="E4AE6DAC"/>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8B62884"/>
    <w:multiLevelType w:val="hybridMultilevel"/>
    <w:tmpl w:val="FD22CAE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6485EC4"/>
    <w:multiLevelType w:val="hybridMultilevel"/>
    <w:tmpl w:val="A00A06D6"/>
    <w:lvl w:ilvl="0" w:tplc="DDDCBFAA">
      <w:start w:val="1"/>
      <w:numFmt w:val="lowerRoman"/>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8" w15:restartNumberingAfterBreak="0">
    <w:nsid w:val="26FD7961"/>
    <w:multiLevelType w:val="hybridMultilevel"/>
    <w:tmpl w:val="897CD0DE"/>
    <w:lvl w:ilvl="0" w:tplc="01CA07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7F6470F"/>
    <w:multiLevelType w:val="hybridMultilevel"/>
    <w:tmpl w:val="75AEF73C"/>
    <w:lvl w:ilvl="0" w:tplc="DDDCBF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34286B"/>
    <w:multiLevelType w:val="hybridMultilevel"/>
    <w:tmpl w:val="1E2C097A"/>
    <w:lvl w:ilvl="0" w:tplc="EE30524C">
      <w:start w:val="1"/>
      <w:numFmt w:val="decimal"/>
      <w:lvlText w:val="%1)"/>
      <w:lvlJc w:val="left"/>
      <w:pPr>
        <w:ind w:left="2880" w:hanging="360"/>
      </w:pPr>
      <w:rPr>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06017AE"/>
    <w:multiLevelType w:val="hybridMultilevel"/>
    <w:tmpl w:val="52482B4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07E2E5A"/>
    <w:multiLevelType w:val="hybridMultilevel"/>
    <w:tmpl w:val="06E85E98"/>
    <w:lvl w:ilvl="0" w:tplc="73889BAE">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611BEF"/>
    <w:multiLevelType w:val="hybridMultilevel"/>
    <w:tmpl w:val="3F9C971E"/>
    <w:lvl w:ilvl="0" w:tplc="D27689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966CE3"/>
    <w:multiLevelType w:val="hybridMultilevel"/>
    <w:tmpl w:val="2FA8CAFE"/>
    <w:lvl w:ilvl="0" w:tplc="04090011">
      <w:start w:val="1"/>
      <w:numFmt w:val="decimal"/>
      <w:lvlText w:val="%1)"/>
      <w:lvlJc w:val="left"/>
      <w:pPr>
        <w:ind w:left="2820" w:hanging="360"/>
      </w:p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15" w15:restartNumberingAfterBreak="0">
    <w:nsid w:val="7168600A"/>
    <w:multiLevelType w:val="hybridMultilevel"/>
    <w:tmpl w:val="6A0846E4"/>
    <w:lvl w:ilvl="0" w:tplc="DDDCBFA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DA44FD0"/>
    <w:multiLevelType w:val="hybridMultilevel"/>
    <w:tmpl w:val="6A3E24C6"/>
    <w:lvl w:ilvl="0" w:tplc="DDDCBFA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E0C6075"/>
    <w:multiLevelType w:val="hybridMultilevel"/>
    <w:tmpl w:val="0C58CEC8"/>
    <w:lvl w:ilvl="0" w:tplc="0FACA2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8"/>
  </w:num>
  <w:num w:numId="3">
    <w:abstractNumId w:val="15"/>
  </w:num>
  <w:num w:numId="4">
    <w:abstractNumId w:val="16"/>
  </w:num>
  <w:num w:numId="5">
    <w:abstractNumId w:val="0"/>
  </w:num>
  <w:num w:numId="6">
    <w:abstractNumId w:val="6"/>
  </w:num>
  <w:num w:numId="7">
    <w:abstractNumId w:val="14"/>
  </w:num>
  <w:num w:numId="8">
    <w:abstractNumId w:val="10"/>
  </w:num>
  <w:num w:numId="9">
    <w:abstractNumId w:val="2"/>
  </w:num>
  <w:num w:numId="10">
    <w:abstractNumId w:val="7"/>
  </w:num>
  <w:num w:numId="11">
    <w:abstractNumId w:val="1"/>
  </w:num>
  <w:num w:numId="12">
    <w:abstractNumId w:val="5"/>
  </w:num>
  <w:num w:numId="13">
    <w:abstractNumId w:val="11"/>
  </w:num>
  <w:num w:numId="14">
    <w:abstractNumId w:val="3"/>
  </w:num>
  <w:num w:numId="15">
    <w:abstractNumId w:val="13"/>
  </w:num>
  <w:num w:numId="16">
    <w:abstractNumId w:val="17"/>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D5"/>
    <w:rsid w:val="00000920"/>
    <w:rsid w:val="000027B0"/>
    <w:rsid w:val="00007A26"/>
    <w:rsid w:val="000116E4"/>
    <w:rsid w:val="00011F1F"/>
    <w:rsid w:val="00012E4F"/>
    <w:rsid w:val="00014262"/>
    <w:rsid w:val="0002062E"/>
    <w:rsid w:val="00024476"/>
    <w:rsid w:val="000320F5"/>
    <w:rsid w:val="00033D9C"/>
    <w:rsid w:val="00037177"/>
    <w:rsid w:val="00044DEA"/>
    <w:rsid w:val="00046F4B"/>
    <w:rsid w:val="00052B9E"/>
    <w:rsid w:val="000608FE"/>
    <w:rsid w:val="00067311"/>
    <w:rsid w:val="000710E7"/>
    <w:rsid w:val="000738F9"/>
    <w:rsid w:val="00081D2A"/>
    <w:rsid w:val="00090C66"/>
    <w:rsid w:val="000A0549"/>
    <w:rsid w:val="000A098E"/>
    <w:rsid w:val="000A4E30"/>
    <w:rsid w:val="000A57FE"/>
    <w:rsid w:val="000B31AD"/>
    <w:rsid w:val="000B4B72"/>
    <w:rsid w:val="000B5B07"/>
    <w:rsid w:val="000C20B1"/>
    <w:rsid w:val="000C3C49"/>
    <w:rsid w:val="000C40B6"/>
    <w:rsid w:val="000C70B1"/>
    <w:rsid w:val="000D06AA"/>
    <w:rsid w:val="000D162F"/>
    <w:rsid w:val="000D239D"/>
    <w:rsid w:val="000D2EC5"/>
    <w:rsid w:val="000D59B7"/>
    <w:rsid w:val="000D604B"/>
    <w:rsid w:val="000E028F"/>
    <w:rsid w:val="000E7618"/>
    <w:rsid w:val="000F567A"/>
    <w:rsid w:val="000F59C6"/>
    <w:rsid w:val="000F5A8A"/>
    <w:rsid w:val="000F69AD"/>
    <w:rsid w:val="00100FF6"/>
    <w:rsid w:val="0010211C"/>
    <w:rsid w:val="00104E6C"/>
    <w:rsid w:val="00106109"/>
    <w:rsid w:val="001068CB"/>
    <w:rsid w:val="00111A27"/>
    <w:rsid w:val="00112E9F"/>
    <w:rsid w:val="00113449"/>
    <w:rsid w:val="00125560"/>
    <w:rsid w:val="0013696D"/>
    <w:rsid w:val="00136F9B"/>
    <w:rsid w:val="001448CE"/>
    <w:rsid w:val="00147D74"/>
    <w:rsid w:val="001508E8"/>
    <w:rsid w:val="001533AE"/>
    <w:rsid w:val="001541B0"/>
    <w:rsid w:val="001558CA"/>
    <w:rsid w:val="00155E63"/>
    <w:rsid w:val="00157DDD"/>
    <w:rsid w:val="00167755"/>
    <w:rsid w:val="001705EE"/>
    <w:rsid w:val="00170D7B"/>
    <w:rsid w:val="00171552"/>
    <w:rsid w:val="00175494"/>
    <w:rsid w:val="0018085A"/>
    <w:rsid w:val="001823F0"/>
    <w:rsid w:val="001920AE"/>
    <w:rsid w:val="001950AF"/>
    <w:rsid w:val="0019644B"/>
    <w:rsid w:val="0019711F"/>
    <w:rsid w:val="001A0E24"/>
    <w:rsid w:val="001A1E15"/>
    <w:rsid w:val="001B0785"/>
    <w:rsid w:val="001B1FEA"/>
    <w:rsid w:val="001B4840"/>
    <w:rsid w:val="001B4C69"/>
    <w:rsid w:val="001B5702"/>
    <w:rsid w:val="001B68E2"/>
    <w:rsid w:val="001B6D4C"/>
    <w:rsid w:val="001C0FBA"/>
    <w:rsid w:val="001C28FC"/>
    <w:rsid w:val="001C34FF"/>
    <w:rsid w:val="001C4C9A"/>
    <w:rsid w:val="001C4FD6"/>
    <w:rsid w:val="001D09DE"/>
    <w:rsid w:val="001D183F"/>
    <w:rsid w:val="001D6F7E"/>
    <w:rsid w:val="001D7264"/>
    <w:rsid w:val="001E097E"/>
    <w:rsid w:val="001E15EC"/>
    <w:rsid w:val="001F5C32"/>
    <w:rsid w:val="002010B3"/>
    <w:rsid w:val="00203488"/>
    <w:rsid w:val="002050ED"/>
    <w:rsid w:val="00205233"/>
    <w:rsid w:val="002062BA"/>
    <w:rsid w:val="0021610F"/>
    <w:rsid w:val="002161FD"/>
    <w:rsid w:val="00225C69"/>
    <w:rsid w:val="0023204F"/>
    <w:rsid w:val="002335B3"/>
    <w:rsid w:val="0023579E"/>
    <w:rsid w:val="00240866"/>
    <w:rsid w:val="00243BF6"/>
    <w:rsid w:val="002503DA"/>
    <w:rsid w:val="002510AB"/>
    <w:rsid w:val="002631BB"/>
    <w:rsid w:val="0026338C"/>
    <w:rsid w:val="00263F08"/>
    <w:rsid w:val="00267C7E"/>
    <w:rsid w:val="00281A36"/>
    <w:rsid w:val="00281E7A"/>
    <w:rsid w:val="00282A3E"/>
    <w:rsid w:val="002844AB"/>
    <w:rsid w:val="0028657F"/>
    <w:rsid w:val="00297629"/>
    <w:rsid w:val="002A0354"/>
    <w:rsid w:val="002A1AFF"/>
    <w:rsid w:val="002A1B94"/>
    <w:rsid w:val="002A2104"/>
    <w:rsid w:val="002A30C6"/>
    <w:rsid w:val="002A3D73"/>
    <w:rsid w:val="002A7AB5"/>
    <w:rsid w:val="002B2260"/>
    <w:rsid w:val="002B3A17"/>
    <w:rsid w:val="002B3CE0"/>
    <w:rsid w:val="002B4C67"/>
    <w:rsid w:val="002C04C8"/>
    <w:rsid w:val="002C2998"/>
    <w:rsid w:val="002D0EFC"/>
    <w:rsid w:val="002D1EB3"/>
    <w:rsid w:val="002D260C"/>
    <w:rsid w:val="002D3C3E"/>
    <w:rsid w:val="002D437C"/>
    <w:rsid w:val="002D6C08"/>
    <w:rsid w:val="002E252E"/>
    <w:rsid w:val="002E46F2"/>
    <w:rsid w:val="002E62AC"/>
    <w:rsid w:val="002F1C8B"/>
    <w:rsid w:val="002F5313"/>
    <w:rsid w:val="002F5DC8"/>
    <w:rsid w:val="0031124E"/>
    <w:rsid w:val="0032027F"/>
    <w:rsid w:val="00324059"/>
    <w:rsid w:val="00326098"/>
    <w:rsid w:val="003266C9"/>
    <w:rsid w:val="00327AFD"/>
    <w:rsid w:val="00341B10"/>
    <w:rsid w:val="00345DB6"/>
    <w:rsid w:val="003473C2"/>
    <w:rsid w:val="00350BC3"/>
    <w:rsid w:val="0035280D"/>
    <w:rsid w:val="003546C5"/>
    <w:rsid w:val="00355A89"/>
    <w:rsid w:val="003573DB"/>
    <w:rsid w:val="0036144C"/>
    <w:rsid w:val="00363A32"/>
    <w:rsid w:val="00364BB7"/>
    <w:rsid w:val="00365B5F"/>
    <w:rsid w:val="00372A14"/>
    <w:rsid w:val="0037353D"/>
    <w:rsid w:val="003759EE"/>
    <w:rsid w:val="00383FD1"/>
    <w:rsid w:val="00384EA6"/>
    <w:rsid w:val="00387764"/>
    <w:rsid w:val="003903E4"/>
    <w:rsid w:val="00393323"/>
    <w:rsid w:val="00394139"/>
    <w:rsid w:val="003A1B87"/>
    <w:rsid w:val="003A24B4"/>
    <w:rsid w:val="003A2A1F"/>
    <w:rsid w:val="003A53CC"/>
    <w:rsid w:val="003A6456"/>
    <w:rsid w:val="003B3170"/>
    <w:rsid w:val="003B53C1"/>
    <w:rsid w:val="003B75E2"/>
    <w:rsid w:val="003C2BE0"/>
    <w:rsid w:val="003C5A2A"/>
    <w:rsid w:val="003C69A8"/>
    <w:rsid w:val="003D35AB"/>
    <w:rsid w:val="003D36EC"/>
    <w:rsid w:val="003D708C"/>
    <w:rsid w:val="003E0799"/>
    <w:rsid w:val="003E5997"/>
    <w:rsid w:val="003F05C8"/>
    <w:rsid w:val="003F5F99"/>
    <w:rsid w:val="00400A6D"/>
    <w:rsid w:val="004013BF"/>
    <w:rsid w:val="004024B2"/>
    <w:rsid w:val="00415F6E"/>
    <w:rsid w:val="0042119A"/>
    <w:rsid w:val="00421A31"/>
    <w:rsid w:val="00425D1E"/>
    <w:rsid w:val="00430E56"/>
    <w:rsid w:val="00435C97"/>
    <w:rsid w:val="00437CA2"/>
    <w:rsid w:val="00440D91"/>
    <w:rsid w:val="0044429B"/>
    <w:rsid w:val="00447EAB"/>
    <w:rsid w:val="00452088"/>
    <w:rsid w:val="00453BD3"/>
    <w:rsid w:val="004616C2"/>
    <w:rsid w:val="0046739B"/>
    <w:rsid w:val="004708C1"/>
    <w:rsid w:val="0047610C"/>
    <w:rsid w:val="004763BD"/>
    <w:rsid w:val="00477286"/>
    <w:rsid w:val="00480551"/>
    <w:rsid w:val="004806FC"/>
    <w:rsid w:val="00483AC8"/>
    <w:rsid w:val="004906D7"/>
    <w:rsid w:val="00490950"/>
    <w:rsid w:val="0049275A"/>
    <w:rsid w:val="004971C7"/>
    <w:rsid w:val="004B04B1"/>
    <w:rsid w:val="004B340F"/>
    <w:rsid w:val="004B38CD"/>
    <w:rsid w:val="004B50AE"/>
    <w:rsid w:val="004B72DD"/>
    <w:rsid w:val="004C2E19"/>
    <w:rsid w:val="004C46B6"/>
    <w:rsid w:val="004D1BE1"/>
    <w:rsid w:val="004E4272"/>
    <w:rsid w:val="004F1983"/>
    <w:rsid w:val="004F225A"/>
    <w:rsid w:val="004F258A"/>
    <w:rsid w:val="004F2D91"/>
    <w:rsid w:val="004F3188"/>
    <w:rsid w:val="004F4B7F"/>
    <w:rsid w:val="00500C9B"/>
    <w:rsid w:val="00500EFB"/>
    <w:rsid w:val="005010FC"/>
    <w:rsid w:val="00501CC4"/>
    <w:rsid w:val="00504DB3"/>
    <w:rsid w:val="00505C1E"/>
    <w:rsid w:val="005073C6"/>
    <w:rsid w:val="00511047"/>
    <w:rsid w:val="00517950"/>
    <w:rsid w:val="00520317"/>
    <w:rsid w:val="0052314B"/>
    <w:rsid w:val="00524CD2"/>
    <w:rsid w:val="00525B39"/>
    <w:rsid w:val="00527493"/>
    <w:rsid w:val="00531B2F"/>
    <w:rsid w:val="00542FB6"/>
    <w:rsid w:val="00551DEF"/>
    <w:rsid w:val="0055478D"/>
    <w:rsid w:val="005554C7"/>
    <w:rsid w:val="00555873"/>
    <w:rsid w:val="005602FF"/>
    <w:rsid w:val="0056169F"/>
    <w:rsid w:val="0056218F"/>
    <w:rsid w:val="0056382B"/>
    <w:rsid w:val="00565768"/>
    <w:rsid w:val="0058071B"/>
    <w:rsid w:val="005835B6"/>
    <w:rsid w:val="0058553E"/>
    <w:rsid w:val="00586281"/>
    <w:rsid w:val="005868C4"/>
    <w:rsid w:val="00587BA7"/>
    <w:rsid w:val="00595E25"/>
    <w:rsid w:val="0059674D"/>
    <w:rsid w:val="00597F16"/>
    <w:rsid w:val="005A22A0"/>
    <w:rsid w:val="005A6A0A"/>
    <w:rsid w:val="005A7178"/>
    <w:rsid w:val="005B06B4"/>
    <w:rsid w:val="005B3A3D"/>
    <w:rsid w:val="005B79F8"/>
    <w:rsid w:val="005C0A52"/>
    <w:rsid w:val="005C4865"/>
    <w:rsid w:val="005D2FFB"/>
    <w:rsid w:val="005D34D6"/>
    <w:rsid w:val="005D470E"/>
    <w:rsid w:val="005E626A"/>
    <w:rsid w:val="005F11D2"/>
    <w:rsid w:val="005F2F5D"/>
    <w:rsid w:val="00602A2B"/>
    <w:rsid w:val="00604CEE"/>
    <w:rsid w:val="00606B0A"/>
    <w:rsid w:val="00607D40"/>
    <w:rsid w:val="00611DF5"/>
    <w:rsid w:val="00616DBB"/>
    <w:rsid w:val="006219D4"/>
    <w:rsid w:val="00622D77"/>
    <w:rsid w:val="006261D9"/>
    <w:rsid w:val="00627C06"/>
    <w:rsid w:val="0063059C"/>
    <w:rsid w:val="00630B5D"/>
    <w:rsid w:val="00631159"/>
    <w:rsid w:val="0063569B"/>
    <w:rsid w:val="00656B4B"/>
    <w:rsid w:val="006656AD"/>
    <w:rsid w:val="0067760C"/>
    <w:rsid w:val="00685189"/>
    <w:rsid w:val="006851E9"/>
    <w:rsid w:val="006854D9"/>
    <w:rsid w:val="0068590E"/>
    <w:rsid w:val="0069261B"/>
    <w:rsid w:val="00696CD1"/>
    <w:rsid w:val="006A061B"/>
    <w:rsid w:val="006A5FBF"/>
    <w:rsid w:val="006B05C9"/>
    <w:rsid w:val="006B4880"/>
    <w:rsid w:val="006C06AA"/>
    <w:rsid w:val="006C31B7"/>
    <w:rsid w:val="006C4FA0"/>
    <w:rsid w:val="006C549A"/>
    <w:rsid w:val="006C6C7E"/>
    <w:rsid w:val="006D0B1F"/>
    <w:rsid w:val="006D20EA"/>
    <w:rsid w:val="006D65D5"/>
    <w:rsid w:val="006D690E"/>
    <w:rsid w:val="006D798B"/>
    <w:rsid w:val="006E6D49"/>
    <w:rsid w:val="006F071B"/>
    <w:rsid w:val="006F4D44"/>
    <w:rsid w:val="006F5AE9"/>
    <w:rsid w:val="006F6D76"/>
    <w:rsid w:val="007010D5"/>
    <w:rsid w:val="007039E7"/>
    <w:rsid w:val="00710E3E"/>
    <w:rsid w:val="00713827"/>
    <w:rsid w:val="00716C1C"/>
    <w:rsid w:val="00717EB7"/>
    <w:rsid w:val="0072455A"/>
    <w:rsid w:val="00747047"/>
    <w:rsid w:val="00750881"/>
    <w:rsid w:val="007524ED"/>
    <w:rsid w:val="007640D5"/>
    <w:rsid w:val="00767661"/>
    <w:rsid w:val="00772D7F"/>
    <w:rsid w:val="00780CD9"/>
    <w:rsid w:val="00781D23"/>
    <w:rsid w:val="00784BC1"/>
    <w:rsid w:val="0078666F"/>
    <w:rsid w:val="00791E99"/>
    <w:rsid w:val="007924BA"/>
    <w:rsid w:val="007957E7"/>
    <w:rsid w:val="007A0F87"/>
    <w:rsid w:val="007A2450"/>
    <w:rsid w:val="007A5290"/>
    <w:rsid w:val="007A67A9"/>
    <w:rsid w:val="007B33CF"/>
    <w:rsid w:val="007B3BDB"/>
    <w:rsid w:val="007B6EFB"/>
    <w:rsid w:val="007B75F9"/>
    <w:rsid w:val="007C02D6"/>
    <w:rsid w:val="007C4230"/>
    <w:rsid w:val="007C5ABD"/>
    <w:rsid w:val="007D199C"/>
    <w:rsid w:val="007D35FD"/>
    <w:rsid w:val="007D5119"/>
    <w:rsid w:val="007D7833"/>
    <w:rsid w:val="007E0F7F"/>
    <w:rsid w:val="007E2DDC"/>
    <w:rsid w:val="007E5A9B"/>
    <w:rsid w:val="007E6E5B"/>
    <w:rsid w:val="007E74EC"/>
    <w:rsid w:val="007F2DC2"/>
    <w:rsid w:val="007F34F6"/>
    <w:rsid w:val="007F462D"/>
    <w:rsid w:val="007F58FE"/>
    <w:rsid w:val="007F650B"/>
    <w:rsid w:val="008035AF"/>
    <w:rsid w:val="008040D6"/>
    <w:rsid w:val="00805035"/>
    <w:rsid w:val="00812F0F"/>
    <w:rsid w:val="00813F1F"/>
    <w:rsid w:val="00815BA9"/>
    <w:rsid w:val="0082133A"/>
    <w:rsid w:val="00824CF7"/>
    <w:rsid w:val="00825969"/>
    <w:rsid w:val="00825C6D"/>
    <w:rsid w:val="00826CED"/>
    <w:rsid w:val="00827852"/>
    <w:rsid w:val="008312A6"/>
    <w:rsid w:val="00831FB3"/>
    <w:rsid w:val="00832418"/>
    <w:rsid w:val="00833BAA"/>
    <w:rsid w:val="00836DFD"/>
    <w:rsid w:val="00841436"/>
    <w:rsid w:val="0084189B"/>
    <w:rsid w:val="00845A0A"/>
    <w:rsid w:val="00846898"/>
    <w:rsid w:val="00847881"/>
    <w:rsid w:val="00853E31"/>
    <w:rsid w:val="008571B0"/>
    <w:rsid w:val="00857910"/>
    <w:rsid w:val="00860E2D"/>
    <w:rsid w:val="00862468"/>
    <w:rsid w:val="00863878"/>
    <w:rsid w:val="00863FFA"/>
    <w:rsid w:val="0086706C"/>
    <w:rsid w:val="008735C9"/>
    <w:rsid w:val="008738E9"/>
    <w:rsid w:val="008745A8"/>
    <w:rsid w:val="0087599E"/>
    <w:rsid w:val="00876801"/>
    <w:rsid w:val="0087709E"/>
    <w:rsid w:val="00882B57"/>
    <w:rsid w:val="00882EBF"/>
    <w:rsid w:val="0088475B"/>
    <w:rsid w:val="0088501F"/>
    <w:rsid w:val="00890A7D"/>
    <w:rsid w:val="00893A26"/>
    <w:rsid w:val="008A2B81"/>
    <w:rsid w:val="008A3047"/>
    <w:rsid w:val="008A4964"/>
    <w:rsid w:val="008A4BCD"/>
    <w:rsid w:val="008A5F72"/>
    <w:rsid w:val="008A6411"/>
    <w:rsid w:val="008A6A46"/>
    <w:rsid w:val="008A6BF9"/>
    <w:rsid w:val="008B2F92"/>
    <w:rsid w:val="008B51A4"/>
    <w:rsid w:val="008C06A6"/>
    <w:rsid w:val="008C747E"/>
    <w:rsid w:val="008D075C"/>
    <w:rsid w:val="008D6520"/>
    <w:rsid w:val="008E3E2E"/>
    <w:rsid w:val="008F0C17"/>
    <w:rsid w:val="008F300B"/>
    <w:rsid w:val="0090087F"/>
    <w:rsid w:val="00903D64"/>
    <w:rsid w:val="00906A10"/>
    <w:rsid w:val="00907542"/>
    <w:rsid w:val="0091246F"/>
    <w:rsid w:val="00912559"/>
    <w:rsid w:val="0091285B"/>
    <w:rsid w:val="00914002"/>
    <w:rsid w:val="00915C62"/>
    <w:rsid w:val="009161AB"/>
    <w:rsid w:val="00916F9E"/>
    <w:rsid w:val="00917D39"/>
    <w:rsid w:val="00920EE9"/>
    <w:rsid w:val="0092113D"/>
    <w:rsid w:val="009234E5"/>
    <w:rsid w:val="00924BF0"/>
    <w:rsid w:val="00925F59"/>
    <w:rsid w:val="0092639D"/>
    <w:rsid w:val="009302DE"/>
    <w:rsid w:val="0093612D"/>
    <w:rsid w:val="009401C1"/>
    <w:rsid w:val="00943481"/>
    <w:rsid w:val="00943684"/>
    <w:rsid w:val="00951071"/>
    <w:rsid w:val="009544A6"/>
    <w:rsid w:val="00955543"/>
    <w:rsid w:val="009624C0"/>
    <w:rsid w:val="00964E24"/>
    <w:rsid w:val="00966FF7"/>
    <w:rsid w:val="00967756"/>
    <w:rsid w:val="00967B1B"/>
    <w:rsid w:val="0097063A"/>
    <w:rsid w:val="00971248"/>
    <w:rsid w:val="009723B7"/>
    <w:rsid w:val="00973925"/>
    <w:rsid w:val="0097409D"/>
    <w:rsid w:val="00982560"/>
    <w:rsid w:val="00982F35"/>
    <w:rsid w:val="0098356E"/>
    <w:rsid w:val="0099123C"/>
    <w:rsid w:val="00993FD1"/>
    <w:rsid w:val="009976D9"/>
    <w:rsid w:val="009A3650"/>
    <w:rsid w:val="009A7649"/>
    <w:rsid w:val="009B05BB"/>
    <w:rsid w:val="009C16A9"/>
    <w:rsid w:val="009C1D9A"/>
    <w:rsid w:val="009C3580"/>
    <w:rsid w:val="009C3D3C"/>
    <w:rsid w:val="009C4EB9"/>
    <w:rsid w:val="009D1BBD"/>
    <w:rsid w:val="009D5AE0"/>
    <w:rsid w:val="009D67E8"/>
    <w:rsid w:val="009D7D6A"/>
    <w:rsid w:val="009E081F"/>
    <w:rsid w:val="009E23B4"/>
    <w:rsid w:val="009E4225"/>
    <w:rsid w:val="009E52F9"/>
    <w:rsid w:val="009F2054"/>
    <w:rsid w:val="009F4272"/>
    <w:rsid w:val="009F5CFA"/>
    <w:rsid w:val="009F758F"/>
    <w:rsid w:val="009F7C2F"/>
    <w:rsid w:val="00A04C48"/>
    <w:rsid w:val="00A05BDF"/>
    <w:rsid w:val="00A05ED2"/>
    <w:rsid w:val="00A067E3"/>
    <w:rsid w:val="00A06944"/>
    <w:rsid w:val="00A07C5C"/>
    <w:rsid w:val="00A11A3B"/>
    <w:rsid w:val="00A131A3"/>
    <w:rsid w:val="00A138B6"/>
    <w:rsid w:val="00A16546"/>
    <w:rsid w:val="00A21901"/>
    <w:rsid w:val="00A24994"/>
    <w:rsid w:val="00A27221"/>
    <w:rsid w:val="00A30018"/>
    <w:rsid w:val="00A32F1C"/>
    <w:rsid w:val="00A3351F"/>
    <w:rsid w:val="00A33B21"/>
    <w:rsid w:val="00A34219"/>
    <w:rsid w:val="00A35252"/>
    <w:rsid w:val="00A353E0"/>
    <w:rsid w:val="00A370E6"/>
    <w:rsid w:val="00A37493"/>
    <w:rsid w:val="00A470CA"/>
    <w:rsid w:val="00A510E1"/>
    <w:rsid w:val="00A520E8"/>
    <w:rsid w:val="00A54A8C"/>
    <w:rsid w:val="00A6038E"/>
    <w:rsid w:val="00A63A02"/>
    <w:rsid w:val="00A65E48"/>
    <w:rsid w:val="00A66F11"/>
    <w:rsid w:val="00A70183"/>
    <w:rsid w:val="00A712E4"/>
    <w:rsid w:val="00A73400"/>
    <w:rsid w:val="00A835CB"/>
    <w:rsid w:val="00A85146"/>
    <w:rsid w:val="00A8518E"/>
    <w:rsid w:val="00A86AAD"/>
    <w:rsid w:val="00A93BAF"/>
    <w:rsid w:val="00A96988"/>
    <w:rsid w:val="00AA0DEA"/>
    <w:rsid w:val="00AA5B60"/>
    <w:rsid w:val="00AB45ED"/>
    <w:rsid w:val="00AB793E"/>
    <w:rsid w:val="00AC3419"/>
    <w:rsid w:val="00AC4E69"/>
    <w:rsid w:val="00AC601F"/>
    <w:rsid w:val="00AD0EBD"/>
    <w:rsid w:val="00AD0F97"/>
    <w:rsid w:val="00AD2986"/>
    <w:rsid w:val="00AD37F1"/>
    <w:rsid w:val="00AD6E32"/>
    <w:rsid w:val="00AE0BD9"/>
    <w:rsid w:val="00AE3028"/>
    <w:rsid w:val="00AF27D8"/>
    <w:rsid w:val="00AF3A3B"/>
    <w:rsid w:val="00AF7DF4"/>
    <w:rsid w:val="00B01E7D"/>
    <w:rsid w:val="00B05C9B"/>
    <w:rsid w:val="00B16A42"/>
    <w:rsid w:val="00B20312"/>
    <w:rsid w:val="00B249B0"/>
    <w:rsid w:val="00B2661E"/>
    <w:rsid w:val="00B33FAF"/>
    <w:rsid w:val="00B36BA6"/>
    <w:rsid w:val="00B36FAF"/>
    <w:rsid w:val="00B37BD8"/>
    <w:rsid w:val="00B40F2C"/>
    <w:rsid w:val="00B4101D"/>
    <w:rsid w:val="00B415B2"/>
    <w:rsid w:val="00B437D5"/>
    <w:rsid w:val="00B5005E"/>
    <w:rsid w:val="00B5234C"/>
    <w:rsid w:val="00B56D5E"/>
    <w:rsid w:val="00B56F81"/>
    <w:rsid w:val="00B57515"/>
    <w:rsid w:val="00B61549"/>
    <w:rsid w:val="00B61698"/>
    <w:rsid w:val="00B61713"/>
    <w:rsid w:val="00B63CEF"/>
    <w:rsid w:val="00B65155"/>
    <w:rsid w:val="00B7133F"/>
    <w:rsid w:val="00B725C8"/>
    <w:rsid w:val="00B72687"/>
    <w:rsid w:val="00B73BC4"/>
    <w:rsid w:val="00B82DA1"/>
    <w:rsid w:val="00B8371E"/>
    <w:rsid w:val="00B837ED"/>
    <w:rsid w:val="00B8513C"/>
    <w:rsid w:val="00B869F3"/>
    <w:rsid w:val="00B87B77"/>
    <w:rsid w:val="00B87C47"/>
    <w:rsid w:val="00B87F96"/>
    <w:rsid w:val="00B901A8"/>
    <w:rsid w:val="00B93F36"/>
    <w:rsid w:val="00B94132"/>
    <w:rsid w:val="00B949C4"/>
    <w:rsid w:val="00BA4831"/>
    <w:rsid w:val="00BB3568"/>
    <w:rsid w:val="00BB4243"/>
    <w:rsid w:val="00BC0456"/>
    <w:rsid w:val="00BC40B4"/>
    <w:rsid w:val="00BD06E4"/>
    <w:rsid w:val="00BE1BFC"/>
    <w:rsid w:val="00BE44AC"/>
    <w:rsid w:val="00BF0C42"/>
    <w:rsid w:val="00BF19E6"/>
    <w:rsid w:val="00BF2EBB"/>
    <w:rsid w:val="00BF5A2E"/>
    <w:rsid w:val="00BF73BE"/>
    <w:rsid w:val="00BF7F37"/>
    <w:rsid w:val="00C03579"/>
    <w:rsid w:val="00C06EB3"/>
    <w:rsid w:val="00C14C56"/>
    <w:rsid w:val="00C21855"/>
    <w:rsid w:val="00C23365"/>
    <w:rsid w:val="00C23A60"/>
    <w:rsid w:val="00C24E45"/>
    <w:rsid w:val="00C25147"/>
    <w:rsid w:val="00C30ADC"/>
    <w:rsid w:val="00C354E3"/>
    <w:rsid w:val="00C4182B"/>
    <w:rsid w:val="00C436FA"/>
    <w:rsid w:val="00C465AA"/>
    <w:rsid w:val="00C471FE"/>
    <w:rsid w:val="00C53196"/>
    <w:rsid w:val="00C619B3"/>
    <w:rsid w:val="00C6573E"/>
    <w:rsid w:val="00C65A39"/>
    <w:rsid w:val="00C72D2F"/>
    <w:rsid w:val="00C82C35"/>
    <w:rsid w:val="00C923B5"/>
    <w:rsid w:val="00C92E5C"/>
    <w:rsid w:val="00CA2C47"/>
    <w:rsid w:val="00CA397B"/>
    <w:rsid w:val="00CA3F7C"/>
    <w:rsid w:val="00CA633E"/>
    <w:rsid w:val="00CA789F"/>
    <w:rsid w:val="00CB3501"/>
    <w:rsid w:val="00CB77B2"/>
    <w:rsid w:val="00CC099B"/>
    <w:rsid w:val="00CC0AF8"/>
    <w:rsid w:val="00CC0F5C"/>
    <w:rsid w:val="00CD02A5"/>
    <w:rsid w:val="00CD597A"/>
    <w:rsid w:val="00CE0A83"/>
    <w:rsid w:val="00CE0CE1"/>
    <w:rsid w:val="00CE192C"/>
    <w:rsid w:val="00CE192E"/>
    <w:rsid w:val="00CF50EC"/>
    <w:rsid w:val="00CF5D52"/>
    <w:rsid w:val="00D0437F"/>
    <w:rsid w:val="00D1069A"/>
    <w:rsid w:val="00D1102D"/>
    <w:rsid w:val="00D11663"/>
    <w:rsid w:val="00D15F43"/>
    <w:rsid w:val="00D16B67"/>
    <w:rsid w:val="00D17425"/>
    <w:rsid w:val="00D22B03"/>
    <w:rsid w:val="00D22EC2"/>
    <w:rsid w:val="00D25855"/>
    <w:rsid w:val="00D33480"/>
    <w:rsid w:val="00D40CEA"/>
    <w:rsid w:val="00D451F9"/>
    <w:rsid w:val="00D4523B"/>
    <w:rsid w:val="00D4666D"/>
    <w:rsid w:val="00D512AC"/>
    <w:rsid w:val="00D5451E"/>
    <w:rsid w:val="00D54DE1"/>
    <w:rsid w:val="00D65B9E"/>
    <w:rsid w:val="00D67F60"/>
    <w:rsid w:val="00D70F60"/>
    <w:rsid w:val="00D710E6"/>
    <w:rsid w:val="00D736BF"/>
    <w:rsid w:val="00D85218"/>
    <w:rsid w:val="00D85735"/>
    <w:rsid w:val="00D925BF"/>
    <w:rsid w:val="00D95C39"/>
    <w:rsid w:val="00DA2C5D"/>
    <w:rsid w:val="00DA360E"/>
    <w:rsid w:val="00DA3F5E"/>
    <w:rsid w:val="00DA4104"/>
    <w:rsid w:val="00DA64E3"/>
    <w:rsid w:val="00DB003D"/>
    <w:rsid w:val="00DB2A08"/>
    <w:rsid w:val="00DB78AA"/>
    <w:rsid w:val="00DC2704"/>
    <w:rsid w:val="00DC3376"/>
    <w:rsid w:val="00DC3A4F"/>
    <w:rsid w:val="00DC3DBC"/>
    <w:rsid w:val="00DC6ACF"/>
    <w:rsid w:val="00DD26D4"/>
    <w:rsid w:val="00DE47B5"/>
    <w:rsid w:val="00DF2B62"/>
    <w:rsid w:val="00DF2D75"/>
    <w:rsid w:val="00DF7D7A"/>
    <w:rsid w:val="00E0383E"/>
    <w:rsid w:val="00E06587"/>
    <w:rsid w:val="00E115E3"/>
    <w:rsid w:val="00E116AC"/>
    <w:rsid w:val="00E11A66"/>
    <w:rsid w:val="00E124AA"/>
    <w:rsid w:val="00E13D16"/>
    <w:rsid w:val="00E1490A"/>
    <w:rsid w:val="00E1516E"/>
    <w:rsid w:val="00E1778A"/>
    <w:rsid w:val="00E17C3D"/>
    <w:rsid w:val="00E2474B"/>
    <w:rsid w:val="00E2572C"/>
    <w:rsid w:val="00E41085"/>
    <w:rsid w:val="00E42BFA"/>
    <w:rsid w:val="00E437F6"/>
    <w:rsid w:val="00E44005"/>
    <w:rsid w:val="00E45418"/>
    <w:rsid w:val="00E52D8D"/>
    <w:rsid w:val="00E5311B"/>
    <w:rsid w:val="00E557A6"/>
    <w:rsid w:val="00E64DDE"/>
    <w:rsid w:val="00E66680"/>
    <w:rsid w:val="00E707CF"/>
    <w:rsid w:val="00E7095A"/>
    <w:rsid w:val="00E775D5"/>
    <w:rsid w:val="00E77EEF"/>
    <w:rsid w:val="00E80B51"/>
    <w:rsid w:val="00E81AFC"/>
    <w:rsid w:val="00E82A2F"/>
    <w:rsid w:val="00E834F0"/>
    <w:rsid w:val="00E84AAA"/>
    <w:rsid w:val="00E90E35"/>
    <w:rsid w:val="00E933A7"/>
    <w:rsid w:val="00E95E21"/>
    <w:rsid w:val="00E977E4"/>
    <w:rsid w:val="00EA33C8"/>
    <w:rsid w:val="00EA46D0"/>
    <w:rsid w:val="00EA7C28"/>
    <w:rsid w:val="00EB230F"/>
    <w:rsid w:val="00EB27B9"/>
    <w:rsid w:val="00EB3001"/>
    <w:rsid w:val="00EB52BA"/>
    <w:rsid w:val="00EC08A8"/>
    <w:rsid w:val="00EC173F"/>
    <w:rsid w:val="00EC6778"/>
    <w:rsid w:val="00ED47D4"/>
    <w:rsid w:val="00ED5C88"/>
    <w:rsid w:val="00ED6C5A"/>
    <w:rsid w:val="00EE2124"/>
    <w:rsid w:val="00EE22BE"/>
    <w:rsid w:val="00EE48B4"/>
    <w:rsid w:val="00EE6A46"/>
    <w:rsid w:val="00EF48AB"/>
    <w:rsid w:val="00EF4F9A"/>
    <w:rsid w:val="00EF6C83"/>
    <w:rsid w:val="00F0030D"/>
    <w:rsid w:val="00F0085D"/>
    <w:rsid w:val="00F00BD0"/>
    <w:rsid w:val="00F02B85"/>
    <w:rsid w:val="00F037A6"/>
    <w:rsid w:val="00F03ADE"/>
    <w:rsid w:val="00F03CEF"/>
    <w:rsid w:val="00F05E36"/>
    <w:rsid w:val="00F06D01"/>
    <w:rsid w:val="00F11D6A"/>
    <w:rsid w:val="00F17AF9"/>
    <w:rsid w:val="00F17AFE"/>
    <w:rsid w:val="00F20C06"/>
    <w:rsid w:val="00F3029F"/>
    <w:rsid w:val="00F31901"/>
    <w:rsid w:val="00F32996"/>
    <w:rsid w:val="00F32EF0"/>
    <w:rsid w:val="00F3316F"/>
    <w:rsid w:val="00F351CE"/>
    <w:rsid w:val="00F3699D"/>
    <w:rsid w:val="00F37F11"/>
    <w:rsid w:val="00F40093"/>
    <w:rsid w:val="00F42963"/>
    <w:rsid w:val="00F45309"/>
    <w:rsid w:val="00F55F7F"/>
    <w:rsid w:val="00F562DF"/>
    <w:rsid w:val="00F63A4F"/>
    <w:rsid w:val="00F65260"/>
    <w:rsid w:val="00F65F1D"/>
    <w:rsid w:val="00F67968"/>
    <w:rsid w:val="00F739CD"/>
    <w:rsid w:val="00F73CD4"/>
    <w:rsid w:val="00F73E57"/>
    <w:rsid w:val="00F75046"/>
    <w:rsid w:val="00F75DB0"/>
    <w:rsid w:val="00F7688A"/>
    <w:rsid w:val="00F80E76"/>
    <w:rsid w:val="00F847BC"/>
    <w:rsid w:val="00F87C17"/>
    <w:rsid w:val="00F927D9"/>
    <w:rsid w:val="00FA018F"/>
    <w:rsid w:val="00FA2C42"/>
    <w:rsid w:val="00FA73E0"/>
    <w:rsid w:val="00FB0778"/>
    <w:rsid w:val="00FB0B37"/>
    <w:rsid w:val="00FB304E"/>
    <w:rsid w:val="00FB5227"/>
    <w:rsid w:val="00FB69F9"/>
    <w:rsid w:val="00FC0107"/>
    <w:rsid w:val="00FC6224"/>
    <w:rsid w:val="00FD1E33"/>
    <w:rsid w:val="00FD49E7"/>
    <w:rsid w:val="00FD573E"/>
    <w:rsid w:val="00FE5F4D"/>
    <w:rsid w:val="00FF1639"/>
    <w:rsid w:val="00FF5164"/>
    <w:rsid w:val="00FF65F8"/>
    <w:rsid w:val="00FF6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3000D-FEEB-4FA9-8896-D6BB69F4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7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0CA"/>
    <w:pPr>
      <w:spacing w:after="160" w:line="259" w:lineRule="auto"/>
      <w:ind w:left="720"/>
      <w:contextualSpacing/>
    </w:pPr>
  </w:style>
  <w:style w:type="paragraph" w:styleId="Header">
    <w:name w:val="header"/>
    <w:basedOn w:val="Normal"/>
    <w:link w:val="HeaderChar"/>
    <w:uiPriority w:val="99"/>
    <w:unhideWhenUsed/>
    <w:rsid w:val="00F73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9CD"/>
  </w:style>
  <w:style w:type="paragraph" w:styleId="Footer">
    <w:name w:val="footer"/>
    <w:basedOn w:val="Normal"/>
    <w:link w:val="FooterChar"/>
    <w:uiPriority w:val="99"/>
    <w:unhideWhenUsed/>
    <w:rsid w:val="00F73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9F0DE-94C0-45AA-999C-5FF33750C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2012</Words>
  <Characters>11472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2023-06-08T08:50:00Z</cp:lastPrinted>
  <dcterms:created xsi:type="dcterms:W3CDTF">2023-09-08T09:09:00Z</dcterms:created>
  <dcterms:modified xsi:type="dcterms:W3CDTF">2023-09-08T09:09:00Z</dcterms:modified>
</cp:coreProperties>
</file>