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DC82" w14:textId="2AA69D6B" w:rsidR="00CC2868" w:rsidRDefault="00CC2868" w:rsidP="00CC2868">
      <w:pPr>
        <w:pStyle w:val="NoSpacing"/>
        <w:jc w:val="both"/>
        <w:rPr>
          <w:b/>
          <w:szCs w:val="24"/>
        </w:rPr>
      </w:pPr>
      <w:r>
        <w:rPr>
          <w:b/>
          <w:szCs w:val="24"/>
        </w:rPr>
        <w:t xml:space="preserve">WISDOM CHITURA </w:t>
      </w:r>
    </w:p>
    <w:p w14:paraId="5EA4C588" w14:textId="77777777" w:rsidR="00CC2868" w:rsidRDefault="00CC2868" w:rsidP="00CC2868">
      <w:pPr>
        <w:pStyle w:val="NoSpacing"/>
        <w:jc w:val="both"/>
        <w:rPr>
          <w:b/>
          <w:szCs w:val="24"/>
        </w:rPr>
      </w:pPr>
    </w:p>
    <w:p w14:paraId="56134F0A" w14:textId="546FF428" w:rsidR="00CC2868" w:rsidRDefault="00CC2868" w:rsidP="00CC2868">
      <w:pPr>
        <w:pStyle w:val="NoSpacing"/>
        <w:jc w:val="both"/>
        <w:rPr>
          <w:b/>
          <w:szCs w:val="24"/>
        </w:rPr>
      </w:pPr>
      <w:r>
        <w:rPr>
          <w:b/>
          <w:szCs w:val="24"/>
        </w:rPr>
        <w:t xml:space="preserve">And </w:t>
      </w:r>
    </w:p>
    <w:p w14:paraId="4035AA55" w14:textId="77777777" w:rsidR="00CC2868" w:rsidRDefault="00CC2868" w:rsidP="00CC2868">
      <w:pPr>
        <w:pStyle w:val="NoSpacing"/>
        <w:jc w:val="both"/>
        <w:rPr>
          <w:b/>
          <w:szCs w:val="24"/>
        </w:rPr>
      </w:pPr>
    </w:p>
    <w:p w14:paraId="1FC0CC7B" w14:textId="5E81151C" w:rsidR="00CC2868" w:rsidRPr="00D10188" w:rsidRDefault="00CC2868" w:rsidP="00CC2868">
      <w:pPr>
        <w:pStyle w:val="NoSpacing"/>
        <w:jc w:val="both"/>
        <w:rPr>
          <w:b/>
          <w:szCs w:val="24"/>
        </w:rPr>
      </w:pPr>
      <w:r>
        <w:rPr>
          <w:b/>
          <w:szCs w:val="24"/>
        </w:rPr>
        <w:t xml:space="preserve">HELEN MAUREEN MUSHORE </w:t>
      </w:r>
    </w:p>
    <w:p w14:paraId="7A913B4B" w14:textId="77777777" w:rsidR="00CC2868" w:rsidRPr="00D10188" w:rsidRDefault="00CC2868" w:rsidP="00CC2868">
      <w:pPr>
        <w:pStyle w:val="NoSpacing"/>
        <w:jc w:val="both"/>
        <w:rPr>
          <w:b/>
          <w:szCs w:val="24"/>
        </w:rPr>
      </w:pPr>
    </w:p>
    <w:p w14:paraId="309CA4CF" w14:textId="77777777" w:rsidR="00CC2868" w:rsidRPr="00D10188" w:rsidRDefault="00CC2868" w:rsidP="00CC2868">
      <w:pPr>
        <w:pStyle w:val="NoSpacing"/>
        <w:jc w:val="both"/>
        <w:rPr>
          <w:b/>
          <w:szCs w:val="24"/>
        </w:rPr>
      </w:pPr>
      <w:r w:rsidRPr="00D10188">
        <w:rPr>
          <w:b/>
          <w:szCs w:val="24"/>
        </w:rPr>
        <w:t>Versus</w:t>
      </w:r>
    </w:p>
    <w:p w14:paraId="046B56B8" w14:textId="77777777" w:rsidR="00CC2868" w:rsidRPr="00D10188" w:rsidRDefault="00CC2868" w:rsidP="00CC2868">
      <w:pPr>
        <w:pStyle w:val="NoSpacing"/>
        <w:jc w:val="both"/>
        <w:rPr>
          <w:b/>
          <w:szCs w:val="24"/>
        </w:rPr>
      </w:pPr>
    </w:p>
    <w:p w14:paraId="24EA8931" w14:textId="1328E48F" w:rsidR="00CC2868" w:rsidRDefault="00CC2868" w:rsidP="00CC2868">
      <w:pPr>
        <w:pStyle w:val="NoSpacing"/>
        <w:jc w:val="both"/>
        <w:rPr>
          <w:b/>
          <w:szCs w:val="24"/>
        </w:rPr>
      </w:pPr>
      <w:r>
        <w:rPr>
          <w:b/>
          <w:szCs w:val="24"/>
        </w:rPr>
        <w:t>NEVER NYAKALE</w:t>
      </w:r>
    </w:p>
    <w:p w14:paraId="6202C3CC" w14:textId="77777777" w:rsidR="00CC2868" w:rsidRDefault="00CC2868" w:rsidP="00CC2868">
      <w:pPr>
        <w:pStyle w:val="NoSpacing"/>
        <w:jc w:val="both"/>
        <w:rPr>
          <w:b/>
          <w:szCs w:val="24"/>
        </w:rPr>
      </w:pPr>
    </w:p>
    <w:p w14:paraId="6AFA87E8" w14:textId="0B01F856" w:rsidR="00CC2868" w:rsidRDefault="00CC2868" w:rsidP="00CC2868">
      <w:pPr>
        <w:pStyle w:val="NoSpacing"/>
        <w:jc w:val="both"/>
        <w:rPr>
          <w:b/>
          <w:szCs w:val="24"/>
        </w:rPr>
      </w:pPr>
      <w:r>
        <w:rPr>
          <w:b/>
          <w:szCs w:val="24"/>
        </w:rPr>
        <w:t xml:space="preserve">And </w:t>
      </w:r>
    </w:p>
    <w:p w14:paraId="621366BA" w14:textId="77777777" w:rsidR="00CC2868" w:rsidRDefault="00CC2868" w:rsidP="00CC2868">
      <w:pPr>
        <w:pStyle w:val="NoSpacing"/>
        <w:jc w:val="both"/>
        <w:rPr>
          <w:b/>
          <w:szCs w:val="24"/>
        </w:rPr>
      </w:pPr>
    </w:p>
    <w:p w14:paraId="75145437" w14:textId="46136C9B" w:rsidR="00CC2868" w:rsidRDefault="00CC2868" w:rsidP="00CC2868">
      <w:pPr>
        <w:pStyle w:val="NoSpacing"/>
        <w:jc w:val="both"/>
        <w:rPr>
          <w:b/>
          <w:szCs w:val="24"/>
        </w:rPr>
      </w:pPr>
      <w:r>
        <w:rPr>
          <w:b/>
          <w:szCs w:val="24"/>
        </w:rPr>
        <w:t xml:space="preserve">LUCIA NYAKALE </w:t>
      </w:r>
    </w:p>
    <w:p w14:paraId="43358710" w14:textId="77777777" w:rsidR="00CC2868" w:rsidRDefault="00CC2868" w:rsidP="00CC2868">
      <w:pPr>
        <w:pStyle w:val="NoSpacing"/>
        <w:jc w:val="both"/>
        <w:rPr>
          <w:b/>
          <w:szCs w:val="24"/>
        </w:rPr>
      </w:pPr>
    </w:p>
    <w:p w14:paraId="33E44F8D" w14:textId="24611369" w:rsidR="00CC2868" w:rsidRDefault="00CC2868" w:rsidP="00CC2868">
      <w:pPr>
        <w:pStyle w:val="NoSpacing"/>
        <w:jc w:val="both"/>
        <w:rPr>
          <w:b/>
          <w:szCs w:val="24"/>
        </w:rPr>
      </w:pPr>
      <w:r>
        <w:rPr>
          <w:b/>
          <w:szCs w:val="24"/>
        </w:rPr>
        <w:t xml:space="preserve">And </w:t>
      </w:r>
    </w:p>
    <w:p w14:paraId="1520A436" w14:textId="77777777" w:rsidR="00CC2868" w:rsidRDefault="00CC2868" w:rsidP="00CC2868">
      <w:pPr>
        <w:pStyle w:val="NoSpacing"/>
        <w:jc w:val="both"/>
        <w:rPr>
          <w:b/>
          <w:szCs w:val="24"/>
        </w:rPr>
      </w:pPr>
    </w:p>
    <w:p w14:paraId="1718437E" w14:textId="4BA1F2A4" w:rsidR="00CC2868" w:rsidRDefault="00CC2868" w:rsidP="00CC2868">
      <w:pPr>
        <w:pStyle w:val="NoSpacing"/>
        <w:jc w:val="both"/>
        <w:rPr>
          <w:b/>
          <w:szCs w:val="24"/>
        </w:rPr>
      </w:pPr>
      <w:r>
        <w:rPr>
          <w:b/>
          <w:szCs w:val="24"/>
        </w:rPr>
        <w:t xml:space="preserve">PORTIA NYAKALE </w:t>
      </w:r>
    </w:p>
    <w:p w14:paraId="03DA2AE3" w14:textId="77777777" w:rsidR="00CC2868" w:rsidRDefault="00CC2868" w:rsidP="00CC2868">
      <w:pPr>
        <w:pStyle w:val="NoSpacing"/>
        <w:jc w:val="both"/>
        <w:rPr>
          <w:b/>
          <w:szCs w:val="24"/>
        </w:rPr>
      </w:pPr>
    </w:p>
    <w:p w14:paraId="55F9D73C" w14:textId="13F911C3" w:rsidR="00CC2868" w:rsidRDefault="00CC2868" w:rsidP="00CC2868">
      <w:pPr>
        <w:pStyle w:val="NoSpacing"/>
        <w:jc w:val="both"/>
        <w:rPr>
          <w:b/>
          <w:szCs w:val="24"/>
        </w:rPr>
      </w:pPr>
      <w:r>
        <w:rPr>
          <w:b/>
          <w:szCs w:val="24"/>
        </w:rPr>
        <w:t xml:space="preserve">And </w:t>
      </w:r>
    </w:p>
    <w:p w14:paraId="700FBA43" w14:textId="77777777" w:rsidR="00CC2868" w:rsidRDefault="00CC2868" w:rsidP="00CC2868">
      <w:pPr>
        <w:pStyle w:val="NoSpacing"/>
        <w:jc w:val="both"/>
        <w:rPr>
          <w:b/>
          <w:szCs w:val="24"/>
        </w:rPr>
      </w:pPr>
    </w:p>
    <w:p w14:paraId="394BD8D6" w14:textId="0F668CE9" w:rsidR="00CC2868" w:rsidRDefault="00CC2868" w:rsidP="00CC2868">
      <w:pPr>
        <w:pStyle w:val="NoSpacing"/>
        <w:jc w:val="both"/>
        <w:rPr>
          <w:b/>
          <w:szCs w:val="24"/>
        </w:rPr>
      </w:pPr>
      <w:r>
        <w:rPr>
          <w:b/>
          <w:szCs w:val="24"/>
        </w:rPr>
        <w:t xml:space="preserve">CITY OF BULAWAYO </w:t>
      </w:r>
    </w:p>
    <w:p w14:paraId="4D614C8E" w14:textId="77777777" w:rsidR="00CC2868" w:rsidRDefault="00CC2868" w:rsidP="00CC2868">
      <w:pPr>
        <w:pStyle w:val="NoSpacing"/>
        <w:jc w:val="both"/>
        <w:rPr>
          <w:b/>
          <w:szCs w:val="24"/>
        </w:rPr>
      </w:pPr>
    </w:p>
    <w:p w14:paraId="51E9D045" w14:textId="7950D2A4" w:rsidR="00CC2868" w:rsidRDefault="00CC2868" w:rsidP="00CC2868">
      <w:pPr>
        <w:pStyle w:val="NoSpacing"/>
        <w:jc w:val="both"/>
        <w:rPr>
          <w:b/>
          <w:szCs w:val="24"/>
        </w:rPr>
      </w:pPr>
      <w:r>
        <w:rPr>
          <w:b/>
          <w:szCs w:val="24"/>
        </w:rPr>
        <w:t xml:space="preserve">And </w:t>
      </w:r>
    </w:p>
    <w:p w14:paraId="24A0B94D" w14:textId="77777777" w:rsidR="00CC2868" w:rsidRDefault="00CC2868" w:rsidP="00CC2868">
      <w:pPr>
        <w:pStyle w:val="NoSpacing"/>
        <w:jc w:val="both"/>
        <w:rPr>
          <w:b/>
          <w:szCs w:val="24"/>
        </w:rPr>
      </w:pPr>
    </w:p>
    <w:p w14:paraId="7ED18B29" w14:textId="11564175" w:rsidR="00CC2868" w:rsidRPr="00D10188" w:rsidRDefault="00CC2868" w:rsidP="00CC2868">
      <w:pPr>
        <w:pStyle w:val="NoSpacing"/>
        <w:jc w:val="both"/>
        <w:rPr>
          <w:b/>
          <w:szCs w:val="24"/>
        </w:rPr>
      </w:pPr>
      <w:r>
        <w:rPr>
          <w:b/>
          <w:szCs w:val="24"/>
        </w:rPr>
        <w:t>ASSISTANT MASTER OF THE HIGH COURT</w:t>
      </w:r>
    </w:p>
    <w:p w14:paraId="549DE70E" w14:textId="77777777" w:rsidR="00CC2868" w:rsidRPr="00D10188" w:rsidRDefault="00CC2868" w:rsidP="00CC2868">
      <w:pPr>
        <w:pStyle w:val="NoSpacing"/>
        <w:jc w:val="both"/>
        <w:rPr>
          <w:b/>
          <w:szCs w:val="24"/>
        </w:rPr>
      </w:pPr>
    </w:p>
    <w:p w14:paraId="48B5DE26" w14:textId="77777777" w:rsidR="00CC2868" w:rsidRPr="00D10188" w:rsidRDefault="00CC2868" w:rsidP="00CC2868">
      <w:pPr>
        <w:pStyle w:val="NoSpacing"/>
        <w:jc w:val="both"/>
        <w:rPr>
          <w:szCs w:val="24"/>
        </w:rPr>
      </w:pPr>
      <w:r w:rsidRPr="00D10188">
        <w:rPr>
          <w:szCs w:val="24"/>
        </w:rPr>
        <w:t>IN THE HIGH COURT OF ZIMBABWE</w:t>
      </w:r>
    </w:p>
    <w:p w14:paraId="04183E63" w14:textId="32CFFC5C" w:rsidR="00CC2868" w:rsidRPr="00D10188" w:rsidRDefault="00CC2868" w:rsidP="00CC2868">
      <w:pPr>
        <w:pStyle w:val="NoSpacing"/>
        <w:jc w:val="both"/>
        <w:rPr>
          <w:szCs w:val="24"/>
        </w:rPr>
      </w:pPr>
      <w:r>
        <w:rPr>
          <w:szCs w:val="24"/>
        </w:rPr>
        <w:t>DUBE-BANDA</w:t>
      </w:r>
      <w:r w:rsidRPr="00D10188">
        <w:rPr>
          <w:szCs w:val="24"/>
        </w:rPr>
        <w:t xml:space="preserve"> J</w:t>
      </w:r>
    </w:p>
    <w:p w14:paraId="311E02A1" w14:textId="7110C6CC" w:rsidR="00CC2868" w:rsidRPr="00D10188" w:rsidRDefault="00CC2868" w:rsidP="00CC2868">
      <w:pPr>
        <w:pStyle w:val="NoSpacing"/>
        <w:jc w:val="both"/>
        <w:rPr>
          <w:szCs w:val="24"/>
        </w:rPr>
      </w:pPr>
      <w:r w:rsidRPr="00D10188">
        <w:rPr>
          <w:szCs w:val="24"/>
        </w:rPr>
        <w:t>BULAWAYO</w:t>
      </w:r>
      <w:r>
        <w:rPr>
          <w:szCs w:val="24"/>
        </w:rPr>
        <w:t xml:space="preserve"> 21 July 2023 &amp; </w:t>
      </w:r>
      <w:r w:rsidR="00952E9A">
        <w:rPr>
          <w:szCs w:val="24"/>
        </w:rPr>
        <w:t>14</w:t>
      </w:r>
      <w:r w:rsidR="00C47C13">
        <w:rPr>
          <w:szCs w:val="24"/>
        </w:rPr>
        <w:t xml:space="preserve"> September</w:t>
      </w:r>
      <w:r>
        <w:rPr>
          <w:szCs w:val="24"/>
        </w:rPr>
        <w:t xml:space="preserve"> 2023 </w:t>
      </w:r>
    </w:p>
    <w:p w14:paraId="6757A9D6" w14:textId="77777777" w:rsidR="00CC2868" w:rsidRPr="00D10188" w:rsidRDefault="00CC2868" w:rsidP="00CC2868">
      <w:pPr>
        <w:pStyle w:val="NoSpacing"/>
        <w:jc w:val="both"/>
        <w:rPr>
          <w:szCs w:val="24"/>
        </w:rPr>
      </w:pPr>
    </w:p>
    <w:p w14:paraId="291B5E4B" w14:textId="3CBA2B53" w:rsidR="00CC2868" w:rsidRPr="00D10188" w:rsidRDefault="00CC2868" w:rsidP="00CC2868">
      <w:pPr>
        <w:pStyle w:val="NoSpacing"/>
        <w:jc w:val="both"/>
        <w:rPr>
          <w:b/>
          <w:szCs w:val="24"/>
        </w:rPr>
      </w:pPr>
      <w:r>
        <w:rPr>
          <w:b/>
          <w:szCs w:val="24"/>
        </w:rPr>
        <w:t xml:space="preserve">Court application </w:t>
      </w:r>
    </w:p>
    <w:p w14:paraId="19FD3E23" w14:textId="77777777" w:rsidR="00CC2868" w:rsidRPr="00D10188" w:rsidRDefault="00CC2868" w:rsidP="00CC2868">
      <w:pPr>
        <w:pStyle w:val="NoSpacing"/>
        <w:jc w:val="both"/>
        <w:rPr>
          <w:szCs w:val="24"/>
        </w:rPr>
      </w:pPr>
    </w:p>
    <w:p w14:paraId="234584DB" w14:textId="686123A7" w:rsidR="00CC2868" w:rsidRPr="00D10188" w:rsidRDefault="00CC2868" w:rsidP="00CC2868">
      <w:pPr>
        <w:pStyle w:val="NoSpacing"/>
        <w:jc w:val="both"/>
        <w:rPr>
          <w:szCs w:val="24"/>
        </w:rPr>
      </w:pPr>
      <w:r>
        <w:rPr>
          <w:i/>
          <w:szCs w:val="24"/>
        </w:rPr>
        <w:t xml:space="preserve">S. Siziba, </w:t>
      </w:r>
      <w:r w:rsidRPr="00D10188">
        <w:rPr>
          <w:szCs w:val="24"/>
        </w:rPr>
        <w:t>for the applicant</w:t>
      </w:r>
    </w:p>
    <w:p w14:paraId="18FABBF3" w14:textId="4BF616A8" w:rsidR="00CC2868" w:rsidRDefault="00CC2868" w:rsidP="00CC2868">
      <w:pPr>
        <w:pStyle w:val="NoSpacing"/>
        <w:jc w:val="both"/>
        <w:rPr>
          <w:szCs w:val="24"/>
        </w:rPr>
      </w:pPr>
      <w:r>
        <w:rPr>
          <w:i/>
          <w:szCs w:val="24"/>
        </w:rPr>
        <w:t xml:space="preserve">K. Ncube, </w:t>
      </w:r>
      <w:r w:rsidRPr="00D10188">
        <w:rPr>
          <w:szCs w:val="24"/>
        </w:rPr>
        <w:t xml:space="preserve">for the </w:t>
      </w:r>
      <w:r>
        <w:rPr>
          <w:szCs w:val="24"/>
        </w:rPr>
        <w:t>1</w:t>
      </w:r>
      <w:r w:rsidRPr="00CC2868">
        <w:rPr>
          <w:szCs w:val="24"/>
          <w:vertAlign w:val="superscript"/>
        </w:rPr>
        <w:t>st</w:t>
      </w:r>
      <w:r>
        <w:rPr>
          <w:szCs w:val="24"/>
        </w:rPr>
        <w:t>, 2</w:t>
      </w:r>
      <w:r w:rsidRPr="00CC2868">
        <w:rPr>
          <w:szCs w:val="24"/>
          <w:vertAlign w:val="superscript"/>
        </w:rPr>
        <w:t>nd</w:t>
      </w:r>
      <w:r>
        <w:rPr>
          <w:szCs w:val="24"/>
        </w:rPr>
        <w:t xml:space="preserve"> and 3</w:t>
      </w:r>
      <w:r w:rsidRPr="00CC2868">
        <w:rPr>
          <w:szCs w:val="24"/>
          <w:vertAlign w:val="superscript"/>
        </w:rPr>
        <w:t>rd</w:t>
      </w:r>
      <w:r>
        <w:rPr>
          <w:szCs w:val="24"/>
        </w:rPr>
        <w:t xml:space="preserve"> </w:t>
      </w:r>
      <w:r w:rsidRPr="00D10188">
        <w:rPr>
          <w:szCs w:val="24"/>
        </w:rPr>
        <w:t>respondent</w:t>
      </w:r>
      <w:r>
        <w:rPr>
          <w:szCs w:val="24"/>
        </w:rPr>
        <w:t>s</w:t>
      </w:r>
    </w:p>
    <w:p w14:paraId="16DCD987" w14:textId="77777777" w:rsidR="00CC2868" w:rsidRDefault="00CC2868" w:rsidP="00CC2868">
      <w:pPr>
        <w:pStyle w:val="NoSpacing"/>
        <w:jc w:val="both"/>
        <w:rPr>
          <w:szCs w:val="24"/>
        </w:rPr>
      </w:pPr>
    </w:p>
    <w:p w14:paraId="672E537E" w14:textId="77777777" w:rsidR="00CC2868" w:rsidRDefault="00CC2868" w:rsidP="00CC2868">
      <w:pPr>
        <w:pStyle w:val="NoSpacing"/>
        <w:jc w:val="both"/>
        <w:rPr>
          <w:b/>
          <w:bCs/>
          <w:szCs w:val="24"/>
        </w:rPr>
      </w:pPr>
    </w:p>
    <w:p w14:paraId="058E4A87" w14:textId="780D91A8" w:rsidR="00CC2868" w:rsidRPr="00A64BA8" w:rsidRDefault="00CC2868" w:rsidP="00A64BA8">
      <w:pPr>
        <w:pStyle w:val="NoSpacing"/>
        <w:jc w:val="both"/>
        <w:rPr>
          <w:b/>
          <w:bCs/>
          <w:szCs w:val="24"/>
        </w:rPr>
      </w:pPr>
      <w:r w:rsidRPr="00CC2868">
        <w:rPr>
          <w:b/>
          <w:bCs/>
          <w:szCs w:val="24"/>
        </w:rPr>
        <w:t xml:space="preserve">DUBE-BANDA J: </w:t>
      </w:r>
    </w:p>
    <w:p w14:paraId="52B4F749" w14:textId="24A02942" w:rsidR="006E1465" w:rsidRPr="00421D7C" w:rsidRDefault="006E1465" w:rsidP="00CD7EED">
      <w:pPr>
        <w:spacing w:line="360" w:lineRule="auto"/>
        <w:contextualSpacing/>
        <w:jc w:val="both"/>
        <w:rPr>
          <w:rFonts w:ascii="Times New Roman" w:hAnsi="Times New Roman" w:cs="Times New Roman"/>
          <w:sz w:val="24"/>
          <w:szCs w:val="24"/>
        </w:rPr>
      </w:pPr>
      <w:r w:rsidRPr="00421D7C">
        <w:rPr>
          <w:rFonts w:ascii="Times New Roman" w:hAnsi="Times New Roman" w:cs="Times New Roman"/>
          <w:sz w:val="24"/>
          <w:szCs w:val="24"/>
        </w:rPr>
        <w:t>[1] This is an application to dismiss case number HC 69/</w:t>
      </w:r>
      <w:r w:rsidR="00D444F9">
        <w:rPr>
          <w:rFonts w:ascii="Times New Roman" w:hAnsi="Times New Roman" w:cs="Times New Roman"/>
          <w:sz w:val="24"/>
          <w:szCs w:val="24"/>
        </w:rPr>
        <w:t>21</w:t>
      </w:r>
      <w:r w:rsidR="005F6AFD" w:rsidRPr="00421D7C">
        <w:rPr>
          <w:rFonts w:ascii="Times New Roman" w:hAnsi="Times New Roman" w:cs="Times New Roman"/>
          <w:sz w:val="24"/>
          <w:szCs w:val="24"/>
        </w:rPr>
        <w:t xml:space="preserve"> (“main action”)</w:t>
      </w:r>
      <w:r w:rsidRPr="00421D7C">
        <w:rPr>
          <w:rFonts w:ascii="Times New Roman" w:hAnsi="Times New Roman" w:cs="Times New Roman"/>
          <w:sz w:val="24"/>
          <w:szCs w:val="24"/>
        </w:rPr>
        <w:t xml:space="preserve"> in terms of r 75(1) of the now repealed High Court Rules, 1971. </w:t>
      </w:r>
      <w:r w:rsidR="00D444F9">
        <w:rPr>
          <w:rFonts w:ascii="Times New Roman" w:hAnsi="Times New Roman" w:cs="Times New Roman"/>
          <w:sz w:val="24"/>
          <w:szCs w:val="24"/>
        </w:rPr>
        <w:t xml:space="preserve">This application was filed before the promulgation of the High Court Rules, 2021. </w:t>
      </w:r>
      <w:r w:rsidR="005F6AFD" w:rsidRPr="00421D7C">
        <w:rPr>
          <w:rFonts w:ascii="Times New Roman" w:hAnsi="Times New Roman" w:cs="Times New Roman"/>
          <w:sz w:val="24"/>
          <w:szCs w:val="24"/>
        </w:rPr>
        <w:t xml:space="preserve">Rule 75(1) is now r 31(1) of the High Court Rules, 2021. The applicants seek that the main action be dismissed on the grounds that it is frivolous and vexatious. </w:t>
      </w:r>
    </w:p>
    <w:p w14:paraId="05E8D2FE" w14:textId="77777777" w:rsidR="005F6AFD" w:rsidRPr="00421D7C" w:rsidRDefault="005F6AFD" w:rsidP="00CD7EED">
      <w:pPr>
        <w:spacing w:line="360" w:lineRule="auto"/>
        <w:contextualSpacing/>
        <w:jc w:val="both"/>
        <w:rPr>
          <w:rFonts w:ascii="Times New Roman" w:hAnsi="Times New Roman" w:cs="Times New Roman"/>
          <w:sz w:val="24"/>
          <w:szCs w:val="24"/>
        </w:rPr>
      </w:pPr>
    </w:p>
    <w:p w14:paraId="3550C3E3" w14:textId="40B2DA3C" w:rsidR="000D2D97" w:rsidRPr="000D2D97" w:rsidRDefault="005F6AFD" w:rsidP="005339B1">
      <w:pPr>
        <w:spacing w:line="360" w:lineRule="auto"/>
        <w:contextualSpacing/>
        <w:jc w:val="both"/>
        <w:rPr>
          <w:rFonts w:ascii="Times New Roman" w:hAnsi="Times New Roman" w:cs="Times New Roman"/>
          <w:sz w:val="24"/>
          <w:szCs w:val="24"/>
        </w:rPr>
      </w:pPr>
      <w:r w:rsidRPr="00421D7C">
        <w:rPr>
          <w:rFonts w:ascii="Times New Roman" w:hAnsi="Times New Roman" w:cs="Times New Roman"/>
          <w:sz w:val="24"/>
          <w:szCs w:val="24"/>
        </w:rPr>
        <w:lastRenderedPageBreak/>
        <w:t xml:space="preserve">[2] </w:t>
      </w:r>
      <w:r w:rsidR="007814B5">
        <w:rPr>
          <w:rFonts w:ascii="Times New Roman" w:hAnsi="Times New Roman" w:cs="Times New Roman"/>
          <w:sz w:val="24"/>
          <w:szCs w:val="24"/>
        </w:rPr>
        <w:t xml:space="preserve">For ease of reference and where the context permits, the parties shall be referred </w:t>
      </w:r>
      <w:r w:rsidR="00D444F9">
        <w:rPr>
          <w:rFonts w:ascii="Times New Roman" w:hAnsi="Times New Roman" w:cs="Times New Roman"/>
          <w:sz w:val="24"/>
          <w:szCs w:val="24"/>
        </w:rPr>
        <w:t xml:space="preserve">to </w:t>
      </w:r>
      <w:r w:rsidR="007814B5">
        <w:rPr>
          <w:rFonts w:ascii="Times New Roman" w:hAnsi="Times New Roman" w:cs="Times New Roman"/>
          <w:sz w:val="24"/>
          <w:szCs w:val="24"/>
        </w:rPr>
        <w:t>as in the main action</w:t>
      </w:r>
      <w:r w:rsidR="00A64BA8">
        <w:rPr>
          <w:rFonts w:ascii="Times New Roman" w:hAnsi="Times New Roman" w:cs="Times New Roman"/>
          <w:sz w:val="24"/>
          <w:szCs w:val="24"/>
        </w:rPr>
        <w:t xml:space="preserve">, </w:t>
      </w:r>
      <w:r w:rsidR="001515B2">
        <w:rPr>
          <w:rFonts w:ascii="Times New Roman" w:hAnsi="Times New Roman" w:cs="Times New Roman"/>
          <w:sz w:val="24"/>
          <w:szCs w:val="24"/>
        </w:rPr>
        <w:t>or by their names</w:t>
      </w:r>
      <w:r w:rsidR="00BC08C6">
        <w:rPr>
          <w:rFonts w:ascii="Times New Roman" w:hAnsi="Times New Roman" w:cs="Times New Roman"/>
          <w:sz w:val="24"/>
          <w:szCs w:val="24"/>
        </w:rPr>
        <w:t xml:space="preserve">, or merely </w:t>
      </w:r>
      <w:r w:rsidR="00D444F9">
        <w:rPr>
          <w:rFonts w:ascii="Times New Roman" w:hAnsi="Times New Roman" w:cs="Times New Roman"/>
          <w:sz w:val="24"/>
          <w:szCs w:val="24"/>
        </w:rPr>
        <w:t xml:space="preserve">their </w:t>
      </w:r>
      <w:r w:rsidR="00BC08C6">
        <w:rPr>
          <w:rFonts w:ascii="Times New Roman" w:hAnsi="Times New Roman" w:cs="Times New Roman"/>
          <w:sz w:val="24"/>
          <w:szCs w:val="24"/>
        </w:rPr>
        <w:t xml:space="preserve">first names. </w:t>
      </w:r>
      <w:r w:rsidR="000D2D97" w:rsidRPr="000D2D97">
        <w:rPr>
          <w:rFonts w:ascii="Times New Roman" w:hAnsi="Times New Roman" w:cs="Times New Roman"/>
          <w:sz w:val="24"/>
          <w:szCs w:val="24"/>
        </w:rPr>
        <w:t xml:space="preserve">For reasons that will appear later in this judgment, the application is </w:t>
      </w:r>
      <w:r w:rsidR="00A64BA8">
        <w:rPr>
          <w:rFonts w:ascii="Times New Roman" w:hAnsi="Times New Roman" w:cs="Times New Roman"/>
          <w:sz w:val="24"/>
          <w:szCs w:val="24"/>
        </w:rPr>
        <w:t xml:space="preserve">only </w:t>
      </w:r>
      <w:r w:rsidR="000D2D97" w:rsidRPr="000D2D97">
        <w:rPr>
          <w:rFonts w:ascii="Times New Roman" w:hAnsi="Times New Roman" w:cs="Times New Roman"/>
          <w:sz w:val="24"/>
          <w:szCs w:val="24"/>
        </w:rPr>
        <w:t xml:space="preserve">opposed by the third respondent. The first and the second respondents are barred. </w:t>
      </w:r>
    </w:p>
    <w:p w14:paraId="38318757" w14:textId="77777777" w:rsidR="005339B1" w:rsidRPr="000D2D97" w:rsidRDefault="005339B1" w:rsidP="005339B1">
      <w:pPr>
        <w:spacing w:line="360" w:lineRule="auto"/>
        <w:contextualSpacing/>
        <w:jc w:val="both"/>
        <w:rPr>
          <w:rFonts w:ascii="Times New Roman" w:hAnsi="Times New Roman" w:cs="Times New Roman"/>
          <w:sz w:val="24"/>
          <w:szCs w:val="24"/>
        </w:rPr>
      </w:pPr>
    </w:p>
    <w:p w14:paraId="2FDA2A39" w14:textId="3CF2E6C0" w:rsidR="005339B1" w:rsidRDefault="005339B1" w:rsidP="005339B1">
      <w:pPr>
        <w:spacing w:line="360" w:lineRule="auto"/>
        <w:contextualSpacing/>
        <w:jc w:val="both"/>
        <w:rPr>
          <w:rFonts w:ascii="Times New Roman" w:hAnsi="Times New Roman" w:cs="Times New Roman"/>
          <w:b/>
          <w:bCs/>
          <w:sz w:val="24"/>
          <w:szCs w:val="24"/>
        </w:rPr>
      </w:pPr>
      <w:r w:rsidRPr="005339B1">
        <w:rPr>
          <w:rFonts w:ascii="Times New Roman" w:hAnsi="Times New Roman" w:cs="Times New Roman"/>
          <w:b/>
          <w:bCs/>
          <w:sz w:val="24"/>
          <w:szCs w:val="24"/>
        </w:rPr>
        <w:t xml:space="preserve">The background facts </w:t>
      </w:r>
    </w:p>
    <w:p w14:paraId="119B2E9D" w14:textId="77777777" w:rsidR="00BF4A33" w:rsidRDefault="00BF4A33" w:rsidP="005339B1">
      <w:pPr>
        <w:spacing w:line="360" w:lineRule="auto"/>
        <w:contextualSpacing/>
        <w:jc w:val="both"/>
        <w:rPr>
          <w:rFonts w:ascii="Times New Roman" w:hAnsi="Times New Roman" w:cs="Times New Roman"/>
          <w:sz w:val="24"/>
          <w:szCs w:val="24"/>
        </w:rPr>
      </w:pPr>
    </w:p>
    <w:p w14:paraId="68AC3704" w14:textId="0901D331" w:rsidR="006B69C4" w:rsidRDefault="00BF4A33" w:rsidP="00DB594E">
      <w:pPr>
        <w:spacing w:before="240" w:line="360" w:lineRule="auto"/>
        <w:contextualSpacing/>
        <w:jc w:val="both"/>
        <w:rPr>
          <w:rFonts w:ascii="Times New Roman" w:hAnsi="Times New Roman" w:cs="Times New Roman"/>
          <w:sz w:val="24"/>
          <w:szCs w:val="24"/>
        </w:rPr>
      </w:pPr>
      <w:r w:rsidRPr="00BF4A33">
        <w:rPr>
          <w:rFonts w:ascii="Times New Roman" w:hAnsi="Times New Roman" w:cs="Times New Roman"/>
          <w:sz w:val="24"/>
          <w:szCs w:val="24"/>
        </w:rPr>
        <w:t xml:space="preserve">[3] </w:t>
      </w:r>
      <w:r w:rsidR="001E0A95" w:rsidRPr="00ED46E7">
        <w:rPr>
          <w:rFonts w:ascii="Times New Roman" w:hAnsi="Times New Roman" w:cs="Times New Roman"/>
          <w:sz w:val="24"/>
          <w:szCs w:val="24"/>
        </w:rPr>
        <w:t xml:space="preserve">This application will be better understood against the background that follows. </w:t>
      </w:r>
      <w:r>
        <w:rPr>
          <w:rFonts w:ascii="Times New Roman" w:hAnsi="Times New Roman" w:cs="Times New Roman"/>
          <w:sz w:val="24"/>
          <w:szCs w:val="24"/>
        </w:rPr>
        <w:t>On 9 March 2021</w:t>
      </w:r>
      <w:r w:rsidR="001515B2">
        <w:rPr>
          <w:rFonts w:ascii="Times New Roman" w:hAnsi="Times New Roman" w:cs="Times New Roman"/>
          <w:sz w:val="24"/>
          <w:szCs w:val="24"/>
        </w:rPr>
        <w:t>Never Nyakale, Lucia Nyakale and Portia Nyakale</w:t>
      </w:r>
      <w:r w:rsidR="007814B5">
        <w:rPr>
          <w:rFonts w:ascii="Times New Roman" w:hAnsi="Times New Roman" w:cs="Times New Roman"/>
          <w:sz w:val="24"/>
          <w:szCs w:val="24"/>
        </w:rPr>
        <w:t xml:space="preserve"> </w:t>
      </w:r>
      <w:r w:rsidR="00DF5870">
        <w:rPr>
          <w:rFonts w:ascii="Times New Roman" w:hAnsi="Times New Roman" w:cs="Times New Roman"/>
          <w:sz w:val="24"/>
          <w:szCs w:val="24"/>
        </w:rPr>
        <w:t xml:space="preserve">(plaintiffs) </w:t>
      </w:r>
      <w:r>
        <w:rPr>
          <w:rFonts w:ascii="Times New Roman" w:hAnsi="Times New Roman" w:cs="Times New Roman"/>
          <w:sz w:val="24"/>
          <w:szCs w:val="24"/>
        </w:rPr>
        <w:t xml:space="preserve">sued out a </w:t>
      </w:r>
      <w:r w:rsidR="001515B2">
        <w:rPr>
          <w:rFonts w:ascii="Times New Roman" w:hAnsi="Times New Roman" w:cs="Times New Roman"/>
          <w:sz w:val="24"/>
          <w:szCs w:val="24"/>
        </w:rPr>
        <w:t xml:space="preserve">summons in case </w:t>
      </w:r>
      <w:r w:rsidR="00DB594E">
        <w:rPr>
          <w:rFonts w:ascii="Times New Roman" w:hAnsi="Times New Roman" w:cs="Times New Roman"/>
          <w:sz w:val="24"/>
          <w:szCs w:val="24"/>
        </w:rPr>
        <w:t>HC 69/2</w:t>
      </w:r>
      <w:r w:rsidR="003D0025">
        <w:rPr>
          <w:rFonts w:ascii="Times New Roman" w:hAnsi="Times New Roman" w:cs="Times New Roman"/>
          <w:sz w:val="24"/>
          <w:szCs w:val="24"/>
        </w:rPr>
        <w:t>1</w:t>
      </w:r>
      <w:r w:rsidR="00DB594E">
        <w:rPr>
          <w:rFonts w:ascii="Times New Roman" w:hAnsi="Times New Roman" w:cs="Times New Roman"/>
          <w:sz w:val="24"/>
          <w:szCs w:val="24"/>
        </w:rPr>
        <w:t xml:space="preserve"> </w:t>
      </w:r>
      <w:r>
        <w:rPr>
          <w:rFonts w:ascii="Times New Roman" w:hAnsi="Times New Roman" w:cs="Times New Roman"/>
          <w:sz w:val="24"/>
          <w:szCs w:val="24"/>
        </w:rPr>
        <w:t xml:space="preserve">against </w:t>
      </w:r>
      <w:r w:rsidR="001515B2">
        <w:rPr>
          <w:rFonts w:ascii="Times New Roman" w:hAnsi="Times New Roman" w:cs="Times New Roman"/>
          <w:sz w:val="24"/>
          <w:szCs w:val="24"/>
        </w:rPr>
        <w:t xml:space="preserve">Wisdom Chitura and Helen Maureen Mushore </w:t>
      </w:r>
      <w:r w:rsidR="00DF5870">
        <w:rPr>
          <w:rFonts w:ascii="Times New Roman" w:hAnsi="Times New Roman" w:cs="Times New Roman"/>
          <w:sz w:val="24"/>
          <w:szCs w:val="24"/>
        </w:rPr>
        <w:t>(defendants)</w:t>
      </w:r>
      <w:r w:rsidR="001515B2">
        <w:rPr>
          <w:rFonts w:ascii="Times New Roman" w:hAnsi="Times New Roman" w:cs="Times New Roman"/>
          <w:sz w:val="24"/>
          <w:szCs w:val="24"/>
        </w:rPr>
        <w:t xml:space="preserve"> </w:t>
      </w:r>
      <w:r>
        <w:rPr>
          <w:rFonts w:ascii="Times New Roman" w:hAnsi="Times New Roman" w:cs="Times New Roman"/>
          <w:sz w:val="24"/>
          <w:szCs w:val="24"/>
        </w:rPr>
        <w:t>seeking a</w:t>
      </w:r>
      <w:r w:rsidR="001515B2">
        <w:rPr>
          <w:rFonts w:ascii="Times New Roman" w:hAnsi="Times New Roman" w:cs="Times New Roman"/>
          <w:sz w:val="24"/>
          <w:szCs w:val="24"/>
        </w:rPr>
        <w:t xml:space="preserve"> declaratory order</w:t>
      </w:r>
      <w:r>
        <w:rPr>
          <w:rFonts w:ascii="Times New Roman" w:hAnsi="Times New Roman" w:cs="Times New Roman"/>
          <w:sz w:val="24"/>
          <w:szCs w:val="24"/>
        </w:rPr>
        <w:t xml:space="preserve"> that: the agreement between </w:t>
      </w:r>
      <w:r w:rsidR="00DF5870">
        <w:rPr>
          <w:rFonts w:ascii="Times New Roman" w:hAnsi="Times New Roman" w:cs="Times New Roman"/>
          <w:sz w:val="24"/>
          <w:szCs w:val="24"/>
        </w:rPr>
        <w:t>Mushore</w:t>
      </w:r>
      <w:r>
        <w:rPr>
          <w:rFonts w:ascii="Times New Roman" w:hAnsi="Times New Roman" w:cs="Times New Roman"/>
          <w:sz w:val="24"/>
          <w:szCs w:val="24"/>
        </w:rPr>
        <w:t xml:space="preserve"> and </w:t>
      </w:r>
      <w:r w:rsidR="00DF5870">
        <w:rPr>
          <w:rFonts w:ascii="Times New Roman" w:hAnsi="Times New Roman" w:cs="Times New Roman"/>
          <w:sz w:val="24"/>
          <w:szCs w:val="24"/>
        </w:rPr>
        <w:t>Chitura</w:t>
      </w:r>
      <w:r>
        <w:rPr>
          <w:rFonts w:ascii="Times New Roman" w:hAnsi="Times New Roman" w:cs="Times New Roman"/>
          <w:sz w:val="24"/>
          <w:szCs w:val="24"/>
        </w:rPr>
        <w:t xml:space="preserve"> be declared to be of no force </w:t>
      </w:r>
      <w:r w:rsidR="00DF5870">
        <w:rPr>
          <w:rFonts w:ascii="Times New Roman" w:hAnsi="Times New Roman" w:cs="Times New Roman"/>
          <w:sz w:val="24"/>
          <w:szCs w:val="24"/>
        </w:rPr>
        <w:t xml:space="preserve">and effect </w:t>
      </w:r>
      <w:r>
        <w:rPr>
          <w:rFonts w:ascii="Times New Roman" w:hAnsi="Times New Roman" w:cs="Times New Roman"/>
          <w:sz w:val="24"/>
          <w:szCs w:val="24"/>
        </w:rPr>
        <w:t xml:space="preserve">on the grounds that it </w:t>
      </w:r>
      <w:r w:rsidR="00DF5870">
        <w:rPr>
          <w:rFonts w:ascii="Times New Roman" w:hAnsi="Times New Roman" w:cs="Times New Roman"/>
          <w:sz w:val="24"/>
          <w:szCs w:val="24"/>
        </w:rPr>
        <w:t xml:space="preserve">was </w:t>
      </w:r>
      <w:r>
        <w:rPr>
          <w:rFonts w:ascii="Times New Roman" w:hAnsi="Times New Roman" w:cs="Times New Roman"/>
          <w:sz w:val="24"/>
          <w:szCs w:val="24"/>
        </w:rPr>
        <w:t xml:space="preserve">illegal and invalid; </w:t>
      </w:r>
      <w:r w:rsidR="0080666D">
        <w:rPr>
          <w:rFonts w:ascii="Times New Roman" w:hAnsi="Times New Roman" w:cs="Times New Roman"/>
          <w:sz w:val="24"/>
          <w:szCs w:val="24"/>
        </w:rPr>
        <w:t xml:space="preserve">and </w:t>
      </w:r>
      <w:r>
        <w:rPr>
          <w:rFonts w:ascii="Times New Roman" w:hAnsi="Times New Roman" w:cs="Times New Roman"/>
          <w:sz w:val="24"/>
          <w:szCs w:val="24"/>
        </w:rPr>
        <w:t xml:space="preserve">that </w:t>
      </w:r>
      <w:r w:rsidR="00DF5870">
        <w:rPr>
          <w:rFonts w:ascii="Times New Roman" w:hAnsi="Times New Roman" w:cs="Times New Roman"/>
          <w:sz w:val="24"/>
          <w:szCs w:val="24"/>
        </w:rPr>
        <w:t>Chitura</w:t>
      </w:r>
      <w:r>
        <w:rPr>
          <w:rFonts w:ascii="Times New Roman" w:hAnsi="Times New Roman" w:cs="Times New Roman"/>
          <w:sz w:val="24"/>
          <w:szCs w:val="24"/>
        </w:rPr>
        <w:t xml:space="preserve"> </w:t>
      </w:r>
      <w:r w:rsidR="00DF5870">
        <w:rPr>
          <w:rFonts w:ascii="Times New Roman" w:hAnsi="Times New Roman" w:cs="Times New Roman"/>
          <w:sz w:val="24"/>
          <w:szCs w:val="24"/>
        </w:rPr>
        <w:t>be evicted from</w:t>
      </w:r>
      <w:r>
        <w:rPr>
          <w:rFonts w:ascii="Times New Roman" w:hAnsi="Times New Roman" w:cs="Times New Roman"/>
          <w:sz w:val="24"/>
          <w:szCs w:val="24"/>
        </w:rPr>
        <w:t xml:space="preserve"> the property known as U28 Mzilikazi, Bulawayo</w:t>
      </w:r>
      <w:r w:rsidR="00DB594E">
        <w:rPr>
          <w:rFonts w:ascii="Times New Roman" w:hAnsi="Times New Roman" w:cs="Times New Roman"/>
          <w:sz w:val="24"/>
          <w:szCs w:val="24"/>
        </w:rPr>
        <w:t xml:space="preserve"> (“the </w:t>
      </w:r>
      <w:r w:rsidR="00BA69A0">
        <w:rPr>
          <w:rFonts w:ascii="Times New Roman" w:hAnsi="Times New Roman" w:cs="Times New Roman"/>
          <w:sz w:val="24"/>
          <w:szCs w:val="24"/>
        </w:rPr>
        <w:t xml:space="preserve">disputed </w:t>
      </w:r>
      <w:r w:rsidR="00DB594E">
        <w:rPr>
          <w:rFonts w:ascii="Times New Roman" w:hAnsi="Times New Roman" w:cs="Times New Roman"/>
          <w:sz w:val="24"/>
          <w:szCs w:val="24"/>
        </w:rPr>
        <w:t>property”</w:t>
      </w:r>
      <w:r w:rsidR="00EC24C6">
        <w:rPr>
          <w:rFonts w:ascii="Times New Roman" w:hAnsi="Times New Roman" w:cs="Times New Roman"/>
          <w:sz w:val="24"/>
          <w:szCs w:val="24"/>
        </w:rPr>
        <w:t>)</w:t>
      </w:r>
      <w:r w:rsidR="00DB594E">
        <w:rPr>
          <w:rFonts w:ascii="Times New Roman" w:hAnsi="Times New Roman" w:cs="Times New Roman"/>
          <w:sz w:val="24"/>
          <w:szCs w:val="24"/>
        </w:rPr>
        <w:t xml:space="preserve">. </w:t>
      </w:r>
      <w:r w:rsidR="0080666D">
        <w:rPr>
          <w:rFonts w:ascii="Times New Roman" w:hAnsi="Times New Roman" w:cs="Times New Roman"/>
          <w:sz w:val="24"/>
          <w:szCs w:val="24"/>
        </w:rPr>
        <w:t xml:space="preserve"> </w:t>
      </w:r>
    </w:p>
    <w:p w14:paraId="710340B6" w14:textId="77777777" w:rsidR="00DB594E" w:rsidRDefault="00DB594E" w:rsidP="005339B1">
      <w:pPr>
        <w:spacing w:line="360" w:lineRule="auto"/>
        <w:contextualSpacing/>
        <w:jc w:val="both"/>
        <w:rPr>
          <w:rFonts w:ascii="Times New Roman" w:hAnsi="Times New Roman" w:cs="Times New Roman"/>
          <w:sz w:val="24"/>
          <w:szCs w:val="24"/>
        </w:rPr>
      </w:pPr>
    </w:p>
    <w:p w14:paraId="1E1F4D11" w14:textId="65A9E6AB" w:rsidR="0020239F" w:rsidRDefault="00DB594E" w:rsidP="005339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[4] </w:t>
      </w:r>
      <w:r w:rsidR="00BA69A0">
        <w:rPr>
          <w:rFonts w:ascii="Times New Roman" w:hAnsi="Times New Roman" w:cs="Times New Roman"/>
          <w:sz w:val="24"/>
          <w:szCs w:val="24"/>
        </w:rPr>
        <w:t>Joyce Nyakale</w:t>
      </w:r>
      <w:r w:rsidR="0020239F">
        <w:rPr>
          <w:rFonts w:ascii="Times New Roman" w:hAnsi="Times New Roman" w:cs="Times New Roman"/>
          <w:sz w:val="24"/>
          <w:szCs w:val="24"/>
        </w:rPr>
        <w:t xml:space="preserve"> (Joyce)</w:t>
      </w:r>
      <w:r w:rsidR="00BA69A0">
        <w:rPr>
          <w:rFonts w:ascii="Times New Roman" w:hAnsi="Times New Roman" w:cs="Times New Roman"/>
          <w:sz w:val="24"/>
          <w:szCs w:val="24"/>
        </w:rPr>
        <w:t xml:space="preserve"> had the following children: Betty Nyakale; Morris Nyakale; Sherpard Nyakale; Stephen Nyakale; and Dennis Nyakale. Joyce has a number of children, who include the plaintiffs and Mushore. Joyce died on 5 March 1996. In</w:t>
      </w:r>
      <w:r>
        <w:rPr>
          <w:rFonts w:ascii="Times New Roman" w:hAnsi="Times New Roman" w:cs="Times New Roman"/>
          <w:sz w:val="24"/>
          <w:szCs w:val="24"/>
        </w:rPr>
        <w:t xml:space="preserve"> her life time </w:t>
      </w:r>
      <w:r w:rsidR="00BA69A0">
        <w:rPr>
          <w:rFonts w:ascii="Times New Roman" w:hAnsi="Times New Roman" w:cs="Times New Roman"/>
          <w:sz w:val="24"/>
          <w:szCs w:val="24"/>
        </w:rPr>
        <w:t>she</w:t>
      </w:r>
      <w:r>
        <w:rPr>
          <w:rFonts w:ascii="Times New Roman" w:hAnsi="Times New Roman" w:cs="Times New Roman"/>
          <w:sz w:val="24"/>
          <w:szCs w:val="24"/>
        </w:rPr>
        <w:t xml:space="preserve"> </w:t>
      </w:r>
      <w:r w:rsidR="00522ADC">
        <w:rPr>
          <w:rFonts w:ascii="Times New Roman" w:hAnsi="Times New Roman" w:cs="Times New Roman"/>
          <w:sz w:val="24"/>
          <w:szCs w:val="24"/>
        </w:rPr>
        <w:t>was t</w:t>
      </w:r>
      <w:r w:rsidR="00BA69A0">
        <w:rPr>
          <w:rFonts w:ascii="Times New Roman" w:hAnsi="Times New Roman" w:cs="Times New Roman"/>
          <w:sz w:val="24"/>
          <w:szCs w:val="24"/>
        </w:rPr>
        <w:t xml:space="preserve">he owner of the disputed property in that she </w:t>
      </w:r>
      <w:r>
        <w:rPr>
          <w:rFonts w:ascii="Times New Roman" w:hAnsi="Times New Roman" w:cs="Times New Roman"/>
          <w:sz w:val="24"/>
          <w:szCs w:val="24"/>
        </w:rPr>
        <w:t xml:space="preserve">had rights, title and interest in </w:t>
      </w:r>
      <w:r w:rsidR="00BA69A0">
        <w:rPr>
          <w:rFonts w:ascii="Times New Roman" w:hAnsi="Times New Roman" w:cs="Times New Roman"/>
          <w:sz w:val="24"/>
          <w:szCs w:val="24"/>
        </w:rPr>
        <w:t>it</w:t>
      </w:r>
      <w:r>
        <w:rPr>
          <w:rFonts w:ascii="Times New Roman" w:hAnsi="Times New Roman" w:cs="Times New Roman"/>
          <w:sz w:val="24"/>
          <w:szCs w:val="24"/>
        </w:rPr>
        <w:t xml:space="preserve">. </w:t>
      </w:r>
      <w:r w:rsidR="00BA69A0">
        <w:rPr>
          <w:rFonts w:ascii="Times New Roman" w:hAnsi="Times New Roman" w:cs="Times New Roman"/>
          <w:sz w:val="24"/>
          <w:szCs w:val="24"/>
        </w:rPr>
        <w:t>The plaintiffs contend that</w:t>
      </w:r>
      <w:r w:rsidR="001515B2">
        <w:rPr>
          <w:rFonts w:ascii="Times New Roman" w:hAnsi="Times New Roman" w:cs="Times New Roman"/>
          <w:sz w:val="24"/>
          <w:szCs w:val="24"/>
        </w:rPr>
        <w:t xml:space="preserve"> in</w:t>
      </w:r>
      <w:r>
        <w:rPr>
          <w:rFonts w:ascii="Times New Roman" w:hAnsi="Times New Roman" w:cs="Times New Roman"/>
          <w:sz w:val="24"/>
          <w:szCs w:val="24"/>
        </w:rPr>
        <w:t xml:space="preserve"> her life time </w:t>
      </w:r>
      <w:r w:rsidR="001515B2">
        <w:rPr>
          <w:rFonts w:ascii="Times New Roman" w:hAnsi="Times New Roman" w:cs="Times New Roman"/>
          <w:sz w:val="24"/>
          <w:szCs w:val="24"/>
        </w:rPr>
        <w:t>she</w:t>
      </w:r>
      <w:r>
        <w:rPr>
          <w:rFonts w:ascii="Times New Roman" w:hAnsi="Times New Roman" w:cs="Times New Roman"/>
          <w:sz w:val="24"/>
          <w:szCs w:val="24"/>
        </w:rPr>
        <w:t xml:space="preserve"> had made a declaration that the </w:t>
      </w:r>
      <w:r w:rsidR="00BA69A0">
        <w:rPr>
          <w:rFonts w:ascii="Times New Roman" w:hAnsi="Times New Roman" w:cs="Times New Roman"/>
          <w:sz w:val="24"/>
          <w:szCs w:val="24"/>
        </w:rPr>
        <w:t xml:space="preserve">disputed </w:t>
      </w:r>
      <w:r>
        <w:rPr>
          <w:rFonts w:ascii="Times New Roman" w:hAnsi="Times New Roman" w:cs="Times New Roman"/>
          <w:sz w:val="24"/>
          <w:szCs w:val="24"/>
        </w:rPr>
        <w:t xml:space="preserve">property should not be sold, but should be used for the benefit of generations </w:t>
      </w:r>
      <w:r w:rsidR="00BA69A0">
        <w:rPr>
          <w:rFonts w:ascii="Times New Roman" w:hAnsi="Times New Roman" w:cs="Times New Roman"/>
          <w:sz w:val="24"/>
          <w:szCs w:val="24"/>
        </w:rPr>
        <w:t xml:space="preserve">of </w:t>
      </w:r>
      <w:r w:rsidR="001515B2">
        <w:rPr>
          <w:rFonts w:ascii="Times New Roman" w:hAnsi="Times New Roman" w:cs="Times New Roman"/>
          <w:sz w:val="24"/>
          <w:szCs w:val="24"/>
        </w:rPr>
        <w:t xml:space="preserve">her </w:t>
      </w:r>
      <w:r w:rsidR="00831DA8">
        <w:rPr>
          <w:rFonts w:ascii="Times New Roman" w:hAnsi="Times New Roman" w:cs="Times New Roman"/>
          <w:sz w:val="24"/>
          <w:szCs w:val="24"/>
        </w:rPr>
        <w:t>grandchildren</w:t>
      </w:r>
      <w:r w:rsidR="001515B2">
        <w:rPr>
          <w:rFonts w:ascii="Times New Roman" w:hAnsi="Times New Roman" w:cs="Times New Roman"/>
          <w:sz w:val="24"/>
          <w:szCs w:val="24"/>
        </w:rPr>
        <w:t xml:space="preserve">. </w:t>
      </w:r>
      <w:r w:rsidR="00BA69A0">
        <w:rPr>
          <w:rFonts w:ascii="Times New Roman" w:hAnsi="Times New Roman" w:cs="Times New Roman"/>
          <w:sz w:val="24"/>
          <w:szCs w:val="24"/>
        </w:rPr>
        <w:t xml:space="preserve">Dennis was appointed </w:t>
      </w:r>
      <w:r w:rsidR="00EF26CE">
        <w:rPr>
          <w:rFonts w:ascii="Times New Roman" w:hAnsi="Times New Roman" w:cs="Times New Roman"/>
          <w:sz w:val="24"/>
          <w:szCs w:val="24"/>
        </w:rPr>
        <w:t>the executor dative of the estate of Jo</w:t>
      </w:r>
      <w:r w:rsidR="00BA69A0">
        <w:rPr>
          <w:rFonts w:ascii="Times New Roman" w:hAnsi="Times New Roman" w:cs="Times New Roman"/>
          <w:sz w:val="24"/>
          <w:szCs w:val="24"/>
        </w:rPr>
        <w:t>y</w:t>
      </w:r>
      <w:r w:rsidR="00EF26CE">
        <w:rPr>
          <w:rFonts w:ascii="Times New Roman" w:hAnsi="Times New Roman" w:cs="Times New Roman"/>
          <w:sz w:val="24"/>
          <w:szCs w:val="24"/>
        </w:rPr>
        <w:t>ce</w:t>
      </w:r>
      <w:r w:rsidR="00BA69A0">
        <w:rPr>
          <w:rFonts w:ascii="Times New Roman" w:hAnsi="Times New Roman" w:cs="Times New Roman"/>
          <w:sz w:val="24"/>
          <w:szCs w:val="24"/>
        </w:rPr>
        <w:t xml:space="preserve">, and he too died </w:t>
      </w:r>
      <w:r w:rsidR="00EF26CE">
        <w:rPr>
          <w:rFonts w:ascii="Times New Roman" w:hAnsi="Times New Roman" w:cs="Times New Roman"/>
          <w:sz w:val="24"/>
          <w:szCs w:val="24"/>
        </w:rPr>
        <w:t>on 4 March 2015.</w:t>
      </w:r>
      <w:r w:rsidR="00BA69A0">
        <w:rPr>
          <w:rFonts w:ascii="Times New Roman" w:hAnsi="Times New Roman" w:cs="Times New Roman"/>
          <w:sz w:val="24"/>
          <w:szCs w:val="24"/>
        </w:rPr>
        <w:t xml:space="preserve"> </w:t>
      </w:r>
      <w:r w:rsidR="00991D89">
        <w:rPr>
          <w:rFonts w:ascii="Times New Roman" w:hAnsi="Times New Roman" w:cs="Times New Roman"/>
          <w:sz w:val="24"/>
          <w:szCs w:val="24"/>
        </w:rPr>
        <w:t>Mushore</w:t>
      </w:r>
      <w:r w:rsidR="00BA69A0">
        <w:rPr>
          <w:rFonts w:ascii="Times New Roman" w:hAnsi="Times New Roman" w:cs="Times New Roman"/>
          <w:sz w:val="24"/>
          <w:szCs w:val="24"/>
        </w:rPr>
        <w:t xml:space="preserve"> is a daughter of Dennis, and she </w:t>
      </w:r>
      <w:r w:rsidR="00EF26CE">
        <w:rPr>
          <w:rFonts w:ascii="Times New Roman" w:hAnsi="Times New Roman" w:cs="Times New Roman"/>
          <w:sz w:val="24"/>
          <w:szCs w:val="24"/>
        </w:rPr>
        <w:t>was appointed the executrix of the estate</w:t>
      </w:r>
      <w:r w:rsidR="00BA69A0">
        <w:rPr>
          <w:rFonts w:ascii="Times New Roman" w:hAnsi="Times New Roman" w:cs="Times New Roman"/>
          <w:sz w:val="24"/>
          <w:szCs w:val="24"/>
        </w:rPr>
        <w:t xml:space="preserve"> of her father</w:t>
      </w:r>
      <w:r w:rsidR="00EF26CE">
        <w:rPr>
          <w:rFonts w:ascii="Times New Roman" w:hAnsi="Times New Roman" w:cs="Times New Roman"/>
          <w:sz w:val="24"/>
          <w:szCs w:val="24"/>
        </w:rPr>
        <w:t>. On 4 February 2020 Mushore</w:t>
      </w:r>
      <w:r w:rsidR="0020239F">
        <w:rPr>
          <w:rFonts w:ascii="Times New Roman" w:hAnsi="Times New Roman" w:cs="Times New Roman"/>
          <w:sz w:val="24"/>
          <w:szCs w:val="24"/>
        </w:rPr>
        <w:t xml:space="preserve"> </w:t>
      </w:r>
      <w:r w:rsidR="00EF26CE">
        <w:rPr>
          <w:rFonts w:ascii="Times New Roman" w:hAnsi="Times New Roman" w:cs="Times New Roman"/>
          <w:sz w:val="24"/>
          <w:szCs w:val="24"/>
        </w:rPr>
        <w:t>sold the property to Chitur</w:t>
      </w:r>
      <w:r w:rsidR="0020239F">
        <w:rPr>
          <w:rFonts w:ascii="Times New Roman" w:hAnsi="Times New Roman" w:cs="Times New Roman"/>
          <w:sz w:val="24"/>
          <w:szCs w:val="24"/>
        </w:rPr>
        <w:t>a</w:t>
      </w:r>
      <w:r w:rsidR="00EF26CE">
        <w:rPr>
          <w:rFonts w:ascii="Times New Roman" w:hAnsi="Times New Roman" w:cs="Times New Roman"/>
          <w:sz w:val="24"/>
          <w:szCs w:val="24"/>
        </w:rPr>
        <w:t xml:space="preserve"> for US$12 000.00</w:t>
      </w:r>
      <w:r w:rsidR="00522ADC">
        <w:rPr>
          <w:rFonts w:ascii="Times New Roman" w:hAnsi="Times New Roman" w:cs="Times New Roman"/>
          <w:sz w:val="24"/>
          <w:szCs w:val="24"/>
        </w:rPr>
        <w:t xml:space="preserve">, and received payment. </w:t>
      </w:r>
      <w:r w:rsidR="00EF26CE">
        <w:rPr>
          <w:rFonts w:ascii="Times New Roman" w:hAnsi="Times New Roman" w:cs="Times New Roman"/>
          <w:sz w:val="24"/>
          <w:szCs w:val="24"/>
        </w:rPr>
        <w:t xml:space="preserve"> </w:t>
      </w:r>
    </w:p>
    <w:p w14:paraId="6BC06A72" w14:textId="77777777" w:rsidR="0020239F" w:rsidRDefault="0020239F" w:rsidP="005339B1">
      <w:pPr>
        <w:spacing w:line="360" w:lineRule="auto"/>
        <w:contextualSpacing/>
        <w:jc w:val="both"/>
        <w:rPr>
          <w:rFonts w:ascii="Times New Roman" w:hAnsi="Times New Roman" w:cs="Times New Roman"/>
          <w:sz w:val="24"/>
          <w:szCs w:val="24"/>
        </w:rPr>
      </w:pPr>
    </w:p>
    <w:p w14:paraId="14FCBE96" w14:textId="461ACB67" w:rsidR="00CD05D4" w:rsidRDefault="0020239F" w:rsidP="005339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[5] In the main action the plaintiffs contend</w:t>
      </w:r>
      <w:r w:rsidR="00EF26CE">
        <w:rPr>
          <w:rFonts w:ascii="Times New Roman" w:hAnsi="Times New Roman" w:cs="Times New Roman"/>
          <w:sz w:val="24"/>
          <w:szCs w:val="24"/>
        </w:rPr>
        <w:t xml:space="preserve"> that the property was not part of the estate of Den</w:t>
      </w:r>
      <w:r w:rsidR="002922D9">
        <w:rPr>
          <w:rFonts w:ascii="Times New Roman" w:hAnsi="Times New Roman" w:cs="Times New Roman"/>
          <w:sz w:val="24"/>
          <w:szCs w:val="24"/>
        </w:rPr>
        <w:t>ni</w:t>
      </w:r>
      <w:r w:rsidR="00EF26CE">
        <w:rPr>
          <w:rFonts w:ascii="Times New Roman" w:hAnsi="Times New Roman" w:cs="Times New Roman"/>
          <w:sz w:val="24"/>
          <w:szCs w:val="24"/>
        </w:rPr>
        <w:t>s</w:t>
      </w:r>
      <w:r>
        <w:rPr>
          <w:rFonts w:ascii="Times New Roman" w:hAnsi="Times New Roman" w:cs="Times New Roman"/>
          <w:sz w:val="24"/>
          <w:szCs w:val="24"/>
        </w:rPr>
        <w:t xml:space="preserve">, and that Mushore had no right to sell the disputed property to Chitura. They contend further that </w:t>
      </w:r>
      <w:r w:rsidR="00EC24C6">
        <w:rPr>
          <w:rFonts w:ascii="Times New Roman" w:hAnsi="Times New Roman" w:cs="Times New Roman"/>
          <w:sz w:val="24"/>
          <w:szCs w:val="24"/>
        </w:rPr>
        <w:t xml:space="preserve">they have a real and substantial interest in the </w:t>
      </w:r>
      <w:r>
        <w:rPr>
          <w:rFonts w:ascii="Times New Roman" w:hAnsi="Times New Roman" w:cs="Times New Roman"/>
          <w:sz w:val="24"/>
          <w:szCs w:val="24"/>
        </w:rPr>
        <w:t xml:space="preserve">disputed </w:t>
      </w:r>
      <w:r w:rsidR="00EC24C6">
        <w:rPr>
          <w:rFonts w:ascii="Times New Roman" w:hAnsi="Times New Roman" w:cs="Times New Roman"/>
          <w:sz w:val="24"/>
          <w:szCs w:val="24"/>
        </w:rPr>
        <w:t>property as they are the ultimate beneficiaries of the estate of Joyce</w:t>
      </w:r>
      <w:r>
        <w:rPr>
          <w:rFonts w:ascii="Times New Roman" w:hAnsi="Times New Roman" w:cs="Times New Roman"/>
          <w:sz w:val="24"/>
          <w:szCs w:val="24"/>
        </w:rPr>
        <w:t xml:space="preserve">. </w:t>
      </w:r>
      <w:r w:rsidR="00EC24C6">
        <w:rPr>
          <w:rFonts w:ascii="Times New Roman" w:hAnsi="Times New Roman" w:cs="Times New Roman"/>
          <w:sz w:val="24"/>
          <w:szCs w:val="24"/>
        </w:rPr>
        <w:t xml:space="preserve"> </w:t>
      </w:r>
      <w:r>
        <w:rPr>
          <w:rFonts w:ascii="Times New Roman" w:hAnsi="Times New Roman" w:cs="Times New Roman"/>
          <w:sz w:val="24"/>
          <w:szCs w:val="24"/>
        </w:rPr>
        <w:t>In her plea i</w:t>
      </w:r>
      <w:r w:rsidR="003D0025">
        <w:rPr>
          <w:rFonts w:ascii="Times New Roman" w:hAnsi="Times New Roman" w:cs="Times New Roman"/>
          <w:sz w:val="24"/>
          <w:szCs w:val="24"/>
        </w:rPr>
        <w:t>n t</w:t>
      </w:r>
      <w:r w:rsidR="00CD05D4">
        <w:rPr>
          <w:rFonts w:ascii="Times New Roman" w:hAnsi="Times New Roman" w:cs="Times New Roman"/>
          <w:sz w:val="24"/>
          <w:szCs w:val="24"/>
        </w:rPr>
        <w:t xml:space="preserve">he main action </w:t>
      </w:r>
      <w:r w:rsidR="003D0025">
        <w:rPr>
          <w:rFonts w:ascii="Times New Roman" w:hAnsi="Times New Roman" w:cs="Times New Roman"/>
          <w:sz w:val="24"/>
          <w:szCs w:val="24"/>
        </w:rPr>
        <w:t>Mushore contends</w:t>
      </w:r>
      <w:r w:rsidR="00CD05D4">
        <w:rPr>
          <w:rFonts w:ascii="Times New Roman" w:hAnsi="Times New Roman" w:cs="Times New Roman"/>
          <w:sz w:val="24"/>
          <w:szCs w:val="24"/>
        </w:rPr>
        <w:t xml:space="preserve"> that the first and final distribution account for the </w:t>
      </w:r>
      <w:r>
        <w:rPr>
          <w:rFonts w:ascii="Times New Roman" w:hAnsi="Times New Roman" w:cs="Times New Roman"/>
          <w:sz w:val="24"/>
          <w:szCs w:val="24"/>
        </w:rPr>
        <w:t>e</w:t>
      </w:r>
      <w:r w:rsidR="00CD05D4">
        <w:rPr>
          <w:rFonts w:ascii="Times New Roman" w:hAnsi="Times New Roman" w:cs="Times New Roman"/>
          <w:sz w:val="24"/>
          <w:szCs w:val="24"/>
        </w:rPr>
        <w:t xml:space="preserve">state of Joycee was confirmed on 2 February 2011, and it has not been re-opened to date. The </w:t>
      </w:r>
      <w:r>
        <w:rPr>
          <w:rFonts w:ascii="Times New Roman" w:hAnsi="Times New Roman" w:cs="Times New Roman"/>
          <w:sz w:val="24"/>
          <w:szCs w:val="24"/>
        </w:rPr>
        <w:t xml:space="preserve">disputed </w:t>
      </w:r>
      <w:r w:rsidR="00CD05D4">
        <w:rPr>
          <w:rFonts w:ascii="Times New Roman" w:hAnsi="Times New Roman" w:cs="Times New Roman"/>
          <w:sz w:val="24"/>
          <w:szCs w:val="24"/>
        </w:rPr>
        <w:t>property was awarded to De</w:t>
      </w:r>
      <w:r w:rsidR="002922D9">
        <w:rPr>
          <w:rFonts w:ascii="Times New Roman" w:hAnsi="Times New Roman" w:cs="Times New Roman"/>
          <w:sz w:val="24"/>
          <w:szCs w:val="24"/>
        </w:rPr>
        <w:t>n</w:t>
      </w:r>
      <w:r w:rsidR="00CD05D4">
        <w:rPr>
          <w:rFonts w:ascii="Times New Roman" w:hAnsi="Times New Roman" w:cs="Times New Roman"/>
          <w:sz w:val="24"/>
          <w:szCs w:val="24"/>
        </w:rPr>
        <w:t>nis</w:t>
      </w:r>
      <w:r>
        <w:rPr>
          <w:rFonts w:ascii="Times New Roman" w:hAnsi="Times New Roman" w:cs="Times New Roman"/>
          <w:sz w:val="24"/>
          <w:szCs w:val="24"/>
        </w:rPr>
        <w:t xml:space="preserve"> </w:t>
      </w:r>
      <w:r w:rsidR="00CD05D4">
        <w:rPr>
          <w:rFonts w:ascii="Times New Roman" w:hAnsi="Times New Roman" w:cs="Times New Roman"/>
          <w:sz w:val="24"/>
          <w:szCs w:val="24"/>
        </w:rPr>
        <w:t xml:space="preserve">and it became part of his estate. </w:t>
      </w:r>
      <w:r w:rsidR="00DF5870">
        <w:rPr>
          <w:rFonts w:ascii="Times New Roman" w:hAnsi="Times New Roman" w:cs="Times New Roman"/>
          <w:sz w:val="24"/>
          <w:szCs w:val="24"/>
        </w:rPr>
        <w:t>That t</w:t>
      </w:r>
      <w:r w:rsidR="00CD05D4">
        <w:rPr>
          <w:rFonts w:ascii="Times New Roman" w:hAnsi="Times New Roman" w:cs="Times New Roman"/>
          <w:sz w:val="24"/>
          <w:szCs w:val="24"/>
        </w:rPr>
        <w:t xml:space="preserve">he Master issued authority </w:t>
      </w:r>
      <w:r w:rsidR="003658D7">
        <w:rPr>
          <w:rFonts w:ascii="Times New Roman" w:hAnsi="Times New Roman" w:cs="Times New Roman"/>
          <w:sz w:val="24"/>
          <w:szCs w:val="24"/>
        </w:rPr>
        <w:t xml:space="preserve">in terms of s 120 of the Administration of Estates Act [Chapter 6:01] </w:t>
      </w:r>
      <w:r w:rsidR="00CD05D4">
        <w:rPr>
          <w:rFonts w:ascii="Times New Roman" w:hAnsi="Times New Roman" w:cs="Times New Roman"/>
          <w:sz w:val="24"/>
          <w:szCs w:val="24"/>
        </w:rPr>
        <w:t>for the s</w:t>
      </w:r>
      <w:r w:rsidR="00D76124">
        <w:rPr>
          <w:rFonts w:ascii="Times New Roman" w:hAnsi="Times New Roman" w:cs="Times New Roman"/>
          <w:sz w:val="24"/>
          <w:szCs w:val="24"/>
        </w:rPr>
        <w:t>ale</w:t>
      </w:r>
      <w:r w:rsidR="00CD05D4">
        <w:rPr>
          <w:rFonts w:ascii="Times New Roman" w:hAnsi="Times New Roman" w:cs="Times New Roman"/>
          <w:sz w:val="24"/>
          <w:szCs w:val="24"/>
        </w:rPr>
        <w:t xml:space="preserve"> of the property</w:t>
      </w:r>
      <w:r w:rsidR="00DF5870">
        <w:rPr>
          <w:rFonts w:ascii="Times New Roman" w:hAnsi="Times New Roman" w:cs="Times New Roman"/>
          <w:sz w:val="24"/>
          <w:szCs w:val="24"/>
        </w:rPr>
        <w:t xml:space="preserve"> to Chitura</w:t>
      </w:r>
      <w:r w:rsidR="00CD05D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658D7">
        <w:rPr>
          <w:rFonts w:ascii="Times New Roman" w:hAnsi="Times New Roman" w:cs="Times New Roman"/>
          <w:sz w:val="24"/>
          <w:szCs w:val="24"/>
        </w:rPr>
        <w:t xml:space="preserve">that </w:t>
      </w:r>
      <w:r>
        <w:rPr>
          <w:rFonts w:ascii="Times New Roman" w:hAnsi="Times New Roman" w:cs="Times New Roman"/>
          <w:sz w:val="24"/>
          <w:szCs w:val="24"/>
        </w:rPr>
        <w:lastRenderedPageBreak/>
        <w:t>the plaintiffs are no</w:t>
      </w:r>
      <w:r w:rsidR="003658D7">
        <w:rPr>
          <w:rFonts w:ascii="Times New Roman" w:hAnsi="Times New Roman" w:cs="Times New Roman"/>
          <w:sz w:val="24"/>
          <w:szCs w:val="24"/>
        </w:rPr>
        <w:t>t</w:t>
      </w:r>
      <w:r>
        <w:rPr>
          <w:rFonts w:ascii="Times New Roman" w:hAnsi="Times New Roman" w:cs="Times New Roman"/>
          <w:sz w:val="24"/>
          <w:szCs w:val="24"/>
        </w:rPr>
        <w:t xml:space="preserve"> beneficiaries in the estate of Dennis. In his plea Chitura</w:t>
      </w:r>
      <w:r w:rsidR="00CD05D4">
        <w:rPr>
          <w:rFonts w:ascii="Times New Roman" w:hAnsi="Times New Roman" w:cs="Times New Roman"/>
          <w:sz w:val="24"/>
          <w:szCs w:val="24"/>
        </w:rPr>
        <w:t xml:space="preserve"> </w:t>
      </w:r>
      <w:r>
        <w:rPr>
          <w:rFonts w:ascii="Times New Roman" w:hAnsi="Times New Roman" w:cs="Times New Roman"/>
          <w:sz w:val="24"/>
          <w:szCs w:val="24"/>
        </w:rPr>
        <w:t xml:space="preserve">avers </w:t>
      </w:r>
      <w:r w:rsidR="00D76124">
        <w:rPr>
          <w:rFonts w:ascii="Times New Roman" w:hAnsi="Times New Roman" w:cs="Times New Roman"/>
          <w:sz w:val="24"/>
          <w:szCs w:val="24"/>
        </w:rPr>
        <w:t xml:space="preserve">that the agreement he sealed with </w:t>
      </w:r>
      <w:r>
        <w:rPr>
          <w:rFonts w:ascii="Times New Roman" w:hAnsi="Times New Roman" w:cs="Times New Roman"/>
          <w:sz w:val="24"/>
          <w:szCs w:val="24"/>
        </w:rPr>
        <w:t>Mushore</w:t>
      </w:r>
      <w:r w:rsidR="00D76124">
        <w:rPr>
          <w:rFonts w:ascii="Times New Roman" w:hAnsi="Times New Roman" w:cs="Times New Roman"/>
          <w:sz w:val="24"/>
          <w:szCs w:val="24"/>
        </w:rPr>
        <w:t xml:space="preserve"> </w:t>
      </w:r>
      <w:r w:rsidR="000A38A6">
        <w:rPr>
          <w:rFonts w:ascii="Times New Roman" w:hAnsi="Times New Roman" w:cs="Times New Roman"/>
          <w:sz w:val="24"/>
          <w:szCs w:val="24"/>
        </w:rPr>
        <w:t>was</w:t>
      </w:r>
      <w:r w:rsidR="00D76124">
        <w:rPr>
          <w:rFonts w:ascii="Times New Roman" w:hAnsi="Times New Roman" w:cs="Times New Roman"/>
          <w:sz w:val="24"/>
          <w:szCs w:val="24"/>
        </w:rPr>
        <w:t xml:space="preserve"> lawful. Her avers that he is an innocent purchaser who observed the requirements of the law in the purchaser of the </w:t>
      </w:r>
      <w:r w:rsidR="000A38A6">
        <w:rPr>
          <w:rFonts w:ascii="Times New Roman" w:hAnsi="Times New Roman" w:cs="Times New Roman"/>
          <w:sz w:val="24"/>
          <w:szCs w:val="24"/>
        </w:rPr>
        <w:t xml:space="preserve">disputed </w:t>
      </w:r>
      <w:r w:rsidR="00D76124">
        <w:rPr>
          <w:rFonts w:ascii="Times New Roman" w:hAnsi="Times New Roman" w:cs="Times New Roman"/>
          <w:sz w:val="24"/>
          <w:szCs w:val="24"/>
        </w:rPr>
        <w:t xml:space="preserve">property. </w:t>
      </w:r>
    </w:p>
    <w:p w14:paraId="4999C4B4" w14:textId="77777777" w:rsidR="0023011E" w:rsidRDefault="0023011E" w:rsidP="005339B1">
      <w:pPr>
        <w:spacing w:line="360" w:lineRule="auto"/>
        <w:contextualSpacing/>
        <w:jc w:val="both"/>
        <w:rPr>
          <w:rFonts w:ascii="Times New Roman" w:hAnsi="Times New Roman" w:cs="Times New Roman"/>
          <w:sz w:val="24"/>
          <w:szCs w:val="24"/>
        </w:rPr>
      </w:pPr>
    </w:p>
    <w:p w14:paraId="1F36E565" w14:textId="6E89D688" w:rsidR="000A38A6" w:rsidRDefault="00D76124" w:rsidP="001E0A9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6</w:t>
      </w:r>
      <w:r>
        <w:rPr>
          <w:rFonts w:ascii="Times New Roman" w:hAnsi="Times New Roman" w:cs="Times New Roman"/>
          <w:sz w:val="24"/>
          <w:szCs w:val="24"/>
        </w:rPr>
        <w:t xml:space="preserve">] </w:t>
      </w:r>
      <w:r w:rsidR="0023011E">
        <w:rPr>
          <w:rFonts w:ascii="Times New Roman" w:hAnsi="Times New Roman" w:cs="Times New Roman"/>
          <w:sz w:val="24"/>
          <w:szCs w:val="24"/>
        </w:rPr>
        <w:t xml:space="preserve">In </w:t>
      </w:r>
      <w:r w:rsidR="000A38A6">
        <w:rPr>
          <w:rFonts w:ascii="Times New Roman" w:hAnsi="Times New Roman" w:cs="Times New Roman"/>
          <w:sz w:val="24"/>
          <w:szCs w:val="24"/>
        </w:rPr>
        <w:t>their</w:t>
      </w:r>
      <w:r w:rsidR="0023011E">
        <w:rPr>
          <w:rFonts w:ascii="Times New Roman" w:hAnsi="Times New Roman" w:cs="Times New Roman"/>
          <w:sz w:val="24"/>
          <w:szCs w:val="24"/>
        </w:rPr>
        <w:t xml:space="preserve"> replication</w:t>
      </w:r>
      <w:r>
        <w:rPr>
          <w:rFonts w:ascii="Times New Roman" w:hAnsi="Times New Roman" w:cs="Times New Roman"/>
          <w:sz w:val="24"/>
          <w:szCs w:val="24"/>
        </w:rPr>
        <w:t xml:space="preserve"> in the main action</w:t>
      </w:r>
      <w:r w:rsidR="0023011E">
        <w:rPr>
          <w:rFonts w:ascii="Times New Roman" w:hAnsi="Times New Roman" w:cs="Times New Roman"/>
          <w:sz w:val="24"/>
          <w:szCs w:val="24"/>
        </w:rPr>
        <w:t xml:space="preserve"> the plaintiffs aver that</w:t>
      </w:r>
      <w:r>
        <w:rPr>
          <w:rFonts w:ascii="Times New Roman" w:hAnsi="Times New Roman" w:cs="Times New Roman"/>
          <w:sz w:val="24"/>
          <w:szCs w:val="24"/>
        </w:rPr>
        <w:t xml:space="preserve"> th</w:t>
      </w:r>
      <w:r w:rsidR="000A38A6">
        <w:rPr>
          <w:rFonts w:ascii="Times New Roman" w:hAnsi="Times New Roman" w:cs="Times New Roman"/>
          <w:sz w:val="24"/>
          <w:szCs w:val="24"/>
        </w:rPr>
        <w:t>e</w:t>
      </w:r>
      <w:r>
        <w:rPr>
          <w:rFonts w:ascii="Times New Roman" w:hAnsi="Times New Roman" w:cs="Times New Roman"/>
          <w:sz w:val="24"/>
          <w:szCs w:val="24"/>
        </w:rPr>
        <w:t xml:space="preserve"> distribution account for the estate </w:t>
      </w:r>
      <w:r w:rsidR="002922D9">
        <w:rPr>
          <w:rFonts w:ascii="Times New Roman" w:hAnsi="Times New Roman" w:cs="Times New Roman"/>
          <w:sz w:val="24"/>
          <w:szCs w:val="24"/>
        </w:rPr>
        <w:t xml:space="preserve">late </w:t>
      </w:r>
      <w:r>
        <w:rPr>
          <w:rFonts w:ascii="Times New Roman" w:hAnsi="Times New Roman" w:cs="Times New Roman"/>
          <w:sz w:val="24"/>
          <w:szCs w:val="24"/>
        </w:rPr>
        <w:t>Joyce was done fraudulently by Den</w:t>
      </w:r>
      <w:r w:rsidR="002922D9">
        <w:rPr>
          <w:rFonts w:ascii="Times New Roman" w:hAnsi="Times New Roman" w:cs="Times New Roman"/>
          <w:sz w:val="24"/>
          <w:szCs w:val="24"/>
        </w:rPr>
        <w:t>n</w:t>
      </w:r>
      <w:r>
        <w:rPr>
          <w:rFonts w:ascii="Times New Roman" w:hAnsi="Times New Roman" w:cs="Times New Roman"/>
          <w:sz w:val="24"/>
          <w:szCs w:val="24"/>
        </w:rPr>
        <w:t xml:space="preserve">is and he awarded the </w:t>
      </w:r>
      <w:r w:rsidR="000A38A6">
        <w:rPr>
          <w:rFonts w:ascii="Times New Roman" w:hAnsi="Times New Roman" w:cs="Times New Roman"/>
          <w:sz w:val="24"/>
          <w:szCs w:val="24"/>
        </w:rPr>
        <w:t xml:space="preserve">disputed </w:t>
      </w:r>
      <w:r>
        <w:rPr>
          <w:rFonts w:ascii="Times New Roman" w:hAnsi="Times New Roman" w:cs="Times New Roman"/>
          <w:sz w:val="24"/>
          <w:szCs w:val="24"/>
        </w:rPr>
        <w:t>property to himself</w:t>
      </w:r>
      <w:r w:rsidR="003F3292">
        <w:rPr>
          <w:rFonts w:ascii="Times New Roman" w:hAnsi="Times New Roman" w:cs="Times New Roman"/>
          <w:sz w:val="24"/>
          <w:szCs w:val="24"/>
        </w:rPr>
        <w:t xml:space="preserve">, to the exclusion of the other children of Joyce. </w:t>
      </w:r>
      <w:r>
        <w:rPr>
          <w:rFonts w:ascii="Times New Roman" w:hAnsi="Times New Roman" w:cs="Times New Roman"/>
          <w:sz w:val="24"/>
          <w:szCs w:val="24"/>
        </w:rPr>
        <w:t xml:space="preserve">He was not the only beneficiary to the estate of Joyce. </w:t>
      </w:r>
      <w:r w:rsidR="000A38A6">
        <w:rPr>
          <w:rFonts w:ascii="Times New Roman" w:hAnsi="Times New Roman" w:cs="Times New Roman"/>
          <w:sz w:val="24"/>
          <w:szCs w:val="24"/>
        </w:rPr>
        <w:t>Therefore, Mushore</w:t>
      </w:r>
      <w:r>
        <w:rPr>
          <w:rFonts w:ascii="Times New Roman" w:hAnsi="Times New Roman" w:cs="Times New Roman"/>
          <w:sz w:val="24"/>
          <w:szCs w:val="24"/>
        </w:rPr>
        <w:t xml:space="preserve"> had no right to sell the property as it did not form part of the estate of Denis. It is averred that the Master did not apply his mind </w:t>
      </w:r>
      <w:r w:rsidR="000A38A6">
        <w:rPr>
          <w:rFonts w:ascii="Times New Roman" w:hAnsi="Times New Roman" w:cs="Times New Roman"/>
          <w:sz w:val="24"/>
          <w:szCs w:val="24"/>
        </w:rPr>
        <w:t>when</w:t>
      </w:r>
      <w:r w:rsidR="00B52957">
        <w:rPr>
          <w:rFonts w:ascii="Times New Roman" w:hAnsi="Times New Roman" w:cs="Times New Roman"/>
          <w:sz w:val="24"/>
          <w:szCs w:val="24"/>
        </w:rPr>
        <w:t xml:space="preserve"> he issued the s 120 authority. It is averred further that the s 120 authority is not genuine </w:t>
      </w:r>
      <w:r w:rsidR="000A38A6">
        <w:rPr>
          <w:rFonts w:ascii="Times New Roman" w:hAnsi="Times New Roman" w:cs="Times New Roman"/>
          <w:sz w:val="24"/>
          <w:szCs w:val="24"/>
        </w:rPr>
        <w:t>as it was obtained</w:t>
      </w:r>
      <w:r w:rsidR="00B52957">
        <w:rPr>
          <w:rFonts w:ascii="Times New Roman" w:hAnsi="Times New Roman" w:cs="Times New Roman"/>
          <w:sz w:val="24"/>
          <w:szCs w:val="24"/>
        </w:rPr>
        <w:t xml:space="preserve"> through fraud. </w:t>
      </w:r>
    </w:p>
    <w:p w14:paraId="2C87BC9D" w14:textId="77777777" w:rsidR="000A38A6" w:rsidRDefault="000A38A6" w:rsidP="001E0A95">
      <w:pPr>
        <w:spacing w:line="360" w:lineRule="auto"/>
        <w:contextualSpacing/>
        <w:jc w:val="both"/>
        <w:rPr>
          <w:rFonts w:ascii="Times New Roman" w:hAnsi="Times New Roman" w:cs="Times New Roman"/>
          <w:sz w:val="24"/>
          <w:szCs w:val="24"/>
        </w:rPr>
      </w:pPr>
    </w:p>
    <w:p w14:paraId="3B3C7FA9" w14:textId="7D0FBBAC" w:rsidR="00355734" w:rsidRDefault="000A38A6" w:rsidP="001E0A9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7</w:t>
      </w:r>
      <w:r>
        <w:rPr>
          <w:rFonts w:ascii="Times New Roman" w:hAnsi="Times New Roman" w:cs="Times New Roman"/>
          <w:sz w:val="24"/>
          <w:szCs w:val="24"/>
        </w:rPr>
        <w:t xml:space="preserve">] </w:t>
      </w:r>
      <w:r w:rsidRPr="00421D7C">
        <w:rPr>
          <w:rFonts w:ascii="Times New Roman" w:hAnsi="Times New Roman" w:cs="Times New Roman"/>
          <w:sz w:val="24"/>
          <w:szCs w:val="24"/>
        </w:rPr>
        <w:t xml:space="preserve">The </w:t>
      </w:r>
      <w:r>
        <w:rPr>
          <w:rFonts w:ascii="Times New Roman" w:hAnsi="Times New Roman" w:cs="Times New Roman"/>
          <w:sz w:val="24"/>
          <w:szCs w:val="24"/>
        </w:rPr>
        <w:t xml:space="preserve">defendants </w:t>
      </w:r>
      <w:r w:rsidR="005212AC">
        <w:rPr>
          <w:rFonts w:ascii="Times New Roman" w:hAnsi="Times New Roman" w:cs="Times New Roman"/>
          <w:sz w:val="24"/>
          <w:szCs w:val="24"/>
        </w:rPr>
        <w:t>(</w:t>
      </w:r>
      <w:r>
        <w:rPr>
          <w:rFonts w:ascii="Times New Roman" w:hAnsi="Times New Roman" w:cs="Times New Roman"/>
          <w:sz w:val="24"/>
          <w:szCs w:val="24"/>
        </w:rPr>
        <w:t>applicants herein</w:t>
      </w:r>
      <w:r w:rsidR="005212AC">
        <w:rPr>
          <w:rFonts w:ascii="Times New Roman" w:hAnsi="Times New Roman" w:cs="Times New Roman"/>
          <w:sz w:val="24"/>
          <w:szCs w:val="24"/>
        </w:rPr>
        <w:t xml:space="preserve">) </w:t>
      </w:r>
      <w:r w:rsidRPr="00421D7C">
        <w:rPr>
          <w:rFonts w:ascii="Times New Roman" w:hAnsi="Times New Roman" w:cs="Times New Roman"/>
          <w:sz w:val="24"/>
          <w:szCs w:val="24"/>
        </w:rPr>
        <w:t>seek that the main action</w:t>
      </w:r>
      <w:r w:rsidR="002922D9">
        <w:rPr>
          <w:rFonts w:ascii="Times New Roman" w:hAnsi="Times New Roman" w:cs="Times New Roman"/>
          <w:sz w:val="24"/>
          <w:szCs w:val="24"/>
        </w:rPr>
        <w:t xml:space="preserve"> </w:t>
      </w:r>
      <w:r w:rsidRPr="00421D7C">
        <w:rPr>
          <w:rFonts w:ascii="Times New Roman" w:hAnsi="Times New Roman" w:cs="Times New Roman"/>
          <w:sz w:val="24"/>
          <w:szCs w:val="24"/>
        </w:rPr>
        <w:t xml:space="preserve">be dismissed on the grounds that it is frivolous and vexatious. </w:t>
      </w:r>
      <w:r w:rsidRPr="0000199D">
        <w:rPr>
          <w:rFonts w:ascii="Times New Roman" w:hAnsi="Times New Roman" w:cs="Times New Roman"/>
          <w:sz w:val="24"/>
          <w:szCs w:val="24"/>
        </w:rPr>
        <w:t xml:space="preserve">It is against this background that </w:t>
      </w:r>
      <w:r>
        <w:rPr>
          <w:rFonts w:ascii="Times New Roman" w:hAnsi="Times New Roman" w:cs="Times New Roman"/>
          <w:sz w:val="24"/>
          <w:szCs w:val="24"/>
        </w:rPr>
        <w:t>they</w:t>
      </w:r>
      <w:r w:rsidRPr="0000199D">
        <w:rPr>
          <w:rFonts w:ascii="Times New Roman" w:hAnsi="Times New Roman" w:cs="Times New Roman"/>
          <w:sz w:val="24"/>
          <w:szCs w:val="24"/>
        </w:rPr>
        <w:t xml:space="preserve"> launched this applicatio</w:t>
      </w:r>
      <w:r w:rsidR="003658D7">
        <w:rPr>
          <w:rFonts w:ascii="Times New Roman" w:hAnsi="Times New Roman" w:cs="Times New Roman"/>
          <w:sz w:val="24"/>
          <w:szCs w:val="24"/>
        </w:rPr>
        <w:t xml:space="preserve">n. </w:t>
      </w:r>
    </w:p>
    <w:p w14:paraId="47CC3469" w14:textId="77777777" w:rsidR="000A38A6" w:rsidRDefault="000A38A6" w:rsidP="001E0A95">
      <w:pPr>
        <w:spacing w:line="360" w:lineRule="auto"/>
        <w:contextualSpacing/>
        <w:jc w:val="both"/>
        <w:rPr>
          <w:rFonts w:ascii="Times New Roman" w:hAnsi="Times New Roman" w:cs="Times New Roman"/>
          <w:sz w:val="24"/>
          <w:szCs w:val="24"/>
        </w:rPr>
      </w:pPr>
    </w:p>
    <w:p w14:paraId="5E181047" w14:textId="75CB31ED" w:rsidR="00355734" w:rsidRDefault="00355734" w:rsidP="001E0A95">
      <w:pPr>
        <w:spacing w:line="360" w:lineRule="auto"/>
        <w:contextualSpacing/>
        <w:jc w:val="both"/>
        <w:rPr>
          <w:rFonts w:ascii="Times New Roman" w:hAnsi="Times New Roman" w:cs="Times New Roman"/>
          <w:b/>
          <w:bCs/>
          <w:i/>
          <w:iCs/>
          <w:sz w:val="24"/>
          <w:szCs w:val="24"/>
        </w:rPr>
      </w:pPr>
      <w:r w:rsidRPr="00355734">
        <w:rPr>
          <w:rFonts w:ascii="Times New Roman" w:hAnsi="Times New Roman" w:cs="Times New Roman"/>
          <w:b/>
          <w:bCs/>
          <w:i/>
          <w:iCs/>
          <w:sz w:val="24"/>
          <w:szCs w:val="24"/>
        </w:rPr>
        <w:t>Points in limine</w:t>
      </w:r>
    </w:p>
    <w:p w14:paraId="3ED5D038" w14:textId="77777777" w:rsidR="00355734" w:rsidRPr="00355734" w:rsidRDefault="00355734" w:rsidP="001E0A95">
      <w:pPr>
        <w:spacing w:line="360" w:lineRule="auto"/>
        <w:contextualSpacing/>
        <w:jc w:val="both"/>
        <w:rPr>
          <w:rFonts w:ascii="Times New Roman" w:hAnsi="Times New Roman" w:cs="Times New Roman"/>
          <w:b/>
          <w:bCs/>
          <w:i/>
          <w:iCs/>
          <w:sz w:val="24"/>
          <w:szCs w:val="24"/>
        </w:rPr>
      </w:pPr>
    </w:p>
    <w:p w14:paraId="013A5057" w14:textId="3061F5FE" w:rsidR="00355734" w:rsidRDefault="00355734" w:rsidP="003557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8</w:t>
      </w:r>
      <w:r>
        <w:rPr>
          <w:rFonts w:ascii="Times New Roman" w:hAnsi="Times New Roman" w:cs="Times New Roman"/>
          <w:sz w:val="24"/>
          <w:szCs w:val="24"/>
        </w:rPr>
        <w:t xml:space="preserve">] </w:t>
      </w:r>
      <w:r w:rsidR="000A38A6">
        <w:rPr>
          <w:rFonts w:ascii="Times New Roman" w:hAnsi="Times New Roman" w:cs="Times New Roman"/>
          <w:sz w:val="24"/>
          <w:szCs w:val="24"/>
        </w:rPr>
        <w:t xml:space="preserve">In this application the </w:t>
      </w:r>
      <w:r w:rsidR="00F93CA5">
        <w:rPr>
          <w:rFonts w:ascii="Times New Roman" w:hAnsi="Times New Roman" w:cs="Times New Roman"/>
          <w:sz w:val="24"/>
          <w:szCs w:val="24"/>
        </w:rPr>
        <w:t>applicants</w:t>
      </w:r>
      <w:r w:rsidRPr="009015D0">
        <w:rPr>
          <w:rFonts w:ascii="Times New Roman" w:hAnsi="Times New Roman" w:cs="Times New Roman"/>
          <w:sz w:val="24"/>
          <w:szCs w:val="24"/>
        </w:rPr>
        <w:t xml:space="preserve"> attacked the</w:t>
      </w:r>
      <w:r w:rsidRPr="009015D0">
        <w:rPr>
          <w:rFonts w:ascii="Times New Roman" w:hAnsi="Times New Roman" w:cs="Times New Roman"/>
          <w:i/>
          <w:iCs/>
          <w:sz w:val="24"/>
          <w:szCs w:val="24"/>
        </w:rPr>
        <w:t xml:space="preserve"> locus standi</w:t>
      </w:r>
      <w:r w:rsidRPr="009015D0">
        <w:rPr>
          <w:rFonts w:ascii="Times New Roman" w:hAnsi="Times New Roman" w:cs="Times New Roman"/>
          <w:sz w:val="24"/>
          <w:szCs w:val="24"/>
        </w:rPr>
        <w:t xml:space="preserve"> of the </w:t>
      </w:r>
      <w:r w:rsidR="00F93CA5">
        <w:rPr>
          <w:rFonts w:ascii="Times New Roman" w:hAnsi="Times New Roman" w:cs="Times New Roman"/>
          <w:sz w:val="24"/>
          <w:szCs w:val="24"/>
        </w:rPr>
        <w:t>respondents</w:t>
      </w:r>
      <w:r w:rsidRPr="009015D0">
        <w:rPr>
          <w:rFonts w:ascii="Times New Roman" w:hAnsi="Times New Roman" w:cs="Times New Roman"/>
          <w:sz w:val="24"/>
          <w:szCs w:val="24"/>
        </w:rPr>
        <w:t xml:space="preserve"> in the main action, and argued that the claim in the main action has prescribed. </w:t>
      </w:r>
      <w:r w:rsidR="000A38A6">
        <w:rPr>
          <w:rFonts w:ascii="Times New Roman" w:hAnsi="Times New Roman" w:cs="Times New Roman"/>
          <w:sz w:val="24"/>
          <w:szCs w:val="24"/>
        </w:rPr>
        <w:t>I</w:t>
      </w:r>
      <w:r>
        <w:rPr>
          <w:rFonts w:ascii="Times New Roman" w:hAnsi="Times New Roman" w:cs="Times New Roman"/>
          <w:sz w:val="24"/>
          <w:szCs w:val="24"/>
        </w:rPr>
        <w:t xml:space="preserve">t was argued that the </w:t>
      </w:r>
      <w:r w:rsidR="000A38A6">
        <w:rPr>
          <w:rFonts w:ascii="Times New Roman" w:hAnsi="Times New Roman" w:cs="Times New Roman"/>
          <w:sz w:val="24"/>
          <w:szCs w:val="24"/>
        </w:rPr>
        <w:t xml:space="preserve">main </w:t>
      </w:r>
      <w:r>
        <w:rPr>
          <w:rFonts w:ascii="Times New Roman" w:hAnsi="Times New Roman" w:cs="Times New Roman"/>
          <w:sz w:val="24"/>
          <w:szCs w:val="24"/>
        </w:rPr>
        <w:t xml:space="preserve">action is frivolous and vexatious for the reason that the </w:t>
      </w:r>
      <w:r w:rsidR="00F93CA5">
        <w:rPr>
          <w:rFonts w:ascii="Times New Roman" w:hAnsi="Times New Roman" w:cs="Times New Roman"/>
          <w:sz w:val="24"/>
          <w:szCs w:val="24"/>
        </w:rPr>
        <w:t>respondents</w:t>
      </w:r>
      <w:r>
        <w:rPr>
          <w:rFonts w:ascii="Times New Roman" w:hAnsi="Times New Roman" w:cs="Times New Roman"/>
          <w:sz w:val="24"/>
          <w:szCs w:val="24"/>
        </w:rPr>
        <w:t xml:space="preserve"> therein lack </w:t>
      </w:r>
      <w:r w:rsidRPr="008460D3">
        <w:rPr>
          <w:rFonts w:ascii="Times New Roman" w:hAnsi="Times New Roman" w:cs="Times New Roman"/>
          <w:i/>
          <w:iCs/>
          <w:sz w:val="24"/>
          <w:szCs w:val="24"/>
        </w:rPr>
        <w:t>locus standi</w:t>
      </w:r>
      <w:r>
        <w:rPr>
          <w:rFonts w:ascii="Times New Roman" w:hAnsi="Times New Roman" w:cs="Times New Roman"/>
          <w:sz w:val="24"/>
          <w:szCs w:val="24"/>
        </w:rPr>
        <w:t xml:space="preserve"> by virtue of not being beneficiaries to the estate</w:t>
      </w:r>
      <w:r w:rsidR="002922D9">
        <w:rPr>
          <w:rFonts w:ascii="Times New Roman" w:hAnsi="Times New Roman" w:cs="Times New Roman"/>
          <w:sz w:val="24"/>
          <w:szCs w:val="24"/>
        </w:rPr>
        <w:t xml:space="preserve"> of</w:t>
      </w:r>
      <w:r>
        <w:rPr>
          <w:rFonts w:ascii="Times New Roman" w:hAnsi="Times New Roman" w:cs="Times New Roman"/>
          <w:sz w:val="24"/>
          <w:szCs w:val="24"/>
        </w:rPr>
        <w:t xml:space="preserve"> </w:t>
      </w:r>
      <w:r w:rsidR="00F93CA5">
        <w:rPr>
          <w:rFonts w:ascii="Times New Roman" w:hAnsi="Times New Roman" w:cs="Times New Roman"/>
          <w:sz w:val="24"/>
          <w:szCs w:val="24"/>
        </w:rPr>
        <w:t xml:space="preserve">the </w:t>
      </w:r>
      <w:r>
        <w:rPr>
          <w:rFonts w:ascii="Times New Roman" w:hAnsi="Times New Roman" w:cs="Times New Roman"/>
          <w:sz w:val="24"/>
          <w:szCs w:val="24"/>
        </w:rPr>
        <w:t>late Jo</w:t>
      </w:r>
      <w:r w:rsidR="000A38A6">
        <w:rPr>
          <w:rFonts w:ascii="Times New Roman" w:hAnsi="Times New Roman" w:cs="Times New Roman"/>
          <w:sz w:val="24"/>
          <w:szCs w:val="24"/>
        </w:rPr>
        <w:t>y</w:t>
      </w:r>
      <w:r>
        <w:rPr>
          <w:rFonts w:ascii="Times New Roman" w:hAnsi="Times New Roman" w:cs="Times New Roman"/>
          <w:sz w:val="24"/>
          <w:szCs w:val="24"/>
        </w:rPr>
        <w:t>ce. In respect of prescription, it was argued that a claim or challenge against the distribution of esta</w:t>
      </w:r>
      <w:r w:rsidR="00F93CA5">
        <w:rPr>
          <w:rFonts w:ascii="Times New Roman" w:hAnsi="Times New Roman" w:cs="Times New Roman"/>
          <w:sz w:val="24"/>
          <w:szCs w:val="24"/>
        </w:rPr>
        <w:t>te</w:t>
      </w:r>
      <w:r>
        <w:rPr>
          <w:rFonts w:ascii="Times New Roman" w:hAnsi="Times New Roman" w:cs="Times New Roman"/>
          <w:sz w:val="24"/>
          <w:szCs w:val="24"/>
        </w:rPr>
        <w:t xml:space="preserve"> must be brought within three years of the Master’s confirmation. It was submitted that failure to bring a challenge within </w:t>
      </w:r>
      <w:r w:rsidR="000A38A6">
        <w:rPr>
          <w:rFonts w:ascii="Times New Roman" w:hAnsi="Times New Roman" w:cs="Times New Roman"/>
          <w:sz w:val="24"/>
          <w:szCs w:val="24"/>
        </w:rPr>
        <w:t>a</w:t>
      </w:r>
      <w:r>
        <w:rPr>
          <w:rFonts w:ascii="Times New Roman" w:hAnsi="Times New Roman" w:cs="Times New Roman"/>
          <w:sz w:val="24"/>
          <w:szCs w:val="24"/>
        </w:rPr>
        <w:t xml:space="preserve"> three-year time-line, the claim prescribes, and that </w:t>
      </w:r>
      <w:r w:rsidR="00187182">
        <w:rPr>
          <w:rFonts w:ascii="Times New Roman" w:hAnsi="Times New Roman" w:cs="Times New Roman"/>
          <w:sz w:val="24"/>
          <w:szCs w:val="24"/>
        </w:rPr>
        <w:t>in this case the</w:t>
      </w:r>
      <w:r w:rsidR="00F93CA5">
        <w:rPr>
          <w:rFonts w:ascii="Times New Roman" w:hAnsi="Times New Roman" w:cs="Times New Roman"/>
          <w:sz w:val="24"/>
          <w:szCs w:val="24"/>
        </w:rPr>
        <w:t xml:space="preserve"> </w:t>
      </w:r>
      <w:r>
        <w:rPr>
          <w:rFonts w:ascii="Times New Roman" w:hAnsi="Times New Roman" w:cs="Times New Roman"/>
          <w:sz w:val="24"/>
          <w:szCs w:val="24"/>
        </w:rPr>
        <w:t xml:space="preserve">claim in the main action has prescribed. </w:t>
      </w:r>
    </w:p>
    <w:p w14:paraId="7A868633" w14:textId="77777777" w:rsidR="00355734" w:rsidRDefault="00355734" w:rsidP="00355734">
      <w:pPr>
        <w:spacing w:line="360" w:lineRule="auto"/>
        <w:contextualSpacing/>
        <w:jc w:val="both"/>
        <w:rPr>
          <w:rFonts w:ascii="Times New Roman" w:hAnsi="Times New Roman" w:cs="Times New Roman"/>
          <w:sz w:val="24"/>
          <w:szCs w:val="24"/>
        </w:rPr>
      </w:pPr>
    </w:p>
    <w:p w14:paraId="3528D88C" w14:textId="5100688D" w:rsidR="00355734" w:rsidRDefault="00355734" w:rsidP="00355734">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9]</w:t>
      </w:r>
      <w:r w:rsidR="00187182" w:rsidRPr="00187182">
        <w:rPr>
          <w:rFonts w:ascii="Times New Roman" w:hAnsi="Times New Roman" w:cs="Times New Roman"/>
          <w:sz w:val="24"/>
          <w:szCs w:val="24"/>
        </w:rPr>
        <w:t xml:space="preserve"> </w:t>
      </w:r>
      <w:r w:rsidR="00187182">
        <w:rPr>
          <w:rFonts w:ascii="Times New Roman" w:hAnsi="Times New Roman" w:cs="Times New Roman"/>
          <w:sz w:val="24"/>
          <w:szCs w:val="24"/>
        </w:rPr>
        <w:t xml:space="preserve">Mr. </w:t>
      </w:r>
      <w:r w:rsidR="00187182" w:rsidRPr="00187182">
        <w:rPr>
          <w:rFonts w:ascii="Times New Roman" w:hAnsi="Times New Roman" w:cs="Times New Roman"/>
          <w:i/>
          <w:iCs/>
          <w:sz w:val="24"/>
          <w:szCs w:val="24"/>
        </w:rPr>
        <w:t>Ncube</w:t>
      </w:r>
      <w:r w:rsidR="00187182">
        <w:rPr>
          <w:rFonts w:ascii="Times New Roman" w:hAnsi="Times New Roman" w:cs="Times New Roman"/>
          <w:sz w:val="24"/>
          <w:szCs w:val="24"/>
        </w:rPr>
        <w:t xml:space="preserve"> counsel for the plaintiffs argued that in respect of issues of </w:t>
      </w:r>
      <w:r w:rsidR="00187182" w:rsidRPr="00187182">
        <w:rPr>
          <w:rFonts w:ascii="Times New Roman" w:hAnsi="Times New Roman" w:cs="Times New Roman"/>
          <w:i/>
          <w:iCs/>
          <w:sz w:val="24"/>
          <w:szCs w:val="24"/>
        </w:rPr>
        <w:t>locus standi</w:t>
      </w:r>
      <w:r w:rsidR="00187182">
        <w:rPr>
          <w:rFonts w:ascii="Times New Roman" w:hAnsi="Times New Roman" w:cs="Times New Roman"/>
          <w:sz w:val="24"/>
          <w:szCs w:val="24"/>
        </w:rPr>
        <w:t xml:space="preserve"> and prescription the defendants should have filed a special plea in the main action, and not to raise these issues in this application. I agree.</w:t>
      </w:r>
      <w:r>
        <w:rPr>
          <w:rFonts w:ascii="Times New Roman" w:hAnsi="Times New Roman" w:cs="Times New Roman"/>
          <w:sz w:val="24"/>
          <w:szCs w:val="24"/>
        </w:rPr>
        <w:t xml:space="preserve"> </w:t>
      </w:r>
      <w:r w:rsidR="00187182">
        <w:rPr>
          <w:rFonts w:ascii="Times New Roman" w:hAnsi="Times New Roman" w:cs="Times New Roman"/>
          <w:sz w:val="24"/>
          <w:szCs w:val="24"/>
        </w:rPr>
        <w:t>The</w:t>
      </w:r>
      <w:r>
        <w:rPr>
          <w:rFonts w:ascii="Times New Roman" w:hAnsi="Times New Roman" w:cs="Times New Roman"/>
          <w:sz w:val="24"/>
          <w:szCs w:val="24"/>
        </w:rPr>
        <w:t xml:space="preserve"> issues of </w:t>
      </w:r>
      <w:r w:rsidRPr="001F5EBA">
        <w:rPr>
          <w:rFonts w:ascii="Times New Roman" w:hAnsi="Times New Roman" w:cs="Times New Roman"/>
          <w:i/>
          <w:iCs/>
          <w:sz w:val="24"/>
          <w:szCs w:val="24"/>
        </w:rPr>
        <w:t>locus standi</w:t>
      </w:r>
      <w:r>
        <w:rPr>
          <w:rFonts w:ascii="Times New Roman" w:hAnsi="Times New Roman" w:cs="Times New Roman"/>
          <w:sz w:val="24"/>
          <w:szCs w:val="24"/>
        </w:rPr>
        <w:t xml:space="preserve"> and prescription do not arise in this matter, they can only be determined in the main action. In this application the applicant</w:t>
      </w:r>
      <w:r w:rsidR="00187182">
        <w:rPr>
          <w:rFonts w:ascii="Times New Roman" w:hAnsi="Times New Roman" w:cs="Times New Roman"/>
          <w:sz w:val="24"/>
          <w:szCs w:val="24"/>
        </w:rPr>
        <w:t>s</w:t>
      </w:r>
      <w:r>
        <w:rPr>
          <w:rFonts w:ascii="Times New Roman" w:hAnsi="Times New Roman" w:cs="Times New Roman"/>
          <w:sz w:val="24"/>
          <w:szCs w:val="24"/>
        </w:rPr>
        <w:t xml:space="preserve"> must show that the main action is frivolous and vexatious on the merit</w:t>
      </w:r>
      <w:r w:rsidR="00187182">
        <w:rPr>
          <w:rFonts w:ascii="Times New Roman" w:hAnsi="Times New Roman" w:cs="Times New Roman"/>
          <w:sz w:val="24"/>
          <w:szCs w:val="24"/>
        </w:rPr>
        <w:t>s</w:t>
      </w:r>
      <w:r w:rsidRPr="007F7ECE">
        <w:rPr>
          <w:rFonts w:ascii="Times New Roman" w:hAnsi="Times New Roman" w:cs="Times New Roman"/>
          <w:i/>
          <w:iCs/>
          <w:sz w:val="24"/>
          <w:szCs w:val="24"/>
        </w:rPr>
        <w:t xml:space="preserve">. </w:t>
      </w:r>
      <w:r w:rsidR="00187182">
        <w:rPr>
          <w:rFonts w:ascii="Times New Roman" w:hAnsi="Times New Roman" w:cs="Times New Roman"/>
          <w:sz w:val="24"/>
          <w:szCs w:val="24"/>
        </w:rPr>
        <w:t>I</w:t>
      </w:r>
      <w:r>
        <w:rPr>
          <w:rFonts w:ascii="Times New Roman" w:hAnsi="Times New Roman" w:cs="Times New Roman"/>
          <w:sz w:val="24"/>
          <w:szCs w:val="24"/>
        </w:rPr>
        <w:t xml:space="preserve">t is not open to a </w:t>
      </w:r>
      <w:r>
        <w:rPr>
          <w:rFonts w:ascii="Times New Roman" w:hAnsi="Times New Roman" w:cs="Times New Roman"/>
          <w:sz w:val="24"/>
          <w:szCs w:val="24"/>
        </w:rPr>
        <w:lastRenderedPageBreak/>
        <w:t xml:space="preserve">litigant to launch such an application </w:t>
      </w:r>
      <w:r w:rsidR="00187182">
        <w:rPr>
          <w:rFonts w:ascii="Times New Roman" w:hAnsi="Times New Roman" w:cs="Times New Roman"/>
          <w:sz w:val="24"/>
          <w:szCs w:val="24"/>
        </w:rPr>
        <w:t xml:space="preserve">for summary dismissal in terms of r 75 and start to </w:t>
      </w:r>
      <w:r w:rsidR="00F93CA5">
        <w:rPr>
          <w:rFonts w:ascii="Times New Roman" w:hAnsi="Times New Roman" w:cs="Times New Roman"/>
          <w:sz w:val="24"/>
          <w:szCs w:val="24"/>
        </w:rPr>
        <w:t xml:space="preserve">raise special pleas and points </w:t>
      </w:r>
      <w:r w:rsidR="00F93CA5" w:rsidRPr="00F93CA5">
        <w:rPr>
          <w:rFonts w:ascii="Times New Roman" w:hAnsi="Times New Roman" w:cs="Times New Roman"/>
          <w:i/>
          <w:iCs/>
          <w:sz w:val="24"/>
          <w:szCs w:val="24"/>
        </w:rPr>
        <w:t xml:space="preserve">in limine </w:t>
      </w:r>
      <w:r w:rsidR="00F93CA5">
        <w:rPr>
          <w:rFonts w:ascii="Times New Roman" w:hAnsi="Times New Roman" w:cs="Times New Roman"/>
          <w:sz w:val="24"/>
          <w:szCs w:val="24"/>
        </w:rPr>
        <w:t>in attacking the main action.</w:t>
      </w:r>
      <w:r>
        <w:rPr>
          <w:rFonts w:ascii="Times New Roman" w:hAnsi="Times New Roman" w:cs="Times New Roman"/>
          <w:sz w:val="24"/>
          <w:szCs w:val="24"/>
        </w:rPr>
        <w:t xml:space="preserve"> The </w:t>
      </w:r>
      <w:r w:rsidR="00F93CA5">
        <w:rPr>
          <w:rFonts w:ascii="Times New Roman" w:hAnsi="Times New Roman" w:cs="Times New Roman"/>
          <w:sz w:val="24"/>
          <w:szCs w:val="24"/>
        </w:rPr>
        <w:t xml:space="preserve">special pleas and points </w:t>
      </w:r>
      <w:r w:rsidR="00F93CA5" w:rsidRPr="00F93CA5">
        <w:rPr>
          <w:rFonts w:ascii="Times New Roman" w:hAnsi="Times New Roman" w:cs="Times New Roman"/>
          <w:i/>
          <w:iCs/>
          <w:sz w:val="24"/>
          <w:szCs w:val="24"/>
        </w:rPr>
        <w:t xml:space="preserve">in limine </w:t>
      </w:r>
      <w:r>
        <w:rPr>
          <w:rFonts w:ascii="Times New Roman" w:hAnsi="Times New Roman" w:cs="Times New Roman"/>
          <w:sz w:val="24"/>
          <w:szCs w:val="24"/>
        </w:rPr>
        <w:t>must be taken and argued in the main action and be determined therein. Therefore, I cannot determine t</w:t>
      </w:r>
      <w:r w:rsidR="00F93CA5">
        <w:rPr>
          <w:rFonts w:ascii="Times New Roman" w:hAnsi="Times New Roman" w:cs="Times New Roman"/>
          <w:sz w:val="24"/>
          <w:szCs w:val="24"/>
        </w:rPr>
        <w:t xml:space="preserve">he issue of </w:t>
      </w:r>
      <w:r w:rsidR="00F93CA5" w:rsidRPr="00F93CA5">
        <w:rPr>
          <w:rFonts w:ascii="Times New Roman" w:hAnsi="Times New Roman" w:cs="Times New Roman"/>
          <w:i/>
          <w:iCs/>
          <w:sz w:val="24"/>
          <w:szCs w:val="24"/>
        </w:rPr>
        <w:t>locus standi</w:t>
      </w:r>
      <w:r w:rsidR="00F93CA5">
        <w:rPr>
          <w:rFonts w:ascii="Times New Roman" w:hAnsi="Times New Roman" w:cs="Times New Roman"/>
          <w:sz w:val="24"/>
          <w:szCs w:val="24"/>
        </w:rPr>
        <w:t xml:space="preserve"> and prescription</w:t>
      </w:r>
      <w:r>
        <w:rPr>
          <w:rFonts w:ascii="Times New Roman" w:hAnsi="Times New Roman" w:cs="Times New Roman"/>
          <w:sz w:val="24"/>
          <w:szCs w:val="24"/>
        </w:rPr>
        <w:t xml:space="preserve"> in this application. </w:t>
      </w:r>
    </w:p>
    <w:p w14:paraId="633541E4" w14:textId="77777777" w:rsidR="000D2D97" w:rsidRDefault="000D2D97" w:rsidP="00355734">
      <w:pPr>
        <w:spacing w:line="360" w:lineRule="auto"/>
        <w:contextualSpacing/>
        <w:jc w:val="both"/>
        <w:rPr>
          <w:rFonts w:ascii="Times New Roman" w:hAnsi="Times New Roman" w:cs="Times New Roman"/>
          <w:sz w:val="24"/>
          <w:szCs w:val="24"/>
        </w:rPr>
      </w:pPr>
    </w:p>
    <w:p w14:paraId="0949090A" w14:textId="2685375D" w:rsidR="000D2D97" w:rsidRDefault="000D2D97" w:rsidP="000D2D97">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0</w:t>
      </w:r>
      <w:r>
        <w:rPr>
          <w:rFonts w:ascii="Times New Roman" w:hAnsi="Times New Roman" w:cs="Times New Roman"/>
          <w:sz w:val="24"/>
          <w:szCs w:val="24"/>
        </w:rPr>
        <w:t xml:space="preserve">] At the commencement of the hearing, Mr. </w:t>
      </w:r>
      <w:r w:rsidRPr="00421D7C">
        <w:rPr>
          <w:rFonts w:ascii="Times New Roman" w:hAnsi="Times New Roman" w:cs="Times New Roman"/>
          <w:i/>
          <w:iCs/>
          <w:sz w:val="24"/>
          <w:szCs w:val="24"/>
        </w:rPr>
        <w:t>Siziba</w:t>
      </w:r>
      <w:r>
        <w:rPr>
          <w:rFonts w:ascii="Times New Roman" w:hAnsi="Times New Roman" w:cs="Times New Roman"/>
          <w:sz w:val="24"/>
          <w:szCs w:val="24"/>
        </w:rPr>
        <w:t xml:space="preserve"> counsel for the defendants submitted that it was only </w:t>
      </w:r>
      <w:r w:rsidR="00FC1D81">
        <w:rPr>
          <w:rFonts w:ascii="Times New Roman" w:hAnsi="Times New Roman" w:cs="Times New Roman"/>
          <w:sz w:val="24"/>
          <w:szCs w:val="24"/>
        </w:rPr>
        <w:t>Portia</w:t>
      </w:r>
      <w:r>
        <w:rPr>
          <w:rFonts w:ascii="Times New Roman" w:hAnsi="Times New Roman" w:cs="Times New Roman"/>
          <w:sz w:val="24"/>
          <w:szCs w:val="24"/>
        </w:rPr>
        <w:t xml:space="preserve"> who filed </w:t>
      </w:r>
      <w:r w:rsidR="00FC1D81">
        <w:rPr>
          <w:rFonts w:ascii="Times New Roman" w:hAnsi="Times New Roman" w:cs="Times New Roman"/>
          <w:sz w:val="24"/>
          <w:szCs w:val="24"/>
        </w:rPr>
        <w:t xml:space="preserve">a valid notice of opposition. Never and Lucia </w:t>
      </w:r>
      <w:r>
        <w:rPr>
          <w:rFonts w:ascii="Times New Roman" w:hAnsi="Times New Roman" w:cs="Times New Roman"/>
          <w:sz w:val="24"/>
          <w:szCs w:val="24"/>
        </w:rPr>
        <w:t xml:space="preserve">did not file opposing affidavits, and counsel contended that they are barred. I </w:t>
      </w:r>
      <w:r w:rsidR="007E2322">
        <w:rPr>
          <w:rFonts w:ascii="Times New Roman" w:hAnsi="Times New Roman" w:cs="Times New Roman"/>
          <w:sz w:val="24"/>
          <w:szCs w:val="24"/>
        </w:rPr>
        <w:t>agree</w:t>
      </w:r>
      <w:r w:rsidRPr="005339B1">
        <w:rPr>
          <w:rFonts w:ascii="Times New Roman" w:hAnsi="Times New Roman" w:cs="Times New Roman"/>
          <w:sz w:val="24"/>
          <w:szCs w:val="24"/>
        </w:rPr>
        <w:t xml:space="preserve">. </w:t>
      </w:r>
      <w:r w:rsidR="007E2322">
        <w:rPr>
          <w:rFonts w:ascii="Times New Roman" w:hAnsi="Times New Roman" w:cs="Times New Roman"/>
          <w:sz w:val="24"/>
          <w:szCs w:val="24"/>
        </w:rPr>
        <w:t>It is a peremptory requirement of the rules that</w:t>
      </w:r>
      <w:r w:rsidRPr="005339B1">
        <w:rPr>
          <w:rFonts w:ascii="Times New Roman" w:hAnsi="Times New Roman" w:cs="Times New Roman"/>
          <w:sz w:val="24"/>
          <w:szCs w:val="24"/>
        </w:rPr>
        <w:t xml:space="preserve"> notice of opposition must be filed together with one or more opposing affidavits. Without an opposing affidavit, there </w:t>
      </w:r>
      <w:r w:rsidR="00FC1D81">
        <w:rPr>
          <w:rFonts w:ascii="Times New Roman" w:hAnsi="Times New Roman" w:cs="Times New Roman"/>
          <w:sz w:val="24"/>
          <w:szCs w:val="24"/>
        </w:rPr>
        <w:t>would</w:t>
      </w:r>
      <w:r w:rsidRPr="005339B1">
        <w:rPr>
          <w:rFonts w:ascii="Times New Roman" w:hAnsi="Times New Roman" w:cs="Times New Roman"/>
          <w:sz w:val="24"/>
          <w:szCs w:val="24"/>
        </w:rPr>
        <w:t xml:space="preserve"> be no </w:t>
      </w:r>
      <w:r>
        <w:rPr>
          <w:rFonts w:ascii="Times New Roman" w:hAnsi="Times New Roman" w:cs="Times New Roman"/>
          <w:sz w:val="24"/>
          <w:szCs w:val="24"/>
        </w:rPr>
        <w:t xml:space="preserve">valid </w:t>
      </w:r>
      <w:r w:rsidRPr="005339B1">
        <w:rPr>
          <w:rFonts w:ascii="Times New Roman" w:hAnsi="Times New Roman" w:cs="Times New Roman"/>
          <w:sz w:val="24"/>
          <w:szCs w:val="24"/>
        </w:rPr>
        <w:t>oppositio</w:t>
      </w:r>
      <w:r w:rsidR="00FC1D81">
        <w:rPr>
          <w:rFonts w:ascii="Times New Roman" w:hAnsi="Times New Roman" w:cs="Times New Roman"/>
          <w:sz w:val="24"/>
          <w:szCs w:val="24"/>
        </w:rPr>
        <w:t>n</w:t>
      </w:r>
      <w:r w:rsidRPr="005339B1">
        <w:rPr>
          <w:rFonts w:ascii="Times New Roman" w:hAnsi="Times New Roman" w:cs="Times New Roman"/>
          <w:sz w:val="24"/>
          <w:szCs w:val="24"/>
        </w:rPr>
        <w:t>. A respondent who has failed t</w:t>
      </w:r>
      <w:r w:rsidR="007E2322">
        <w:rPr>
          <w:rFonts w:ascii="Times New Roman" w:hAnsi="Times New Roman" w:cs="Times New Roman"/>
          <w:sz w:val="24"/>
          <w:szCs w:val="24"/>
        </w:rPr>
        <w:t>o file a valid notice of opposition</w:t>
      </w:r>
      <w:r w:rsidRPr="005339B1">
        <w:rPr>
          <w:rFonts w:ascii="Times New Roman" w:hAnsi="Times New Roman" w:cs="Times New Roman"/>
          <w:sz w:val="24"/>
          <w:szCs w:val="24"/>
        </w:rPr>
        <w:t xml:space="preserve"> in terms </w:t>
      </w:r>
      <w:r>
        <w:rPr>
          <w:rFonts w:ascii="Times New Roman" w:hAnsi="Times New Roman" w:cs="Times New Roman"/>
          <w:sz w:val="24"/>
          <w:szCs w:val="24"/>
        </w:rPr>
        <w:t xml:space="preserve">of the rules </w:t>
      </w:r>
      <w:r w:rsidRPr="005339B1">
        <w:rPr>
          <w:rFonts w:ascii="Times New Roman" w:hAnsi="Times New Roman" w:cs="Times New Roman"/>
          <w:sz w:val="24"/>
          <w:szCs w:val="24"/>
        </w:rPr>
        <w:t>shall be barred.</w:t>
      </w:r>
      <w:r>
        <w:rPr>
          <w:rFonts w:ascii="Times New Roman" w:hAnsi="Times New Roman" w:cs="Times New Roman"/>
          <w:sz w:val="24"/>
          <w:szCs w:val="24"/>
        </w:rPr>
        <w:t xml:space="preserve"> In the circumstances, </w:t>
      </w:r>
      <w:r w:rsidR="00FC1D81">
        <w:rPr>
          <w:rFonts w:ascii="Times New Roman" w:hAnsi="Times New Roman" w:cs="Times New Roman"/>
          <w:sz w:val="24"/>
          <w:szCs w:val="24"/>
        </w:rPr>
        <w:t>Never and Lucia</w:t>
      </w:r>
      <w:r w:rsidR="007E2322">
        <w:rPr>
          <w:rFonts w:ascii="Times New Roman" w:hAnsi="Times New Roman" w:cs="Times New Roman"/>
          <w:sz w:val="24"/>
          <w:szCs w:val="24"/>
        </w:rPr>
        <w:t xml:space="preserve"> </w:t>
      </w:r>
      <w:r>
        <w:rPr>
          <w:rFonts w:ascii="Times New Roman" w:hAnsi="Times New Roman" w:cs="Times New Roman"/>
          <w:sz w:val="24"/>
          <w:szCs w:val="24"/>
        </w:rPr>
        <w:t>are barred.</w:t>
      </w:r>
      <w:r w:rsidR="00FC1D81">
        <w:rPr>
          <w:rFonts w:ascii="Times New Roman" w:hAnsi="Times New Roman" w:cs="Times New Roman"/>
          <w:sz w:val="24"/>
          <w:szCs w:val="24"/>
        </w:rPr>
        <w:t xml:space="preserve"> However, Portia </w:t>
      </w:r>
      <w:r>
        <w:rPr>
          <w:rFonts w:ascii="Times New Roman" w:hAnsi="Times New Roman" w:cs="Times New Roman"/>
          <w:sz w:val="24"/>
          <w:szCs w:val="24"/>
        </w:rPr>
        <w:t xml:space="preserve">filed a valid notice of opposition, therefore the fact </w:t>
      </w:r>
      <w:r w:rsidR="002922D9">
        <w:rPr>
          <w:rFonts w:ascii="Times New Roman" w:hAnsi="Times New Roman" w:cs="Times New Roman"/>
          <w:sz w:val="24"/>
          <w:szCs w:val="24"/>
        </w:rPr>
        <w:t>N</w:t>
      </w:r>
      <w:r w:rsidR="00FC1D81">
        <w:rPr>
          <w:rFonts w:ascii="Times New Roman" w:hAnsi="Times New Roman" w:cs="Times New Roman"/>
          <w:sz w:val="24"/>
          <w:szCs w:val="24"/>
        </w:rPr>
        <w:t xml:space="preserve">ever and Lucia </w:t>
      </w:r>
      <w:r>
        <w:rPr>
          <w:rFonts w:ascii="Times New Roman" w:hAnsi="Times New Roman" w:cs="Times New Roman"/>
          <w:sz w:val="24"/>
          <w:szCs w:val="24"/>
        </w:rPr>
        <w:t>are barred is in essence inconsequential. It is of no moment. The matter must still</w:t>
      </w:r>
      <w:r w:rsidR="007E2322">
        <w:rPr>
          <w:rFonts w:ascii="Times New Roman" w:hAnsi="Times New Roman" w:cs="Times New Roman"/>
          <w:sz w:val="24"/>
          <w:szCs w:val="24"/>
        </w:rPr>
        <w:t xml:space="preserve"> be</w:t>
      </w:r>
      <w:r>
        <w:rPr>
          <w:rFonts w:ascii="Times New Roman" w:hAnsi="Times New Roman" w:cs="Times New Roman"/>
          <w:sz w:val="24"/>
          <w:szCs w:val="24"/>
        </w:rPr>
        <w:t xml:space="preserve"> determined on the merits by virtue of a valid notice of opposition filed by </w:t>
      </w:r>
      <w:r w:rsidR="00FC1D81">
        <w:rPr>
          <w:rFonts w:ascii="Times New Roman" w:hAnsi="Times New Roman" w:cs="Times New Roman"/>
          <w:sz w:val="24"/>
          <w:szCs w:val="24"/>
        </w:rPr>
        <w:t>Po</w:t>
      </w:r>
      <w:r w:rsidR="00EF7BAF">
        <w:rPr>
          <w:rFonts w:ascii="Times New Roman" w:hAnsi="Times New Roman" w:cs="Times New Roman"/>
          <w:sz w:val="24"/>
          <w:szCs w:val="24"/>
        </w:rPr>
        <w:t>r</w:t>
      </w:r>
      <w:r w:rsidR="00FC1D81">
        <w:rPr>
          <w:rFonts w:ascii="Times New Roman" w:hAnsi="Times New Roman" w:cs="Times New Roman"/>
          <w:sz w:val="24"/>
          <w:szCs w:val="24"/>
        </w:rPr>
        <w:t>tia</w:t>
      </w:r>
      <w:r>
        <w:rPr>
          <w:rFonts w:ascii="Times New Roman" w:hAnsi="Times New Roman" w:cs="Times New Roman"/>
          <w:sz w:val="24"/>
          <w:szCs w:val="24"/>
        </w:rPr>
        <w:t xml:space="preserve">.  </w:t>
      </w:r>
    </w:p>
    <w:p w14:paraId="745D69C1" w14:textId="77777777" w:rsidR="000A375B" w:rsidRPr="00355734" w:rsidRDefault="000A375B" w:rsidP="005339B1">
      <w:pPr>
        <w:spacing w:line="360" w:lineRule="auto"/>
        <w:contextualSpacing/>
        <w:jc w:val="both"/>
        <w:rPr>
          <w:rFonts w:ascii="Times New Roman" w:hAnsi="Times New Roman" w:cs="Times New Roman"/>
          <w:sz w:val="24"/>
          <w:szCs w:val="24"/>
        </w:rPr>
      </w:pPr>
    </w:p>
    <w:p w14:paraId="7D224283" w14:textId="57CED663" w:rsidR="002D220E" w:rsidRPr="005339B1" w:rsidRDefault="00355734" w:rsidP="002D220E">
      <w:pPr>
        <w:spacing w:line="36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Merits </w:t>
      </w:r>
    </w:p>
    <w:p w14:paraId="265E889D" w14:textId="77777777" w:rsidR="002D220E" w:rsidRDefault="002D220E" w:rsidP="002D220E">
      <w:pPr>
        <w:spacing w:line="360" w:lineRule="auto"/>
        <w:contextualSpacing/>
        <w:jc w:val="both"/>
        <w:rPr>
          <w:rFonts w:ascii="Times New Roman" w:hAnsi="Times New Roman" w:cs="Times New Roman"/>
          <w:sz w:val="24"/>
          <w:szCs w:val="24"/>
        </w:rPr>
      </w:pPr>
    </w:p>
    <w:p w14:paraId="13ABAD9A" w14:textId="3460B781" w:rsidR="002D220E" w:rsidRDefault="002D220E" w:rsidP="002D220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1</w:t>
      </w:r>
      <w:r>
        <w:rPr>
          <w:rFonts w:ascii="Times New Roman" w:hAnsi="Times New Roman" w:cs="Times New Roman"/>
          <w:sz w:val="24"/>
          <w:szCs w:val="24"/>
        </w:rPr>
        <w:t>] This application is in terms of r</w:t>
      </w:r>
      <w:r w:rsidRPr="00512697">
        <w:rPr>
          <w:rFonts w:ascii="Times New Roman" w:hAnsi="Times New Roman" w:cs="Times New Roman"/>
          <w:sz w:val="24"/>
          <w:szCs w:val="24"/>
        </w:rPr>
        <w:t xml:space="preserve"> 75(1)</w:t>
      </w:r>
      <w:r>
        <w:rPr>
          <w:rFonts w:ascii="Times New Roman" w:hAnsi="Times New Roman" w:cs="Times New Roman"/>
          <w:sz w:val="24"/>
          <w:szCs w:val="24"/>
        </w:rPr>
        <w:t xml:space="preserve"> of the High Court Rules, 1971, the repealed rules.  It is so because it was filed before the promulgation of the High Court Rules, 2021. The rule</w:t>
      </w:r>
      <w:r w:rsidR="007E2322">
        <w:rPr>
          <w:rFonts w:ascii="Times New Roman" w:hAnsi="Times New Roman" w:cs="Times New Roman"/>
          <w:sz w:val="24"/>
          <w:szCs w:val="24"/>
        </w:rPr>
        <w:t xml:space="preserve"> </w:t>
      </w:r>
      <w:r>
        <w:rPr>
          <w:rFonts w:ascii="Times New Roman" w:hAnsi="Times New Roman" w:cs="Times New Roman"/>
          <w:sz w:val="24"/>
          <w:szCs w:val="24"/>
        </w:rPr>
        <w:t>say</w:t>
      </w:r>
      <w:r w:rsidR="007E2322">
        <w:rPr>
          <w:rFonts w:ascii="Times New Roman" w:hAnsi="Times New Roman" w:cs="Times New Roman"/>
          <w:sz w:val="24"/>
          <w:szCs w:val="24"/>
        </w:rPr>
        <w:t>s</w:t>
      </w:r>
      <w:r>
        <w:rPr>
          <w:rFonts w:ascii="Times New Roman" w:hAnsi="Times New Roman" w:cs="Times New Roman"/>
          <w:sz w:val="24"/>
          <w:szCs w:val="24"/>
        </w:rPr>
        <w:t xml:space="preserve">: </w:t>
      </w:r>
    </w:p>
    <w:p w14:paraId="3B314373" w14:textId="77777777" w:rsidR="00E417AC" w:rsidRPr="00E417AC" w:rsidRDefault="00E417AC" w:rsidP="00E417AC">
      <w:pPr>
        <w:contextualSpacing/>
        <w:jc w:val="both"/>
        <w:rPr>
          <w:rFonts w:ascii="Times New Roman" w:hAnsi="Times New Roman" w:cs="Times New Roman"/>
          <w:sz w:val="24"/>
          <w:szCs w:val="24"/>
        </w:rPr>
      </w:pPr>
    </w:p>
    <w:p w14:paraId="17D1D118" w14:textId="7BA15FEA" w:rsidR="00E417AC" w:rsidRPr="00E417AC" w:rsidRDefault="00E417AC" w:rsidP="00E417AC">
      <w:pPr>
        <w:ind w:left="720"/>
        <w:contextualSpacing/>
        <w:jc w:val="both"/>
        <w:rPr>
          <w:rFonts w:ascii="Times New Roman" w:hAnsi="Times New Roman" w:cs="Times New Roman"/>
          <w:sz w:val="24"/>
          <w:szCs w:val="24"/>
        </w:rPr>
      </w:pPr>
      <w:r w:rsidRPr="00E417AC">
        <w:rPr>
          <w:rFonts w:ascii="Times New Roman" w:hAnsi="Times New Roman" w:cs="Times New Roman"/>
          <w:sz w:val="24"/>
          <w:szCs w:val="24"/>
        </w:rPr>
        <w:t>“(1) Where a defendant has file</w:t>
      </w:r>
      <w:r>
        <w:rPr>
          <w:rFonts w:ascii="Times New Roman" w:hAnsi="Times New Roman" w:cs="Times New Roman"/>
          <w:sz w:val="24"/>
          <w:szCs w:val="24"/>
        </w:rPr>
        <w:t>d</w:t>
      </w:r>
      <w:r w:rsidRPr="00E417AC">
        <w:rPr>
          <w:rFonts w:ascii="Times New Roman" w:hAnsi="Times New Roman" w:cs="Times New Roman"/>
          <w:sz w:val="24"/>
          <w:szCs w:val="24"/>
        </w:rPr>
        <w:t xml:space="preserve"> his plea, he may make a court application for the dismissal </w:t>
      </w:r>
      <w:r w:rsidR="000E31B9">
        <w:rPr>
          <w:rFonts w:ascii="Times New Roman" w:hAnsi="Times New Roman" w:cs="Times New Roman"/>
          <w:sz w:val="24"/>
          <w:szCs w:val="24"/>
        </w:rPr>
        <w:t>of</w:t>
      </w:r>
      <w:r w:rsidR="00EF7BAF">
        <w:rPr>
          <w:rFonts w:ascii="Times New Roman" w:hAnsi="Times New Roman" w:cs="Times New Roman"/>
          <w:sz w:val="24"/>
          <w:szCs w:val="24"/>
        </w:rPr>
        <w:t xml:space="preserve"> </w:t>
      </w:r>
      <w:r w:rsidRPr="00E417AC">
        <w:rPr>
          <w:rFonts w:ascii="Times New Roman" w:hAnsi="Times New Roman" w:cs="Times New Roman"/>
          <w:sz w:val="24"/>
          <w:szCs w:val="24"/>
        </w:rPr>
        <w:t xml:space="preserve">the action on the ground that it is frivolous or vexatious. </w:t>
      </w:r>
    </w:p>
    <w:p w14:paraId="68ECBB52" w14:textId="77777777" w:rsidR="00E417AC" w:rsidRPr="00E417AC" w:rsidRDefault="00E417AC" w:rsidP="00E417AC">
      <w:pPr>
        <w:ind w:left="720"/>
        <w:contextualSpacing/>
        <w:jc w:val="both"/>
        <w:rPr>
          <w:rFonts w:ascii="Times New Roman" w:hAnsi="Times New Roman" w:cs="Times New Roman"/>
          <w:sz w:val="24"/>
          <w:szCs w:val="24"/>
        </w:rPr>
      </w:pPr>
      <w:r w:rsidRPr="00E417AC">
        <w:rPr>
          <w:rFonts w:ascii="Times New Roman" w:hAnsi="Times New Roman" w:cs="Times New Roman"/>
          <w:sz w:val="24"/>
          <w:szCs w:val="24"/>
        </w:rPr>
        <w:t>(2) A court application in terms of subrule (1) shall be supported by affidavit made by the defendant or a person who can swear positively to the facts or averments set out therein, stating that in his belief the action is frivolous or vexatious and setting out the grounds for his belief.</w:t>
      </w:r>
    </w:p>
    <w:p w14:paraId="3E2A1F8A" w14:textId="21F29CD7" w:rsidR="00E417AC" w:rsidRPr="00E417AC" w:rsidRDefault="00E417AC" w:rsidP="00E417AC">
      <w:pPr>
        <w:ind w:left="720"/>
        <w:contextualSpacing/>
        <w:jc w:val="both"/>
        <w:rPr>
          <w:rFonts w:ascii="Times New Roman" w:hAnsi="Times New Roman" w:cs="Times New Roman"/>
          <w:sz w:val="24"/>
          <w:szCs w:val="24"/>
        </w:rPr>
      </w:pPr>
      <w:r w:rsidRPr="00E417AC">
        <w:rPr>
          <w:rFonts w:ascii="Times New Roman" w:hAnsi="Times New Roman" w:cs="Times New Roman"/>
          <w:sz w:val="24"/>
          <w:szCs w:val="24"/>
        </w:rPr>
        <w:t xml:space="preserve"> (3) A deponent may attach to his affidavit filed in terms of subrule (2) documents which verify his belief that the action is frivolous or vexatious.”</w:t>
      </w:r>
    </w:p>
    <w:p w14:paraId="0E04148D" w14:textId="77777777" w:rsidR="002D220E" w:rsidRPr="00E417AC" w:rsidRDefault="002D220E" w:rsidP="00E417AC">
      <w:pPr>
        <w:ind w:left="720"/>
        <w:contextualSpacing/>
        <w:jc w:val="both"/>
        <w:rPr>
          <w:rFonts w:ascii="Times New Roman" w:hAnsi="Times New Roman" w:cs="Times New Roman"/>
          <w:sz w:val="24"/>
          <w:szCs w:val="24"/>
        </w:rPr>
      </w:pPr>
    </w:p>
    <w:p w14:paraId="5AB26B35" w14:textId="12C24E88" w:rsidR="007E2322" w:rsidRDefault="00E417AC" w:rsidP="002D220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2</w:t>
      </w:r>
      <w:r>
        <w:rPr>
          <w:rFonts w:ascii="Times New Roman" w:hAnsi="Times New Roman" w:cs="Times New Roman"/>
          <w:sz w:val="24"/>
          <w:szCs w:val="24"/>
        </w:rPr>
        <w:t xml:space="preserve">] </w:t>
      </w:r>
      <w:r w:rsidR="007E2322">
        <w:rPr>
          <w:rFonts w:ascii="Times New Roman" w:hAnsi="Times New Roman" w:cs="Times New Roman"/>
          <w:sz w:val="24"/>
          <w:szCs w:val="24"/>
        </w:rPr>
        <w:t xml:space="preserve">The rule is clear that a litigant in such an application may attach </w:t>
      </w:r>
      <w:r w:rsidR="007E2322" w:rsidRPr="00E417AC">
        <w:rPr>
          <w:rFonts w:ascii="Times New Roman" w:hAnsi="Times New Roman" w:cs="Times New Roman"/>
          <w:sz w:val="24"/>
          <w:szCs w:val="24"/>
        </w:rPr>
        <w:t>documents which verify his belief that the action is frivolous or vexatious.</w:t>
      </w:r>
      <w:r w:rsidR="007E2322">
        <w:rPr>
          <w:rFonts w:ascii="Times New Roman" w:hAnsi="Times New Roman" w:cs="Times New Roman"/>
          <w:sz w:val="24"/>
          <w:szCs w:val="24"/>
        </w:rPr>
        <w:t xml:space="preserve"> In this case the applicants attached</w:t>
      </w:r>
      <w:r w:rsidR="003F3292">
        <w:rPr>
          <w:rFonts w:ascii="Times New Roman" w:hAnsi="Times New Roman" w:cs="Times New Roman"/>
          <w:sz w:val="24"/>
          <w:szCs w:val="24"/>
        </w:rPr>
        <w:t>, amongst others</w:t>
      </w:r>
      <w:r w:rsidR="00FC1D81">
        <w:rPr>
          <w:rFonts w:ascii="Times New Roman" w:hAnsi="Times New Roman" w:cs="Times New Roman"/>
          <w:sz w:val="24"/>
          <w:szCs w:val="24"/>
        </w:rPr>
        <w:t>,</w:t>
      </w:r>
      <w:r w:rsidR="003F3292">
        <w:rPr>
          <w:rFonts w:ascii="Times New Roman" w:hAnsi="Times New Roman" w:cs="Times New Roman"/>
          <w:sz w:val="24"/>
          <w:szCs w:val="24"/>
        </w:rPr>
        <w:t xml:space="preserve"> </w:t>
      </w:r>
      <w:r w:rsidR="007E2322">
        <w:rPr>
          <w:rFonts w:ascii="Times New Roman" w:hAnsi="Times New Roman" w:cs="Times New Roman"/>
          <w:sz w:val="24"/>
          <w:szCs w:val="24"/>
        </w:rPr>
        <w:t>copies of the following documents: Letters of Administration showing that Den</w:t>
      </w:r>
      <w:r w:rsidR="00EF7BAF">
        <w:rPr>
          <w:rFonts w:ascii="Times New Roman" w:hAnsi="Times New Roman" w:cs="Times New Roman"/>
          <w:sz w:val="24"/>
          <w:szCs w:val="24"/>
        </w:rPr>
        <w:t>n</w:t>
      </w:r>
      <w:r w:rsidR="007E2322">
        <w:rPr>
          <w:rFonts w:ascii="Times New Roman" w:hAnsi="Times New Roman" w:cs="Times New Roman"/>
          <w:sz w:val="24"/>
          <w:szCs w:val="24"/>
        </w:rPr>
        <w:t xml:space="preserve">is was </w:t>
      </w:r>
      <w:r w:rsidR="007E2322">
        <w:rPr>
          <w:rFonts w:ascii="Times New Roman" w:hAnsi="Times New Roman" w:cs="Times New Roman"/>
          <w:sz w:val="24"/>
          <w:szCs w:val="24"/>
        </w:rPr>
        <w:lastRenderedPageBreak/>
        <w:t>appointed the executor in the estate of Joyce</w:t>
      </w:r>
      <w:r w:rsidR="00731E4A">
        <w:rPr>
          <w:rFonts w:ascii="Times New Roman" w:hAnsi="Times New Roman" w:cs="Times New Roman"/>
          <w:sz w:val="24"/>
          <w:szCs w:val="24"/>
        </w:rPr>
        <w:t xml:space="preserve"> and awarded the disputed property</w:t>
      </w:r>
      <w:r w:rsidR="007E2322">
        <w:rPr>
          <w:rFonts w:ascii="Times New Roman" w:hAnsi="Times New Roman" w:cs="Times New Roman"/>
          <w:sz w:val="24"/>
          <w:szCs w:val="24"/>
        </w:rPr>
        <w:t xml:space="preserve">; a First and Final Liquidation </w:t>
      </w:r>
      <w:r w:rsidR="00731E4A">
        <w:rPr>
          <w:rFonts w:ascii="Times New Roman" w:hAnsi="Times New Roman" w:cs="Times New Roman"/>
          <w:sz w:val="24"/>
          <w:szCs w:val="24"/>
        </w:rPr>
        <w:t xml:space="preserve">and Distribution Account in the estate of </w:t>
      </w:r>
      <w:r w:rsidR="00EF7BAF">
        <w:rPr>
          <w:rFonts w:ascii="Times New Roman" w:hAnsi="Times New Roman" w:cs="Times New Roman"/>
          <w:sz w:val="24"/>
          <w:szCs w:val="24"/>
        </w:rPr>
        <w:t xml:space="preserve">the late </w:t>
      </w:r>
      <w:r w:rsidR="00731E4A">
        <w:rPr>
          <w:rFonts w:ascii="Times New Roman" w:hAnsi="Times New Roman" w:cs="Times New Roman"/>
          <w:sz w:val="24"/>
          <w:szCs w:val="24"/>
        </w:rPr>
        <w:t xml:space="preserve">Joyce; Letters of Administration showing that Mushore was appointed executrix in the estate of Dennis; affidavits deposed by the beneficiaries in the estate of Dennis consenting to the sale of the property; </w:t>
      </w:r>
      <w:r w:rsidR="00A22A08">
        <w:rPr>
          <w:rFonts w:ascii="Times New Roman" w:hAnsi="Times New Roman" w:cs="Times New Roman"/>
          <w:sz w:val="24"/>
          <w:szCs w:val="24"/>
        </w:rPr>
        <w:t>a memorandum of agreement between the Municipality of Bulawayo and Chitura in respect of the disputed property; a memorandum of agreement between the Municipality of Bulawayo and estate Joyce dated 4 February 2020; memorandum of cession between Mushore and Chitura; a</w:t>
      </w:r>
      <w:r w:rsidR="00303F7A">
        <w:rPr>
          <w:rFonts w:ascii="Times New Roman" w:hAnsi="Times New Roman" w:cs="Times New Roman"/>
          <w:sz w:val="24"/>
          <w:szCs w:val="24"/>
        </w:rPr>
        <w:t>nd a</w:t>
      </w:r>
      <w:r w:rsidR="00A22A08">
        <w:rPr>
          <w:rFonts w:ascii="Times New Roman" w:hAnsi="Times New Roman" w:cs="Times New Roman"/>
          <w:sz w:val="24"/>
          <w:szCs w:val="24"/>
        </w:rPr>
        <w:t xml:space="preserve"> s 120 authority dated 20 December 2019</w:t>
      </w:r>
      <w:r w:rsidR="00303F7A">
        <w:rPr>
          <w:rFonts w:ascii="Times New Roman" w:hAnsi="Times New Roman" w:cs="Times New Roman"/>
          <w:sz w:val="24"/>
          <w:szCs w:val="24"/>
        </w:rPr>
        <w:t xml:space="preserve">. </w:t>
      </w:r>
      <w:r w:rsidR="00FC1D81">
        <w:rPr>
          <w:rFonts w:ascii="Times New Roman" w:hAnsi="Times New Roman" w:cs="Times New Roman"/>
          <w:sz w:val="24"/>
          <w:szCs w:val="24"/>
        </w:rPr>
        <w:t xml:space="preserve">These documents are properly before court and must be considered in the determination of this application. </w:t>
      </w:r>
    </w:p>
    <w:p w14:paraId="4CBB220B" w14:textId="77777777" w:rsidR="007E2322" w:rsidRDefault="007E2322" w:rsidP="002D220E">
      <w:pPr>
        <w:spacing w:line="360" w:lineRule="auto"/>
        <w:contextualSpacing/>
        <w:jc w:val="both"/>
        <w:rPr>
          <w:rFonts w:ascii="Times New Roman" w:hAnsi="Times New Roman" w:cs="Times New Roman"/>
          <w:sz w:val="24"/>
          <w:szCs w:val="24"/>
        </w:rPr>
      </w:pPr>
    </w:p>
    <w:p w14:paraId="4D951E2B" w14:textId="69734AE6" w:rsidR="002D220E" w:rsidRDefault="00303F7A" w:rsidP="002D220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3</w:t>
      </w:r>
      <w:r>
        <w:rPr>
          <w:rFonts w:ascii="Times New Roman" w:hAnsi="Times New Roman" w:cs="Times New Roman"/>
          <w:sz w:val="24"/>
          <w:szCs w:val="24"/>
        </w:rPr>
        <w:t xml:space="preserve">] </w:t>
      </w:r>
      <w:r w:rsidR="002D220E">
        <w:rPr>
          <w:rFonts w:ascii="Times New Roman" w:hAnsi="Times New Roman" w:cs="Times New Roman"/>
          <w:sz w:val="24"/>
          <w:szCs w:val="24"/>
        </w:rPr>
        <w:t xml:space="preserve">It was stated by TAGU J in </w:t>
      </w:r>
      <w:r w:rsidR="002D220E" w:rsidRPr="00512697">
        <w:rPr>
          <w:rFonts w:ascii="Times New Roman" w:hAnsi="Times New Roman" w:cs="Times New Roman"/>
          <w:i/>
          <w:iCs/>
          <w:sz w:val="24"/>
          <w:szCs w:val="24"/>
        </w:rPr>
        <w:t xml:space="preserve">Moyo v Ecobank Zimbabwe Ltd </w:t>
      </w:r>
      <w:r w:rsidR="002D220E">
        <w:rPr>
          <w:rFonts w:ascii="Times New Roman" w:hAnsi="Times New Roman" w:cs="Times New Roman"/>
          <w:sz w:val="24"/>
          <w:szCs w:val="24"/>
        </w:rPr>
        <w:t xml:space="preserve">2018(2) ZLR 580 (H) that r 75(1) is designed to assist a defendant by enabling him to apply to court to dismiss a frivolous and vexatious action. That for an application for dismissal to succeed, the applicant should show and prove the following: that he filed a plea; </w:t>
      </w:r>
      <w:r w:rsidR="00E417AC">
        <w:rPr>
          <w:rFonts w:ascii="Times New Roman" w:hAnsi="Times New Roman" w:cs="Times New Roman"/>
          <w:sz w:val="24"/>
          <w:szCs w:val="24"/>
        </w:rPr>
        <w:t xml:space="preserve">and </w:t>
      </w:r>
      <w:r w:rsidR="002D220E">
        <w:rPr>
          <w:rFonts w:ascii="Times New Roman" w:hAnsi="Times New Roman" w:cs="Times New Roman"/>
          <w:sz w:val="24"/>
          <w:szCs w:val="24"/>
        </w:rPr>
        <w:t>that the claim against him is frivolous and vexatious</w:t>
      </w:r>
      <w:r w:rsidR="00E417AC">
        <w:rPr>
          <w:rFonts w:ascii="Times New Roman" w:hAnsi="Times New Roman" w:cs="Times New Roman"/>
          <w:sz w:val="24"/>
          <w:szCs w:val="24"/>
        </w:rPr>
        <w:t>.</w:t>
      </w:r>
      <w:r w:rsidR="002D220E">
        <w:rPr>
          <w:rFonts w:ascii="Times New Roman" w:hAnsi="Times New Roman" w:cs="Times New Roman"/>
          <w:sz w:val="24"/>
          <w:szCs w:val="24"/>
        </w:rPr>
        <w:t xml:space="preserve"> It was held that such an application is the converse of an application for summary judgment and much the same considerations apply, namely whether the plaintiff has an arguable case.</w:t>
      </w:r>
      <w:r w:rsidR="00CE3C40">
        <w:rPr>
          <w:rFonts w:ascii="Times New Roman" w:hAnsi="Times New Roman" w:cs="Times New Roman"/>
          <w:sz w:val="24"/>
          <w:szCs w:val="24"/>
        </w:rPr>
        <w:t xml:space="preserve"> See </w:t>
      </w:r>
      <w:proofErr w:type="spellStart"/>
      <w:r w:rsidR="00CE3C40" w:rsidRPr="00CE3C40">
        <w:rPr>
          <w:rFonts w:ascii="Times New Roman" w:hAnsi="Times New Roman" w:cs="Times New Roman"/>
          <w:i/>
          <w:iCs/>
          <w:sz w:val="24"/>
          <w:szCs w:val="24"/>
        </w:rPr>
        <w:t>Medclinic</w:t>
      </w:r>
      <w:proofErr w:type="spellEnd"/>
      <w:r w:rsidR="00CE3C40" w:rsidRPr="00CE3C40">
        <w:rPr>
          <w:rFonts w:ascii="Times New Roman" w:hAnsi="Times New Roman" w:cs="Times New Roman"/>
          <w:i/>
          <w:iCs/>
          <w:sz w:val="24"/>
          <w:szCs w:val="24"/>
        </w:rPr>
        <w:t xml:space="preserve"> </w:t>
      </w:r>
      <w:proofErr w:type="spellStart"/>
      <w:r w:rsidR="00CE3C40" w:rsidRPr="00CE3C40">
        <w:rPr>
          <w:rFonts w:ascii="Times New Roman" w:hAnsi="Times New Roman" w:cs="Times New Roman"/>
          <w:i/>
          <w:iCs/>
          <w:sz w:val="24"/>
          <w:szCs w:val="24"/>
        </w:rPr>
        <w:t>Medforum</w:t>
      </w:r>
      <w:proofErr w:type="spellEnd"/>
      <w:r w:rsidR="00CE3C40" w:rsidRPr="00CE3C40">
        <w:rPr>
          <w:rFonts w:ascii="Times New Roman" w:hAnsi="Times New Roman" w:cs="Times New Roman"/>
          <w:i/>
          <w:iCs/>
          <w:sz w:val="24"/>
          <w:szCs w:val="24"/>
        </w:rPr>
        <w:t xml:space="preserve"> Hospitals (Pty) Ltd v City of Harare </w:t>
      </w:r>
      <w:r w:rsidR="00CE3C40">
        <w:rPr>
          <w:rFonts w:ascii="Times New Roman" w:hAnsi="Times New Roman" w:cs="Times New Roman"/>
          <w:sz w:val="24"/>
          <w:szCs w:val="24"/>
        </w:rPr>
        <w:t xml:space="preserve">2019 (3) ZLR 943 (H). </w:t>
      </w:r>
      <w:r w:rsidR="002D220E">
        <w:rPr>
          <w:rFonts w:ascii="Times New Roman" w:hAnsi="Times New Roman" w:cs="Times New Roman"/>
          <w:sz w:val="24"/>
          <w:szCs w:val="24"/>
        </w:rPr>
        <w:t xml:space="preserve"> The court will not dismiss an action under this rule unless it is satisfied that the likelihood of the case succeeding stands outside the realm of probability altogether. It was held further that an action is deemed frivolous and vexatious if it is impossible to succeed. The court said the word “frivolous” in its ordinary and natural meaning connotes an action characterized by lack of seriousness, as in a case of one which is manifestly insufficient. An action is in the legal sense “frivolous and vexatious” when it is obviously unsustainable, manifestly groundless or utterly hopeless and without foundation. </w:t>
      </w:r>
    </w:p>
    <w:p w14:paraId="31C24A70" w14:textId="77777777" w:rsidR="002D220E" w:rsidRDefault="002D220E" w:rsidP="002D220E">
      <w:pPr>
        <w:spacing w:line="360" w:lineRule="auto"/>
        <w:contextualSpacing/>
        <w:jc w:val="both"/>
        <w:rPr>
          <w:rFonts w:ascii="Times New Roman" w:hAnsi="Times New Roman" w:cs="Times New Roman"/>
          <w:sz w:val="24"/>
          <w:szCs w:val="24"/>
        </w:rPr>
      </w:pPr>
    </w:p>
    <w:p w14:paraId="05AE6E0D" w14:textId="2187AF35" w:rsidR="002D220E" w:rsidRPr="00421D7C" w:rsidRDefault="00E417AC" w:rsidP="002D220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4</w:t>
      </w:r>
      <w:r>
        <w:rPr>
          <w:rFonts w:ascii="Times New Roman" w:hAnsi="Times New Roman" w:cs="Times New Roman"/>
          <w:sz w:val="24"/>
          <w:szCs w:val="24"/>
        </w:rPr>
        <w:t>]</w:t>
      </w:r>
      <w:r w:rsidR="002D220E" w:rsidRPr="00421D7C">
        <w:rPr>
          <w:rFonts w:ascii="Times New Roman" w:hAnsi="Times New Roman" w:cs="Times New Roman"/>
          <w:sz w:val="24"/>
          <w:szCs w:val="24"/>
        </w:rPr>
        <w:t xml:space="preserve"> </w:t>
      </w:r>
      <w:r w:rsidR="002D220E">
        <w:rPr>
          <w:rFonts w:ascii="Times New Roman" w:hAnsi="Times New Roman" w:cs="Times New Roman"/>
          <w:sz w:val="24"/>
          <w:szCs w:val="24"/>
        </w:rPr>
        <w:t xml:space="preserve">MALABA JA (as he then was) in </w:t>
      </w:r>
      <w:r w:rsidR="002D220E" w:rsidRPr="00421D7C">
        <w:rPr>
          <w:rFonts w:ascii="Times New Roman" w:hAnsi="Times New Roman" w:cs="Times New Roman"/>
          <w:i/>
          <w:sz w:val="24"/>
          <w:szCs w:val="24"/>
        </w:rPr>
        <w:t>Rogers</w:t>
      </w:r>
      <w:r w:rsidR="002D220E" w:rsidRPr="00421D7C">
        <w:rPr>
          <w:rFonts w:ascii="Times New Roman" w:hAnsi="Times New Roman" w:cs="Times New Roman"/>
          <w:sz w:val="24"/>
          <w:szCs w:val="24"/>
        </w:rPr>
        <w:t xml:space="preserve"> v </w:t>
      </w:r>
      <w:r w:rsidR="002D220E" w:rsidRPr="00421D7C">
        <w:rPr>
          <w:rFonts w:ascii="Times New Roman" w:hAnsi="Times New Roman" w:cs="Times New Roman"/>
          <w:i/>
          <w:sz w:val="24"/>
          <w:szCs w:val="24"/>
        </w:rPr>
        <w:t>Rogers and Another</w:t>
      </w:r>
      <w:r w:rsidR="002D220E" w:rsidRPr="00421D7C">
        <w:rPr>
          <w:rFonts w:ascii="Times New Roman" w:hAnsi="Times New Roman" w:cs="Times New Roman"/>
          <w:sz w:val="24"/>
          <w:szCs w:val="24"/>
        </w:rPr>
        <w:t xml:space="preserve"> 2008 (1) ZLR 330 (S) at 337 C-D made the</w:t>
      </w:r>
      <w:r w:rsidR="002D220E">
        <w:rPr>
          <w:rFonts w:ascii="Times New Roman" w:hAnsi="Times New Roman" w:cs="Times New Roman"/>
          <w:sz w:val="24"/>
          <w:szCs w:val="24"/>
        </w:rPr>
        <w:t xml:space="preserve"> following </w:t>
      </w:r>
      <w:r w:rsidR="002D220E" w:rsidRPr="00421D7C">
        <w:rPr>
          <w:rFonts w:ascii="Times New Roman" w:hAnsi="Times New Roman" w:cs="Times New Roman"/>
          <w:sz w:val="24"/>
          <w:szCs w:val="24"/>
        </w:rPr>
        <w:t>remarks:</w:t>
      </w:r>
    </w:p>
    <w:p w14:paraId="7BF64D67" w14:textId="471BE192" w:rsidR="002D220E" w:rsidRDefault="002D220E" w:rsidP="0028778C">
      <w:pPr>
        <w:spacing w:line="240" w:lineRule="auto"/>
        <w:ind w:left="720"/>
        <w:contextualSpacing/>
        <w:jc w:val="both"/>
        <w:rPr>
          <w:rFonts w:ascii="Times New Roman" w:hAnsi="Times New Roman" w:cs="Times New Roman"/>
          <w:sz w:val="24"/>
          <w:szCs w:val="24"/>
        </w:rPr>
      </w:pPr>
      <w:r w:rsidRPr="00421D7C">
        <w:rPr>
          <w:rFonts w:ascii="Times New Roman" w:hAnsi="Times New Roman" w:cs="Times New Roman"/>
          <w:sz w:val="24"/>
          <w:szCs w:val="24"/>
        </w:rPr>
        <w:t>“Summary dismissal of an action in terms of rule 79 (2) of the Rules is an extraordinary remedy to be granted in exceptional cases.  The reason is that granting the remedy has the effect of interfering with the elementary right of free access to the court.  The object of the rule is to enable the court to stop an action which should not have been launched.</w:t>
      </w:r>
      <w:r w:rsidR="0028778C">
        <w:rPr>
          <w:rFonts w:ascii="Times New Roman" w:hAnsi="Times New Roman" w:cs="Times New Roman"/>
          <w:sz w:val="24"/>
          <w:szCs w:val="24"/>
        </w:rPr>
        <w:t>”</w:t>
      </w:r>
    </w:p>
    <w:p w14:paraId="33046F37" w14:textId="77777777" w:rsidR="002D220E" w:rsidRDefault="002D220E" w:rsidP="002D220E">
      <w:pPr>
        <w:spacing w:line="240" w:lineRule="auto"/>
        <w:contextualSpacing/>
        <w:jc w:val="both"/>
        <w:rPr>
          <w:rFonts w:ascii="Times New Roman" w:hAnsi="Times New Roman" w:cs="Times New Roman"/>
          <w:sz w:val="24"/>
          <w:szCs w:val="24"/>
        </w:rPr>
      </w:pPr>
    </w:p>
    <w:p w14:paraId="37605AF7" w14:textId="77777777" w:rsidR="002D220E" w:rsidRPr="00421D7C" w:rsidRDefault="002D220E" w:rsidP="002D220E">
      <w:pPr>
        <w:spacing w:line="240" w:lineRule="auto"/>
        <w:ind w:left="1440"/>
        <w:contextualSpacing/>
        <w:jc w:val="both"/>
        <w:rPr>
          <w:rFonts w:ascii="Times New Roman" w:hAnsi="Times New Roman" w:cs="Times New Roman"/>
          <w:sz w:val="24"/>
          <w:szCs w:val="24"/>
        </w:rPr>
      </w:pPr>
    </w:p>
    <w:p w14:paraId="22FC0A2F" w14:textId="3F8B0675" w:rsidR="002D220E" w:rsidRDefault="00E417AC" w:rsidP="00C5200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[1</w:t>
      </w:r>
      <w:r w:rsidR="005212AC">
        <w:rPr>
          <w:rFonts w:ascii="Times New Roman" w:hAnsi="Times New Roman" w:cs="Times New Roman"/>
          <w:sz w:val="24"/>
          <w:szCs w:val="24"/>
        </w:rPr>
        <w:t>5</w:t>
      </w:r>
      <w:r>
        <w:rPr>
          <w:rFonts w:ascii="Times New Roman" w:hAnsi="Times New Roman" w:cs="Times New Roman"/>
          <w:sz w:val="24"/>
          <w:szCs w:val="24"/>
        </w:rPr>
        <w:t xml:space="preserve">] </w:t>
      </w:r>
      <w:r w:rsidR="002D220E">
        <w:rPr>
          <w:rFonts w:ascii="Times New Roman" w:hAnsi="Times New Roman" w:cs="Times New Roman"/>
          <w:sz w:val="24"/>
          <w:szCs w:val="24"/>
        </w:rPr>
        <w:t>A</w:t>
      </w:r>
      <w:r w:rsidR="002D220E" w:rsidRPr="00421D7C">
        <w:rPr>
          <w:rFonts w:ascii="Times New Roman" w:hAnsi="Times New Roman" w:cs="Times New Roman"/>
          <w:sz w:val="24"/>
          <w:szCs w:val="24"/>
        </w:rPr>
        <w:t xml:space="preserve"> plaintiff who commences an action in a court of law when he or she has no reasonable grounds to do so has no cause of action and an action which has no cause of action is obviously unsustainable. </w:t>
      </w:r>
      <w:r w:rsidR="002D220E">
        <w:rPr>
          <w:rFonts w:ascii="Times New Roman" w:hAnsi="Times New Roman" w:cs="Times New Roman"/>
          <w:sz w:val="24"/>
          <w:szCs w:val="24"/>
        </w:rPr>
        <w:t xml:space="preserve"> </w:t>
      </w:r>
      <w:r w:rsidR="0028778C">
        <w:rPr>
          <w:rFonts w:ascii="Times New Roman" w:hAnsi="Times New Roman" w:cs="Times New Roman"/>
          <w:sz w:val="24"/>
          <w:szCs w:val="24"/>
        </w:rPr>
        <w:t>It has been held that i</w:t>
      </w:r>
      <w:r w:rsidR="0028778C" w:rsidRPr="00421D7C">
        <w:rPr>
          <w:rFonts w:ascii="Times New Roman" w:hAnsi="Times New Roman" w:cs="Times New Roman"/>
          <w:sz w:val="24"/>
          <w:szCs w:val="24"/>
        </w:rPr>
        <w:t>t is an abuse of the process of the court to prosecute in it any action which is groundless that no reasonable person can possibly expect to obtain relief.</w:t>
      </w:r>
      <w:r w:rsidR="0028778C">
        <w:rPr>
          <w:rFonts w:ascii="Times New Roman" w:hAnsi="Times New Roman" w:cs="Times New Roman"/>
          <w:sz w:val="24"/>
          <w:szCs w:val="24"/>
        </w:rPr>
        <w:t xml:space="preserve"> </w:t>
      </w:r>
      <w:r w:rsidR="002D220E">
        <w:rPr>
          <w:rFonts w:ascii="Times New Roman" w:hAnsi="Times New Roman" w:cs="Times New Roman"/>
          <w:sz w:val="24"/>
          <w:szCs w:val="24"/>
        </w:rPr>
        <w:t>However, s</w:t>
      </w:r>
      <w:r w:rsidR="002D220E" w:rsidRPr="00421D7C">
        <w:rPr>
          <w:rFonts w:ascii="Times New Roman" w:hAnsi="Times New Roman" w:cs="Times New Roman"/>
          <w:sz w:val="24"/>
          <w:szCs w:val="24"/>
        </w:rPr>
        <w:t>ummary dismissal of an action in te</w:t>
      </w:r>
      <w:r>
        <w:rPr>
          <w:rFonts w:ascii="Times New Roman" w:hAnsi="Times New Roman" w:cs="Times New Roman"/>
          <w:sz w:val="24"/>
          <w:szCs w:val="24"/>
        </w:rPr>
        <w:t>rms of r 75</w:t>
      </w:r>
      <w:r w:rsidR="002D220E" w:rsidRPr="00421D7C">
        <w:rPr>
          <w:rFonts w:ascii="Times New Roman" w:hAnsi="Times New Roman" w:cs="Times New Roman"/>
          <w:sz w:val="24"/>
          <w:szCs w:val="24"/>
        </w:rPr>
        <w:t xml:space="preserve"> is an extraordinary remedy to be granted in exceptional cases.  </w:t>
      </w:r>
      <w:r w:rsidR="00AB7D05">
        <w:rPr>
          <w:rFonts w:ascii="Times New Roman" w:hAnsi="Times New Roman" w:cs="Times New Roman"/>
          <w:sz w:val="24"/>
          <w:szCs w:val="24"/>
        </w:rPr>
        <w:t xml:space="preserve">It affords a defendant a cheap and expeditious method of disposing of a vexatious and frivolous claim. See </w:t>
      </w:r>
      <w:r w:rsidR="00AB7D05" w:rsidRPr="00AB7D05">
        <w:rPr>
          <w:rFonts w:ascii="Times New Roman" w:hAnsi="Times New Roman" w:cs="Times New Roman"/>
          <w:sz w:val="24"/>
          <w:szCs w:val="24"/>
        </w:rPr>
        <w:t xml:space="preserve">Herbstein and Van </w:t>
      </w:r>
      <w:proofErr w:type="spellStart"/>
      <w:r w:rsidR="00AB7D05" w:rsidRPr="00AB7D05">
        <w:rPr>
          <w:rFonts w:ascii="Times New Roman" w:hAnsi="Times New Roman" w:cs="Times New Roman"/>
          <w:sz w:val="24"/>
          <w:szCs w:val="24"/>
        </w:rPr>
        <w:t>Winsen</w:t>
      </w:r>
      <w:proofErr w:type="spellEnd"/>
      <w:r w:rsidR="00AB7D05" w:rsidRPr="00AB7D05">
        <w:rPr>
          <w:rFonts w:ascii="Times New Roman" w:hAnsi="Times New Roman" w:cs="Times New Roman"/>
          <w:sz w:val="24"/>
          <w:szCs w:val="24"/>
        </w:rPr>
        <w:t xml:space="preserve"> </w:t>
      </w:r>
      <w:r w:rsidR="00AB7D05" w:rsidRPr="00AB7D05">
        <w:rPr>
          <w:rFonts w:ascii="Times New Roman" w:hAnsi="Times New Roman" w:cs="Times New Roman"/>
          <w:i/>
          <w:iCs/>
          <w:sz w:val="24"/>
          <w:szCs w:val="24"/>
        </w:rPr>
        <w:t xml:space="preserve">The Civil Practice of the High Courts and the Supreme Court of Appeal of South Africa </w:t>
      </w:r>
      <w:r w:rsidR="00AB7D05">
        <w:rPr>
          <w:rFonts w:ascii="Times New Roman" w:hAnsi="Times New Roman" w:cs="Times New Roman"/>
          <w:sz w:val="24"/>
          <w:szCs w:val="24"/>
        </w:rPr>
        <w:t>(5</w:t>
      </w:r>
      <w:r w:rsidR="00AB7D05" w:rsidRPr="00AB7D05">
        <w:rPr>
          <w:rFonts w:ascii="Times New Roman" w:hAnsi="Times New Roman" w:cs="Times New Roman"/>
          <w:sz w:val="24"/>
          <w:szCs w:val="24"/>
          <w:vertAlign w:val="superscript"/>
        </w:rPr>
        <w:t>th</w:t>
      </w:r>
      <w:r w:rsidR="00AB7D05">
        <w:rPr>
          <w:rFonts w:ascii="Times New Roman" w:hAnsi="Times New Roman" w:cs="Times New Roman"/>
          <w:sz w:val="24"/>
          <w:szCs w:val="24"/>
        </w:rPr>
        <w:t xml:space="preserve"> ed) 718-719. </w:t>
      </w:r>
    </w:p>
    <w:p w14:paraId="2E37CE23" w14:textId="77777777" w:rsidR="00C5200E" w:rsidRDefault="00C5200E" w:rsidP="00C5200E">
      <w:pPr>
        <w:spacing w:line="360" w:lineRule="auto"/>
        <w:contextualSpacing/>
        <w:jc w:val="both"/>
        <w:rPr>
          <w:rFonts w:ascii="Times New Roman" w:hAnsi="Times New Roman" w:cs="Times New Roman"/>
          <w:sz w:val="24"/>
          <w:szCs w:val="24"/>
        </w:rPr>
      </w:pPr>
    </w:p>
    <w:p w14:paraId="797E4B78" w14:textId="76BBAEDD" w:rsidR="002D220E" w:rsidRPr="00E417AC" w:rsidRDefault="00E417AC" w:rsidP="005339B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6</w:t>
      </w:r>
      <w:r>
        <w:rPr>
          <w:rFonts w:ascii="Times New Roman" w:hAnsi="Times New Roman" w:cs="Times New Roman"/>
          <w:sz w:val="24"/>
          <w:szCs w:val="24"/>
        </w:rPr>
        <w:t xml:space="preserve">] </w:t>
      </w:r>
      <w:r w:rsidR="002D220E" w:rsidRPr="00AD6904">
        <w:rPr>
          <w:rFonts w:ascii="Times New Roman" w:hAnsi="Times New Roman" w:cs="Times New Roman"/>
          <w:sz w:val="24"/>
          <w:szCs w:val="24"/>
        </w:rPr>
        <w:t xml:space="preserve">It is against the backdrop of these legal principles that I consider </w:t>
      </w:r>
      <w:r w:rsidR="0028778C">
        <w:rPr>
          <w:rFonts w:ascii="Times New Roman" w:hAnsi="Times New Roman" w:cs="Times New Roman"/>
          <w:sz w:val="24"/>
          <w:szCs w:val="24"/>
        </w:rPr>
        <w:t xml:space="preserve">and determine </w:t>
      </w:r>
      <w:r w:rsidR="002D220E" w:rsidRPr="00AD6904">
        <w:rPr>
          <w:rFonts w:ascii="Times New Roman" w:hAnsi="Times New Roman" w:cs="Times New Roman"/>
          <w:sz w:val="24"/>
          <w:szCs w:val="24"/>
        </w:rPr>
        <w:t>th</w:t>
      </w:r>
      <w:r w:rsidR="002D220E">
        <w:rPr>
          <w:rFonts w:ascii="Times New Roman" w:hAnsi="Times New Roman" w:cs="Times New Roman"/>
          <w:sz w:val="24"/>
          <w:szCs w:val="24"/>
        </w:rPr>
        <w:t xml:space="preserve">is application for a summary dismissal.  </w:t>
      </w:r>
      <w:r w:rsidR="002D220E" w:rsidRPr="00421D7C">
        <w:rPr>
          <w:rFonts w:ascii="Times New Roman" w:hAnsi="Times New Roman" w:cs="Times New Roman"/>
          <w:sz w:val="24"/>
          <w:szCs w:val="24"/>
        </w:rPr>
        <w:tab/>
      </w:r>
    </w:p>
    <w:p w14:paraId="14913633" w14:textId="0E1CDE05" w:rsidR="0055135F" w:rsidRDefault="003260D5" w:rsidP="003260D5">
      <w:pPr>
        <w:spacing w:line="360" w:lineRule="auto"/>
        <w:contextualSpacing/>
        <w:jc w:val="both"/>
        <w:rPr>
          <w:rFonts w:ascii="Times New Roman" w:hAnsi="Times New Roman" w:cs="Times New Roman"/>
          <w:sz w:val="24"/>
          <w:szCs w:val="24"/>
        </w:rPr>
      </w:pPr>
      <w:r w:rsidRPr="003260D5">
        <w:rPr>
          <w:rFonts w:ascii="Times New Roman" w:hAnsi="Times New Roman" w:cs="Times New Roman"/>
          <w:sz w:val="24"/>
          <w:szCs w:val="24"/>
        </w:rPr>
        <w:t>[1</w:t>
      </w:r>
      <w:r w:rsidR="005212AC">
        <w:rPr>
          <w:rFonts w:ascii="Times New Roman" w:hAnsi="Times New Roman" w:cs="Times New Roman"/>
          <w:sz w:val="24"/>
          <w:szCs w:val="24"/>
        </w:rPr>
        <w:t>7</w:t>
      </w:r>
      <w:r w:rsidRPr="003260D5">
        <w:rPr>
          <w:rFonts w:ascii="Times New Roman" w:hAnsi="Times New Roman" w:cs="Times New Roman"/>
          <w:sz w:val="24"/>
          <w:szCs w:val="24"/>
        </w:rPr>
        <w:t xml:space="preserve">] </w:t>
      </w:r>
      <w:r w:rsidR="00C5200E" w:rsidRPr="00E85C6D">
        <w:rPr>
          <w:rFonts w:ascii="Times New Roman" w:hAnsi="Times New Roman" w:cs="Times New Roman"/>
          <w:sz w:val="24"/>
          <w:szCs w:val="24"/>
        </w:rPr>
        <w:t>For completeness I called for the record</w:t>
      </w:r>
      <w:r w:rsidR="00C5200E">
        <w:rPr>
          <w:rFonts w:ascii="Times New Roman" w:hAnsi="Times New Roman" w:cs="Times New Roman"/>
          <w:sz w:val="24"/>
          <w:szCs w:val="24"/>
        </w:rPr>
        <w:t xml:space="preserve"> in </w:t>
      </w:r>
      <w:r w:rsidR="00EF7BAF">
        <w:rPr>
          <w:rFonts w:ascii="Times New Roman" w:hAnsi="Times New Roman" w:cs="Times New Roman"/>
          <w:sz w:val="24"/>
          <w:szCs w:val="24"/>
        </w:rPr>
        <w:t xml:space="preserve">the </w:t>
      </w:r>
      <w:r w:rsidR="00C5200E">
        <w:rPr>
          <w:rFonts w:ascii="Times New Roman" w:hAnsi="Times New Roman" w:cs="Times New Roman"/>
          <w:sz w:val="24"/>
          <w:szCs w:val="24"/>
        </w:rPr>
        <w:t>main matter</w:t>
      </w:r>
      <w:r w:rsidR="00C5200E" w:rsidRPr="00E85C6D">
        <w:rPr>
          <w:rFonts w:ascii="Times New Roman" w:hAnsi="Times New Roman" w:cs="Times New Roman"/>
          <w:sz w:val="24"/>
          <w:szCs w:val="24"/>
        </w:rPr>
        <w:t xml:space="preserve"> </w:t>
      </w:r>
      <w:r w:rsidR="00F60302">
        <w:rPr>
          <w:rFonts w:ascii="Times New Roman" w:hAnsi="Times New Roman" w:cs="Times New Roman"/>
          <w:sz w:val="24"/>
          <w:szCs w:val="24"/>
        </w:rPr>
        <w:t xml:space="preserve">i.e., HC 69/21 </w:t>
      </w:r>
      <w:r w:rsidR="00C5200E" w:rsidRPr="00E85C6D">
        <w:rPr>
          <w:rFonts w:ascii="Times New Roman" w:hAnsi="Times New Roman" w:cs="Times New Roman"/>
          <w:sz w:val="24"/>
          <w:szCs w:val="24"/>
        </w:rPr>
        <w:t xml:space="preserve">from the Registrar’s Office. A court is entitled to refer to its own records and proceedings and take note of their contents. See </w:t>
      </w:r>
      <w:r w:rsidR="00C5200E" w:rsidRPr="00E85C6D">
        <w:rPr>
          <w:rFonts w:ascii="Times New Roman" w:hAnsi="Times New Roman" w:cs="Times New Roman"/>
          <w:i/>
          <w:iCs/>
          <w:sz w:val="24"/>
          <w:szCs w:val="24"/>
        </w:rPr>
        <w:t xml:space="preserve">Mhungu v </w:t>
      </w:r>
      <w:proofErr w:type="spellStart"/>
      <w:r w:rsidR="00C5200E" w:rsidRPr="00E85C6D">
        <w:rPr>
          <w:rFonts w:ascii="Times New Roman" w:hAnsi="Times New Roman" w:cs="Times New Roman"/>
          <w:i/>
          <w:iCs/>
          <w:sz w:val="24"/>
          <w:szCs w:val="24"/>
        </w:rPr>
        <w:t>Mtindi</w:t>
      </w:r>
      <w:proofErr w:type="spellEnd"/>
      <w:r w:rsidR="00C5200E" w:rsidRPr="00E85C6D">
        <w:rPr>
          <w:rFonts w:ascii="Times New Roman" w:hAnsi="Times New Roman" w:cs="Times New Roman"/>
          <w:i/>
          <w:iCs/>
          <w:sz w:val="24"/>
          <w:szCs w:val="24"/>
        </w:rPr>
        <w:t xml:space="preserve"> </w:t>
      </w:r>
      <w:r w:rsidR="00C5200E" w:rsidRPr="00E85C6D">
        <w:rPr>
          <w:rFonts w:ascii="Times New Roman" w:hAnsi="Times New Roman" w:cs="Times New Roman"/>
          <w:sz w:val="24"/>
          <w:szCs w:val="24"/>
        </w:rPr>
        <w:t>1986 (2) ZLR (S) at 173A-B.</w:t>
      </w:r>
      <w:r w:rsidR="00C5200E">
        <w:rPr>
          <w:rFonts w:ascii="Times New Roman" w:hAnsi="Times New Roman" w:cs="Times New Roman"/>
          <w:sz w:val="24"/>
          <w:szCs w:val="24"/>
        </w:rPr>
        <w:t xml:space="preserve"> </w:t>
      </w:r>
      <w:r>
        <w:rPr>
          <w:rFonts w:ascii="Times New Roman" w:hAnsi="Times New Roman" w:cs="Times New Roman"/>
          <w:sz w:val="24"/>
          <w:szCs w:val="24"/>
        </w:rPr>
        <w:t>In the main action that is sought to be dismissed the plaintiffs</w:t>
      </w:r>
      <w:r w:rsidR="00F60302">
        <w:rPr>
          <w:rFonts w:ascii="Times New Roman" w:hAnsi="Times New Roman" w:cs="Times New Roman"/>
          <w:sz w:val="24"/>
          <w:szCs w:val="24"/>
        </w:rPr>
        <w:t xml:space="preserve"> therein</w:t>
      </w:r>
      <w:r>
        <w:rPr>
          <w:rFonts w:ascii="Times New Roman" w:hAnsi="Times New Roman" w:cs="Times New Roman"/>
          <w:sz w:val="24"/>
          <w:szCs w:val="24"/>
        </w:rPr>
        <w:t xml:space="preserve"> seek a declaratory ord</w:t>
      </w:r>
      <w:r w:rsidR="00F60302">
        <w:rPr>
          <w:rFonts w:ascii="Times New Roman" w:hAnsi="Times New Roman" w:cs="Times New Roman"/>
          <w:sz w:val="24"/>
          <w:szCs w:val="24"/>
        </w:rPr>
        <w:t xml:space="preserve">er that the agreement of sale between Mushore and Chitura </w:t>
      </w:r>
      <w:r>
        <w:rPr>
          <w:rFonts w:ascii="Times New Roman" w:hAnsi="Times New Roman" w:cs="Times New Roman"/>
          <w:sz w:val="24"/>
          <w:szCs w:val="24"/>
        </w:rPr>
        <w:t xml:space="preserve">be declared of no force and effect; </w:t>
      </w:r>
      <w:r w:rsidR="00F60302">
        <w:rPr>
          <w:rFonts w:ascii="Times New Roman" w:hAnsi="Times New Roman" w:cs="Times New Roman"/>
          <w:sz w:val="24"/>
          <w:szCs w:val="24"/>
        </w:rPr>
        <w:t xml:space="preserve">and that Chitura be evicted from the property. </w:t>
      </w:r>
      <w:r>
        <w:rPr>
          <w:rFonts w:ascii="Times New Roman" w:hAnsi="Times New Roman" w:cs="Times New Roman"/>
          <w:sz w:val="24"/>
          <w:szCs w:val="24"/>
        </w:rPr>
        <w:t xml:space="preserve"> </w:t>
      </w:r>
    </w:p>
    <w:p w14:paraId="1AD85C3F" w14:textId="77777777" w:rsidR="0055135F" w:rsidRDefault="0055135F" w:rsidP="003260D5">
      <w:pPr>
        <w:spacing w:line="360" w:lineRule="auto"/>
        <w:contextualSpacing/>
        <w:jc w:val="both"/>
        <w:rPr>
          <w:rFonts w:ascii="Times New Roman" w:hAnsi="Times New Roman" w:cs="Times New Roman"/>
          <w:sz w:val="24"/>
          <w:szCs w:val="24"/>
        </w:rPr>
      </w:pPr>
    </w:p>
    <w:p w14:paraId="56C62B6E" w14:textId="37A9558E" w:rsidR="006C0BB5" w:rsidRDefault="0055135F" w:rsidP="006C0BB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w:t>
      </w:r>
      <w:r w:rsidR="005212AC">
        <w:rPr>
          <w:rFonts w:ascii="Times New Roman" w:hAnsi="Times New Roman" w:cs="Times New Roman"/>
          <w:sz w:val="24"/>
          <w:szCs w:val="24"/>
        </w:rPr>
        <w:t>8</w:t>
      </w:r>
      <w:r>
        <w:rPr>
          <w:rFonts w:ascii="Times New Roman" w:hAnsi="Times New Roman" w:cs="Times New Roman"/>
          <w:sz w:val="24"/>
          <w:szCs w:val="24"/>
        </w:rPr>
        <w:t xml:space="preserve">] </w:t>
      </w:r>
      <w:r w:rsidR="003260D5">
        <w:rPr>
          <w:rFonts w:ascii="Times New Roman" w:hAnsi="Times New Roman" w:cs="Times New Roman"/>
          <w:sz w:val="24"/>
          <w:szCs w:val="24"/>
        </w:rPr>
        <w:t xml:space="preserve">The cause of action is that during her life time Joice had rights, title and interests in </w:t>
      </w:r>
      <w:r w:rsidR="00540425">
        <w:rPr>
          <w:rFonts w:ascii="Times New Roman" w:hAnsi="Times New Roman" w:cs="Times New Roman"/>
          <w:sz w:val="24"/>
          <w:szCs w:val="24"/>
        </w:rPr>
        <w:t xml:space="preserve">the </w:t>
      </w:r>
      <w:r w:rsidR="00F60302">
        <w:rPr>
          <w:rFonts w:ascii="Times New Roman" w:hAnsi="Times New Roman" w:cs="Times New Roman"/>
          <w:sz w:val="24"/>
          <w:szCs w:val="24"/>
        </w:rPr>
        <w:t xml:space="preserve">disputed </w:t>
      </w:r>
      <w:r w:rsidR="00540425">
        <w:rPr>
          <w:rFonts w:ascii="Times New Roman" w:hAnsi="Times New Roman" w:cs="Times New Roman"/>
          <w:sz w:val="24"/>
          <w:szCs w:val="24"/>
        </w:rPr>
        <w:t>property</w:t>
      </w:r>
      <w:r>
        <w:rPr>
          <w:rFonts w:ascii="Times New Roman" w:hAnsi="Times New Roman" w:cs="Times New Roman"/>
          <w:sz w:val="24"/>
          <w:szCs w:val="24"/>
        </w:rPr>
        <w:t>.</w:t>
      </w:r>
      <w:r w:rsidR="00F60302">
        <w:rPr>
          <w:rFonts w:ascii="Times New Roman" w:hAnsi="Times New Roman" w:cs="Times New Roman"/>
          <w:sz w:val="24"/>
          <w:szCs w:val="24"/>
        </w:rPr>
        <w:t xml:space="preserve"> </w:t>
      </w:r>
      <w:r>
        <w:rPr>
          <w:rFonts w:ascii="Times New Roman" w:hAnsi="Times New Roman" w:cs="Times New Roman"/>
          <w:sz w:val="24"/>
          <w:szCs w:val="24"/>
        </w:rPr>
        <w:t xml:space="preserve">It is </w:t>
      </w:r>
      <w:r w:rsidR="00F60302">
        <w:rPr>
          <w:rFonts w:ascii="Times New Roman" w:hAnsi="Times New Roman" w:cs="Times New Roman"/>
          <w:sz w:val="24"/>
          <w:szCs w:val="24"/>
        </w:rPr>
        <w:t>averred</w:t>
      </w:r>
      <w:r>
        <w:rPr>
          <w:rFonts w:ascii="Times New Roman" w:hAnsi="Times New Roman" w:cs="Times New Roman"/>
          <w:sz w:val="24"/>
          <w:szCs w:val="24"/>
        </w:rPr>
        <w:t xml:space="preserve"> that during her life time she made a declaration that the property should not be sold but </w:t>
      </w:r>
      <w:r w:rsidR="00F60302">
        <w:rPr>
          <w:rFonts w:ascii="Times New Roman" w:hAnsi="Times New Roman" w:cs="Times New Roman"/>
          <w:sz w:val="24"/>
          <w:szCs w:val="24"/>
        </w:rPr>
        <w:t xml:space="preserve">must </w:t>
      </w:r>
      <w:r>
        <w:rPr>
          <w:rFonts w:ascii="Times New Roman" w:hAnsi="Times New Roman" w:cs="Times New Roman"/>
          <w:sz w:val="24"/>
          <w:szCs w:val="24"/>
        </w:rPr>
        <w:t>be used for the benefit of generations to come, including the plaintiff</w:t>
      </w:r>
      <w:r w:rsidR="00F60302">
        <w:rPr>
          <w:rFonts w:ascii="Times New Roman" w:hAnsi="Times New Roman" w:cs="Times New Roman"/>
          <w:sz w:val="24"/>
          <w:szCs w:val="24"/>
        </w:rPr>
        <w:t>s</w:t>
      </w:r>
      <w:r>
        <w:rPr>
          <w:rFonts w:ascii="Times New Roman" w:hAnsi="Times New Roman" w:cs="Times New Roman"/>
          <w:sz w:val="24"/>
          <w:szCs w:val="24"/>
        </w:rPr>
        <w:t xml:space="preserve"> who are her grandchildren. </w:t>
      </w:r>
      <w:r w:rsidR="0063742D">
        <w:rPr>
          <w:rFonts w:ascii="Times New Roman" w:hAnsi="Times New Roman" w:cs="Times New Roman"/>
          <w:sz w:val="24"/>
          <w:szCs w:val="24"/>
        </w:rPr>
        <w:t>Mushore</w:t>
      </w:r>
      <w:r>
        <w:rPr>
          <w:rFonts w:ascii="Times New Roman" w:hAnsi="Times New Roman" w:cs="Times New Roman"/>
          <w:sz w:val="24"/>
          <w:szCs w:val="24"/>
        </w:rPr>
        <w:t xml:space="preserve"> a</w:t>
      </w:r>
      <w:r w:rsidR="00540425">
        <w:rPr>
          <w:rFonts w:ascii="Times New Roman" w:hAnsi="Times New Roman" w:cs="Times New Roman"/>
          <w:sz w:val="24"/>
          <w:szCs w:val="24"/>
        </w:rPr>
        <w:t>s</w:t>
      </w:r>
      <w:r>
        <w:rPr>
          <w:rFonts w:ascii="Times New Roman" w:hAnsi="Times New Roman" w:cs="Times New Roman"/>
          <w:sz w:val="24"/>
          <w:szCs w:val="24"/>
        </w:rPr>
        <w:t xml:space="preserve"> the executrix </w:t>
      </w:r>
      <w:r w:rsidR="0063742D">
        <w:rPr>
          <w:rFonts w:ascii="Times New Roman" w:hAnsi="Times New Roman" w:cs="Times New Roman"/>
          <w:sz w:val="24"/>
          <w:szCs w:val="24"/>
        </w:rPr>
        <w:t xml:space="preserve">of the estate of Dennis sold </w:t>
      </w:r>
      <w:r w:rsidR="00540425">
        <w:rPr>
          <w:rFonts w:ascii="Times New Roman" w:hAnsi="Times New Roman" w:cs="Times New Roman"/>
          <w:sz w:val="24"/>
          <w:szCs w:val="24"/>
        </w:rPr>
        <w:t>the property</w:t>
      </w:r>
      <w:r>
        <w:rPr>
          <w:rFonts w:ascii="Times New Roman" w:hAnsi="Times New Roman" w:cs="Times New Roman"/>
          <w:sz w:val="24"/>
          <w:szCs w:val="24"/>
        </w:rPr>
        <w:t xml:space="preserve"> to </w:t>
      </w:r>
      <w:r w:rsidR="0063742D">
        <w:rPr>
          <w:rFonts w:ascii="Times New Roman" w:hAnsi="Times New Roman" w:cs="Times New Roman"/>
          <w:sz w:val="24"/>
          <w:szCs w:val="24"/>
        </w:rPr>
        <w:t>Chitura</w:t>
      </w:r>
      <w:r>
        <w:rPr>
          <w:rFonts w:ascii="Times New Roman" w:hAnsi="Times New Roman" w:cs="Times New Roman"/>
          <w:sz w:val="24"/>
          <w:szCs w:val="24"/>
        </w:rPr>
        <w:t xml:space="preserve">. </w:t>
      </w:r>
      <w:r w:rsidR="00540425">
        <w:rPr>
          <w:rFonts w:ascii="Times New Roman" w:hAnsi="Times New Roman" w:cs="Times New Roman"/>
          <w:sz w:val="24"/>
          <w:szCs w:val="24"/>
        </w:rPr>
        <w:t>It is pleaded that the plaintiff</w:t>
      </w:r>
      <w:r w:rsidR="00EF7BAF">
        <w:rPr>
          <w:rFonts w:ascii="Times New Roman" w:hAnsi="Times New Roman" w:cs="Times New Roman"/>
          <w:sz w:val="24"/>
          <w:szCs w:val="24"/>
        </w:rPr>
        <w:t>s</w:t>
      </w:r>
      <w:r w:rsidR="00540425">
        <w:rPr>
          <w:rFonts w:ascii="Times New Roman" w:hAnsi="Times New Roman" w:cs="Times New Roman"/>
          <w:sz w:val="24"/>
          <w:szCs w:val="24"/>
        </w:rPr>
        <w:t xml:space="preserve"> have a real and substantial </w:t>
      </w:r>
      <w:r w:rsidR="00EF7BAF">
        <w:rPr>
          <w:rFonts w:ascii="Times New Roman" w:hAnsi="Times New Roman" w:cs="Times New Roman"/>
          <w:sz w:val="24"/>
          <w:szCs w:val="24"/>
        </w:rPr>
        <w:t xml:space="preserve">interest </w:t>
      </w:r>
      <w:r w:rsidR="00540425">
        <w:rPr>
          <w:rFonts w:ascii="Times New Roman" w:hAnsi="Times New Roman" w:cs="Times New Roman"/>
          <w:sz w:val="24"/>
          <w:szCs w:val="24"/>
        </w:rPr>
        <w:t>i</w:t>
      </w:r>
      <w:r w:rsidR="006C0BB5">
        <w:rPr>
          <w:rFonts w:ascii="Times New Roman" w:hAnsi="Times New Roman" w:cs="Times New Roman"/>
          <w:sz w:val="24"/>
          <w:szCs w:val="24"/>
        </w:rPr>
        <w:t>n the property</w:t>
      </w:r>
      <w:r w:rsidR="00540425">
        <w:rPr>
          <w:rFonts w:ascii="Times New Roman" w:hAnsi="Times New Roman" w:cs="Times New Roman"/>
          <w:sz w:val="24"/>
          <w:szCs w:val="24"/>
        </w:rPr>
        <w:t xml:space="preserve"> as they are the ultimate beneficiaries of the estate of the late Jo</w:t>
      </w:r>
      <w:r w:rsidR="00EF7BAF">
        <w:rPr>
          <w:rFonts w:ascii="Times New Roman" w:hAnsi="Times New Roman" w:cs="Times New Roman"/>
          <w:sz w:val="24"/>
          <w:szCs w:val="24"/>
        </w:rPr>
        <w:t>y</w:t>
      </w:r>
      <w:r w:rsidR="00540425">
        <w:rPr>
          <w:rFonts w:ascii="Times New Roman" w:hAnsi="Times New Roman" w:cs="Times New Roman"/>
          <w:sz w:val="24"/>
          <w:szCs w:val="24"/>
        </w:rPr>
        <w:t xml:space="preserve">ce. And that </w:t>
      </w:r>
      <w:r w:rsidR="00C0546D">
        <w:rPr>
          <w:rFonts w:ascii="Times New Roman" w:hAnsi="Times New Roman" w:cs="Times New Roman"/>
          <w:sz w:val="24"/>
          <w:szCs w:val="24"/>
        </w:rPr>
        <w:t>Mushore</w:t>
      </w:r>
      <w:r w:rsidR="00540425">
        <w:rPr>
          <w:rFonts w:ascii="Times New Roman" w:hAnsi="Times New Roman" w:cs="Times New Roman"/>
          <w:sz w:val="24"/>
          <w:szCs w:val="24"/>
        </w:rPr>
        <w:t xml:space="preserve"> had no right to sell the property. </w:t>
      </w:r>
      <w:r w:rsidR="006C0BB5">
        <w:rPr>
          <w:rFonts w:ascii="Times New Roman" w:hAnsi="Times New Roman" w:cs="Times New Roman"/>
          <w:sz w:val="24"/>
          <w:szCs w:val="24"/>
        </w:rPr>
        <w:t xml:space="preserve">Cut to the bone, it is averred that fraudulent schemes were committed leading to the sale and ceding of the property to Chitura. </w:t>
      </w:r>
    </w:p>
    <w:p w14:paraId="40ABB437" w14:textId="77777777" w:rsidR="00540425" w:rsidRDefault="00540425" w:rsidP="003260D5">
      <w:pPr>
        <w:spacing w:line="360" w:lineRule="auto"/>
        <w:contextualSpacing/>
        <w:jc w:val="both"/>
        <w:rPr>
          <w:rFonts w:ascii="Times New Roman" w:hAnsi="Times New Roman" w:cs="Times New Roman"/>
          <w:sz w:val="24"/>
          <w:szCs w:val="24"/>
        </w:rPr>
      </w:pPr>
    </w:p>
    <w:p w14:paraId="66E33C44" w14:textId="1C4BD47A" w:rsidR="00540425" w:rsidRPr="003260D5" w:rsidRDefault="00540425" w:rsidP="003260D5">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19</w:t>
      </w:r>
      <w:r>
        <w:rPr>
          <w:rFonts w:ascii="Times New Roman" w:hAnsi="Times New Roman" w:cs="Times New Roman"/>
          <w:sz w:val="24"/>
          <w:szCs w:val="24"/>
        </w:rPr>
        <w:t xml:space="preserve">] In her plea </w:t>
      </w:r>
      <w:r w:rsidR="00C0546D">
        <w:rPr>
          <w:rFonts w:ascii="Times New Roman" w:hAnsi="Times New Roman" w:cs="Times New Roman"/>
          <w:sz w:val="24"/>
          <w:szCs w:val="24"/>
        </w:rPr>
        <w:t>Mushore</w:t>
      </w:r>
      <w:r>
        <w:rPr>
          <w:rFonts w:ascii="Times New Roman" w:hAnsi="Times New Roman" w:cs="Times New Roman"/>
          <w:sz w:val="24"/>
          <w:szCs w:val="24"/>
        </w:rPr>
        <w:t xml:space="preserve"> contends that the </w:t>
      </w:r>
      <w:r w:rsidR="006C0BB5">
        <w:rPr>
          <w:rFonts w:ascii="Times New Roman" w:hAnsi="Times New Roman" w:cs="Times New Roman"/>
          <w:sz w:val="24"/>
          <w:szCs w:val="24"/>
        </w:rPr>
        <w:t>f</w:t>
      </w:r>
      <w:r>
        <w:rPr>
          <w:rFonts w:ascii="Times New Roman" w:hAnsi="Times New Roman" w:cs="Times New Roman"/>
          <w:sz w:val="24"/>
          <w:szCs w:val="24"/>
        </w:rPr>
        <w:t xml:space="preserve">irst and </w:t>
      </w:r>
      <w:r w:rsidR="006C0BB5">
        <w:rPr>
          <w:rFonts w:ascii="Times New Roman" w:hAnsi="Times New Roman" w:cs="Times New Roman"/>
          <w:sz w:val="24"/>
          <w:szCs w:val="24"/>
        </w:rPr>
        <w:t>f</w:t>
      </w:r>
      <w:r>
        <w:rPr>
          <w:rFonts w:ascii="Times New Roman" w:hAnsi="Times New Roman" w:cs="Times New Roman"/>
          <w:sz w:val="24"/>
          <w:szCs w:val="24"/>
        </w:rPr>
        <w:t xml:space="preserve">inal </w:t>
      </w:r>
      <w:r w:rsidR="006C0BB5">
        <w:rPr>
          <w:rFonts w:ascii="Times New Roman" w:hAnsi="Times New Roman" w:cs="Times New Roman"/>
          <w:sz w:val="24"/>
          <w:szCs w:val="24"/>
        </w:rPr>
        <w:t>d</w:t>
      </w:r>
      <w:r>
        <w:rPr>
          <w:rFonts w:ascii="Times New Roman" w:hAnsi="Times New Roman" w:cs="Times New Roman"/>
          <w:sz w:val="24"/>
          <w:szCs w:val="24"/>
        </w:rPr>
        <w:t xml:space="preserve">istribution </w:t>
      </w:r>
      <w:r w:rsidR="006C0BB5">
        <w:rPr>
          <w:rFonts w:ascii="Times New Roman" w:hAnsi="Times New Roman" w:cs="Times New Roman"/>
          <w:sz w:val="24"/>
          <w:szCs w:val="24"/>
        </w:rPr>
        <w:t>a</w:t>
      </w:r>
      <w:r>
        <w:rPr>
          <w:rFonts w:ascii="Times New Roman" w:hAnsi="Times New Roman" w:cs="Times New Roman"/>
          <w:sz w:val="24"/>
          <w:szCs w:val="24"/>
        </w:rPr>
        <w:t xml:space="preserve">ccount for </w:t>
      </w:r>
      <w:r w:rsidR="006C0BB5">
        <w:rPr>
          <w:rFonts w:ascii="Times New Roman" w:hAnsi="Times New Roman" w:cs="Times New Roman"/>
          <w:sz w:val="24"/>
          <w:szCs w:val="24"/>
        </w:rPr>
        <w:t>e</w:t>
      </w:r>
      <w:r>
        <w:rPr>
          <w:rFonts w:ascii="Times New Roman" w:hAnsi="Times New Roman" w:cs="Times New Roman"/>
          <w:sz w:val="24"/>
          <w:szCs w:val="24"/>
        </w:rPr>
        <w:t xml:space="preserve">state Joyce was confirmed on 2 February 2011. The property was awarded to Dennis and it became part of his estate. The beneficiaries </w:t>
      </w:r>
      <w:r w:rsidR="00CF6ABC">
        <w:rPr>
          <w:rFonts w:ascii="Times New Roman" w:hAnsi="Times New Roman" w:cs="Times New Roman"/>
          <w:sz w:val="24"/>
          <w:szCs w:val="24"/>
        </w:rPr>
        <w:t xml:space="preserve">to the estate of Dennis consented to the sale of the property, and the Master issued authority for the sale in terms of s 120 of the Administration of Estates Act [Chapter 6:01]. </w:t>
      </w:r>
      <w:r w:rsidR="006C0BB5">
        <w:rPr>
          <w:rFonts w:ascii="Times New Roman" w:hAnsi="Times New Roman" w:cs="Times New Roman"/>
          <w:sz w:val="24"/>
          <w:szCs w:val="24"/>
        </w:rPr>
        <w:t xml:space="preserve">And that the estate of Joyce has not been reopened. </w:t>
      </w:r>
    </w:p>
    <w:p w14:paraId="35F31B66" w14:textId="77777777" w:rsidR="000D2D97" w:rsidRDefault="000D2D97" w:rsidP="005339B1">
      <w:pPr>
        <w:spacing w:line="360" w:lineRule="auto"/>
        <w:contextualSpacing/>
        <w:jc w:val="both"/>
        <w:rPr>
          <w:rFonts w:ascii="Times New Roman" w:hAnsi="Times New Roman" w:cs="Times New Roman"/>
          <w:i/>
          <w:iCs/>
          <w:sz w:val="24"/>
          <w:szCs w:val="24"/>
        </w:rPr>
      </w:pPr>
    </w:p>
    <w:p w14:paraId="774FE44B" w14:textId="2201FB72" w:rsidR="006C0BB5" w:rsidRDefault="00355734" w:rsidP="005339B1">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6C0BB5">
        <w:rPr>
          <w:rFonts w:ascii="Times New Roman" w:hAnsi="Times New Roman" w:cs="Times New Roman"/>
          <w:sz w:val="24"/>
          <w:szCs w:val="24"/>
        </w:rPr>
        <w:t>2</w:t>
      </w:r>
      <w:r w:rsidR="005212AC">
        <w:rPr>
          <w:rFonts w:ascii="Times New Roman" w:hAnsi="Times New Roman" w:cs="Times New Roman"/>
          <w:sz w:val="24"/>
          <w:szCs w:val="24"/>
        </w:rPr>
        <w:t>0</w:t>
      </w:r>
      <w:r>
        <w:rPr>
          <w:rFonts w:ascii="Times New Roman" w:hAnsi="Times New Roman" w:cs="Times New Roman"/>
          <w:sz w:val="24"/>
          <w:szCs w:val="24"/>
        </w:rPr>
        <w:t xml:space="preserve">] </w:t>
      </w:r>
      <w:r w:rsidR="0062107F">
        <w:rPr>
          <w:rFonts w:ascii="Times New Roman" w:hAnsi="Times New Roman" w:cs="Times New Roman"/>
          <w:sz w:val="24"/>
          <w:szCs w:val="24"/>
        </w:rPr>
        <w:t>It is common cause that</w:t>
      </w:r>
      <w:r w:rsidR="00CF6ABC">
        <w:rPr>
          <w:rFonts w:ascii="Times New Roman" w:hAnsi="Times New Roman" w:cs="Times New Roman"/>
          <w:sz w:val="24"/>
          <w:szCs w:val="24"/>
        </w:rPr>
        <w:t xml:space="preserve"> </w:t>
      </w:r>
      <w:r w:rsidR="0062107F">
        <w:rPr>
          <w:rFonts w:ascii="Times New Roman" w:hAnsi="Times New Roman" w:cs="Times New Roman"/>
          <w:sz w:val="24"/>
          <w:szCs w:val="24"/>
        </w:rPr>
        <w:t>Dennis was appointed the executor of the estate Joyce</w:t>
      </w:r>
      <w:r w:rsidR="00C0546D">
        <w:rPr>
          <w:rFonts w:ascii="Times New Roman" w:hAnsi="Times New Roman" w:cs="Times New Roman"/>
          <w:sz w:val="24"/>
          <w:szCs w:val="24"/>
        </w:rPr>
        <w:t>.</w:t>
      </w:r>
      <w:r w:rsidR="0062107F">
        <w:rPr>
          <w:rFonts w:ascii="Times New Roman" w:hAnsi="Times New Roman" w:cs="Times New Roman"/>
          <w:sz w:val="24"/>
          <w:szCs w:val="24"/>
        </w:rPr>
        <w:t xml:space="preserve"> </w:t>
      </w:r>
      <w:r w:rsidR="007B30FE">
        <w:rPr>
          <w:rFonts w:ascii="Times New Roman" w:hAnsi="Times New Roman" w:cs="Times New Roman"/>
          <w:sz w:val="24"/>
          <w:szCs w:val="24"/>
        </w:rPr>
        <w:t xml:space="preserve">The </w:t>
      </w:r>
      <w:r w:rsidR="006C0BB5">
        <w:rPr>
          <w:rFonts w:ascii="Times New Roman" w:hAnsi="Times New Roman" w:cs="Times New Roman"/>
          <w:sz w:val="24"/>
          <w:szCs w:val="24"/>
        </w:rPr>
        <w:t>d</w:t>
      </w:r>
      <w:r w:rsidR="007B30FE">
        <w:rPr>
          <w:rFonts w:ascii="Times New Roman" w:hAnsi="Times New Roman" w:cs="Times New Roman"/>
          <w:sz w:val="24"/>
          <w:szCs w:val="24"/>
        </w:rPr>
        <w:t xml:space="preserve">istribution </w:t>
      </w:r>
      <w:r w:rsidR="006C0BB5">
        <w:rPr>
          <w:rFonts w:ascii="Times New Roman" w:hAnsi="Times New Roman" w:cs="Times New Roman"/>
          <w:sz w:val="24"/>
          <w:szCs w:val="24"/>
        </w:rPr>
        <w:t>a</w:t>
      </w:r>
      <w:r w:rsidR="007B30FE">
        <w:rPr>
          <w:rFonts w:ascii="Times New Roman" w:hAnsi="Times New Roman" w:cs="Times New Roman"/>
          <w:sz w:val="24"/>
          <w:szCs w:val="24"/>
        </w:rPr>
        <w:t xml:space="preserve">ccount in the estate of Joyce was confirmed on 2 February 2011. In terms of the confirmed </w:t>
      </w:r>
      <w:r w:rsidR="006C0BB5">
        <w:rPr>
          <w:rFonts w:ascii="Times New Roman" w:hAnsi="Times New Roman" w:cs="Times New Roman"/>
          <w:sz w:val="24"/>
          <w:szCs w:val="24"/>
        </w:rPr>
        <w:t>d</w:t>
      </w:r>
      <w:r w:rsidR="007B30FE">
        <w:rPr>
          <w:rFonts w:ascii="Times New Roman" w:hAnsi="Times New Roman" w:cs="Times New Roman"/>
          <w:sz w:val="24"/>
          <w:szCs w:val="24"/>
        </w:rPr>
        <w:t xml:space="preserve">istribution </w:t>
      </w:r>
      <w:r w:rsidR="006C0BB5">
        <w:rPr>
          <w:rFonts w:ascii="Times New Roman" w:hAnsi="Times New Roman" w:cs="Times New Roman"/>
          <w:sz w:val="24"/>
          <w:szCs w:val="24"/>
        </w:rPr>
        <w:t>a</w:t>
      </w:r>
      <w:r w:rsidR="007B30FE">
        <w:rPr>
          <w:rFonts w:ascii="Times New Roman" w:hAnsi="Times New Roman" w:cs="Times New Roman"/>
          <w:sz w:val="24"/>
          <w:szCs w:val="24"/>
        </w:rPr>
        <w:t xml:space="preserve">ccount the </w:t>
      </w:r>
      <w:r w:rsidR="00737902">
        <w:rPr>
          <w:rFonts w:ascii="Times New Roman" w:hAnsi="Times New Roman" w:cs="Times New Roman"/>
          <w:sz w:val="24"/>
          <w:szCs w:val="24"/>
        </w:rPr>
        <w:t xml:space="preserve">disputed </w:t>
      </w:r>
      <w:r w:rsidR="007B30FE">
        <w:rPr>
          <w:rFonts w:ascii="Times New Roman" w:hAnsi="Times New Roman" w:cs="Times New Roman"/>
          <w:sz w:val="24"/>
          <w:szCs w:val="24"/>
        </w:rPr>
        <w:t xml:space="preserve">property was awarded to </w:t>
      </w:r>
      <w:r w:rsidR="00C154CB">
        <w:rPr>
          <w:rFonts w:ascii="Times New Roman" w:hAnsi="Times New Roman" w:cs="Times New Roman"/>
          <w:sz w:val="24"/>
          <w:szCs w:val="24"/>
        </w:rPr>
        <w:t>Dennis</w:t>
      </w:r>
      <w:r w:rsidR="007B30FE">
        <w:rPr>
          <w:rFonts w:ascii="Times New Roman" w:hAnsi="Times New Roman" w:cs="Times New Roman"/>
          <w:sz w:val="24"/>
          <w:szCs w:val="24"/>
        </w:rPr>
        <w:t>.</w:t>
      </w:r>
      <w:r w:rsidR="006C0BB5">
        <w:rPr>
          <w:rFonts w:ascii="Times New Roman" w:hAnsi="Times New Roman" w:cs="Times New Roman"/>
          <w:sz w:val="24"/>
          <w:szCs w:val="24"/>
        </w:rPr>
        <w:t xml:space="preserve"> I cannot say on the papers before court that</w:t>
      </w:r>
      <w:r w:rsidR="00C0546D">
        <w:rPr>
          <w:rFonts w:ascii="Times New Roman" w:hAnsi="Times New Roman" w:cs="Times New Roman"/>
          <w:sz w:val="24"/>
          <w:szCs w:val="24"/>
        </w:rPr>
        <w:t xml:space="preserve"> the property was ceded</w:t>
      </w:r>
      <w:r w:rsidR="00737902">
        <w:rPr>
          <w:rFonts w:ascii="Times New Roman" w:hAnsi="Times New Roman" w:cs="Times New Roman"/>
          <w:sz w:val="24"/>
          <w:szCs w:val="24"/>
        </w:rPr>
        <w:t xml:space="preserve"> </w:t>
      </w:r>
      <w:r w:rsidR="00C0546D">
        <w:rPr>
          <w:rFonts w:ascii="Times New Roman" w:hAnsi="Times New Roman" w:cs="Times New Roman"/>
          <w:sz w:val="24"/>
          <w:szCs w:val="24"/>
        </w:rPr>
        <w:t>to Dennis, and it</w:t>
      </w:r>
      <w:r w:rsidR="006C0BB5">
        <w:rPr>
          <w:rFonts w:ascii="Times New Roman" w:hAnsi="Times New Roman" w:cs="Times New Roman"/>
          <w:sz w:val="24"/>
          <w:szCs w:val="24"/>
        </w:rPr>
        <w:t xml:space="preserve"> appears that it</w:t>
      </w:r>
      <w:r w:rsidR="00C0546D">
        <w:rPr>
          <w:rFonts w:ascii="Times New Roman" w:hAnsi="Times New Roman" w:cs="Times New Roman"/>
          <w:sz w:val="24"/>
          <w:szCs w:val="24"/>
        </w:rPr>
        <w:t xml:space="preserve"> remained in the name of Joyce. Therefore, the memorandum of agreement of cession signed</w:t>
      </w:r>
      <w:r w:rsidR="009E1F26">
        <w:rPr>
          <w:rFonts w:ascii="Times New Roman" w:hAnsi="Times New Roman" w:cs="Times New Roman"/>
          <w:sz w:val="24"/>
          <w:szCs w:val="24"/>
        </w:rPr>
        <w:t xml:space="preserve"> on 2 June 2019</w:t>
      </w:r>
      <w:r w:rsidR="00C0546D">
        <w:rPr>
          <w:rFonts w:ascii="Times New Roman" w:hAnsi="Times New Roman" w:cs="Times New Roman"/>
          <w:sz w:val="24"/>
          <w:szCs w:val="24"/>
        </w:rPr>
        <w:t xml:space="preserve"> between </w:t>
      </w:r>
      <w:r w:rsidR="009E1F26">
        <w:rPr>
          <w:rFonts w:ascii="Times New Roman" w:hAnsi="Times New Roman" w:cs="Times New Roman"/>
          <w:sz w:val="24"/>
          <w:szCs w:val="24"/>
        </w:rPr>
        <w:t xml:space="preserve">Mushore as the executrix of the estate of Dennis and Chitura </w:t>
      </w:r>
      <w:r w:rsidR="006C0BB5">
        <w:rPr>
          <w:rFonts w:ascii="Times New Roman" w:hAnsi="Times New Roman" w:cs="Times New Roman"/>
          <w:sz w:val="24"/>
          <w:szCs w:val="24"/>
        </w:rPr>
        <w:t xml:space="preserve">might </w:t>
      </w:r>
      <w:r w:rsidR="009E1F26">
        <w:rPr>
          <w:rFonts w:ascii="Times New Roman" w:hAnsi="Times New Roman" w:cs="Times New Roman"/>
          <w:sz w:val="24"/>
          <w:szCs w:val="24"/>
        </w:rPr>
        <w:t xml:space="preserve">require some interrogation. I say </w:t>
      </w:r>
      <w:r w:rsidR="006C0BB5">
        <w:rPr>
          <w:rFonts w:ascii="Times New Roman" w:hAnsi="Times New Roman" w:cs="Times New Roman"/>
          <w:sz w:val="24"/>
          <w:szCs w:val="24"/>
        </w:rPr>
        <w:t xml:space="preserve">so </w:t>
      </w:r>
      <w:r w:rsidR="009E1F26">
        <w:rPr>
          <w:rFonts w:ascii="Times New Roman" w:hAnsi="Times New Roman" w:cs="Times New Roman"/>
          <w:sz w:val="24"/>
          <w:szCs w:val="24"/>
        </w:rPr>
        <w:t xml:space="preserve">because </w:t>
      </w:r>
      <w:r w:rsidR="00737902">
        <w:rPr>
          <w:rFonts w:ascii="Times New Roman" w:hAnsi="Times New Roman" w:cs="Times New Roman"/>
          <w:sz w:val="24"/>
          <w:szCs w:val="24"/>
        </w:rPr>
        <w:t xml:space="preserve">at the time the cession agreement was signed </w:t>
      </w:r>
      <w:r w:rsidR="009E1F26">
        <w:rPr>
          <w:rFonts w:ascii="Times New Roman" w:hAnsi="Times New Roman" w:cs="Times New Roman"/>
          <w:sz w:val="24"/>
          <w:szCs w:val="24"/>
        </w:rPr>
        <w:t xml:space="preserve">the property </w:t>
      </w:r>
      <w:r w:rsidR="006C0BB5">
        <w:rPr>
          <w:rFonts w:ascii="Times New Roman" w:hAnsi="Times New Roman" w:cs="Times New Roman"/>
          <w:sz w:val="24"/>
          <w:szCs w:val="24"/>
        </w:rPr>
        <w:t>does not appear to have been</w:t>
      </w:r>
      <w:r w:rsidR="009E1F26">
        <w:rPr>
          <w:rFonts w:ascii="Times New Roman" w:hAnsi="Times New Roman" w:cs="Times New Roman"/>
          <w:sz w:val="24"/>
          <w:szCs w:val="24"/>
        </w:rPr>
        <w:t xml:space="preserve"> </w:t>
      </w:r>
      <w:r w:rsidR="00EE1546">
        <w:rPr>
          <w:rFonts w:ascii="Times New Roman" w:hAnsi="Times New Roman" w:cs="Times New Roman"/>
          <w:sz w:val="24"/>
          <w:szCs w:val="24"/>
        </w:rPr>
        <w:t xml:space="preserve">in </w:t>
      </w:r>
      <w:r w:rsidR="009E1F26">
        <w:rPr>
          <w:rFonts w:ascii="Times New Roman" w:hAnsi="Times New Roman" w:cs="Times New Roman"/>
          <w:sz w:val="24"/>
          <w:szCs w:val="24"/>
        </w:rPr>
        <w:t xml:space="preserve">the name of Dennis. </w:t>
      </w:r>
    </w:p>
    <w:p w14:paraId="51C0323F" w14:textId="77777777" w:rsidR="006C0BB5" w:rsidRDefault="006C0BB5" w:rsidP="005339B1">
      <w:pPr>
        <w:spacing w:line="360" w:lineRule="auto"/>
        <w:contextualSpacing/>
        <w:jc w:val="both"/>
        <w:rPr>
          <w:rFonts w:ascii="Times New Roman" w:hAnsi="Times New Roman" w:cs="Times New Roman"/>
          <w:sz w:val="24"/>
          <w:szCs w:val="24"/>
        </w:rPr>
      </w:pPr>
    </w:p>
    <w:p w14:paraId="5A72D696" w14:textId="13E9ECEF" w:rsidR="008E4201" w:rsidRDefault="006C0BB5" w:rsidP="005339B1">
      <w:pPr>
        <w:spacing w:line="360" w:lineRule="auto"/>
        <w:contextualSpacing/>
        <w:jc w:val="both"/>
        <w:rPr>
          <w:rFonts w:ascii="Times New Roman" w:hAnsi="Times New Roman" w:cs="Times New Roman"/>
          <w:color w:val="212529"/>
          <w:sz w:val="24"/>
          <w:szCs w:val="24"/>
          <w:shd w:val="clear" w:color="auto" w:fill="FFFFFF"/>
        </w:rPr>
      </w:pPr>
      <w:r>
        <w:rPr>
          <w:rFonts w:ascii="Times New Roman" w:hAnsi="Times New Roman" w:cs="Times New Roman"/>
          <w:sz w:val="24"/>
          <w:szCs w:val="24"/>
        </w:rPr>
        <w:t>[2</w:t>
      </w:r>
      <w:r w:rsidR="005212AC">
        <w:rPr>
          <w:rFonts w:ascii="Times New Roman" w:hAnsi="Times New Roman" w:cs="Times New Roman"/>
          <w:sz w:val="24"/>
          <w:szCs w:val="24"/>
        </w:rPr>
        <w:t>1</w:t>
      </w:r>
      <w:r>
        <w:rPr>
          <w:rFonts w:ascii="Times New Roman" w:hAnsi="Times New Roman" w:cs="Times New Roman"/>
          <w:sz w:val="24"/>
          <w:szCs w:val="24"/>
        </w:rPr>
        <w:t xml:space="preserve">] </w:t>
      </w:r>
      <w:r w:rsidR="009E1F26">
        <w:rPr>
          <w:rFonts w:ascii="Times New Roman" w:hAnsi="Times New Roman" w:cs="Times New Roman"/>
          <w:sz w:val="24"/>
          <w:szCs w:val="24"/>
        </w:rPr>
        <w:t>Again, it</w:t>
      </w:r>
      <w:r w:rsidR="008E4201">
        <w:rPr>
          <w:rFonts w:ascii="Times New Roman" w:hAnsi="Times New Roman" w:cs="Times New Roman"/>
          <w:sz w:val="24"/>
          <w:szCs w:val="24"/>
        </w:rPr>
        <w:t xml:space="preserve"> is </w:t>
      </w:r>
      <w:r w:rsidR="009E1F26">
        <w:rPr>
          <w:rFonts w:ascii="Times New Roman" w:hAnsi="Times New Roman" w:cs="Times New Roman"/>
          <w:sz w:val="24"/>
          <w:szCs w:val="24"/>
        </w:rPr>
        <w:t xml:space="preserve">unclear the basis upon which the </w:t>
      </w:r>
      <w:r w:rsidR="00C154CB" w:rsidRPr="00C154CB">
        <w:rPr>
          <w:rFonts w:ascii="Times New Roman" w:hAnsi="Times New Roman" w:cs="Times New Roman"/>
          <w:color w:val="212529"/>
          <w:sz w:val="24"/>
          <w:szCs w:val="24"/>
          <w:shd w:val="clear" w:color="auto" w:fill="FFFFFF"/>
        </w:rPr>
        <w:t xml:space="preserve">Master </w:t>
      </w:r>
      <w:r w:rsidR="009E1F26">
        <w:rPr>
          <w:rFonts w:ascii="Times New Roman" w:hAnsi="Times New Roman" w:cs="Times New Roman"/>
          <w:color w:val="212529"/>
          <w:sz w:val="24"/>
          <w:szCs w:val="24"/>
          <w:shd w:val="clear" w:color="auto" w:fill="FFFFFF"/>
        </w:rPr>
        <w:t xml:space="preserve">authorized the </w:t>
      </w:r>
      <w:r w:rsidR="008E4201">
        <w:rPr>
          <w:rFonts w:ascii="Times New Roman" w:hAnsi="Times New Roman" w:cs="Times New Roman"/>
          <w:color w:val="212529"/>
          <w:sz w:val="24"/>
          <w:szCs w:val="24"/>
          <w:shd w:val="clear" w:color="auto" w:fill="FFFFFF"/>
        </w:rPr>
        <w:t xml:space="preserve">disputed </w:t>
      </w:r>
      <w:r w:rsidR="00C154CB" w:rsidRPr="00C154CB">
        <w:rPr>
          <w:rFonts w:ascii="Times New Roman" w:hAnsi="Times New Roman" w:cs="Times New Roman"/>
          <w:color w:val="212529"/>
          <w:sz w:val="24"/>
          <w:szCs w:val="24"/>
          <w:shd w:val="clear" w:color="auto" w:fill="FFFFFF"/>
        </w:rPr>
        <w:t xml:space="preserve">property </w:t>
      </w:r>
      <w:r w:rsidR="009E1F26">
        <w:rPr>
          <w:rFonts w:ascii="Times New Roman" w:hAnsi="Times New Roman" w:cs="Times New Roman"/>
          <w:color w:val="212529"/>
          <w:sz w:val="24"/>
          <w:szCs w:val="24"/>
          <w:shd w:val="clear" w:color="auto" w:fill="FFFFFF"/>
        </w:rPr>
        <w:t xml:space="preserve">to be sold </w:t>
      </w:r>
      <w:r w:rsidR="00C154CB" w:rsidRPr="00C154CB">
        <w:rPr>
          <w:rFonts w:ascii="Times New Roman" w:hAnsi="Times New Roman" w:cs="Times New Roman"/>
          <w:color w:val="212529"/>
          <w:sz w:val="24"/>
          <w:szCs w:val="24"/>
          <w:shd w:val="clear" w:color="auto" w:fill="FFFFFF"/>
        </w:rPr>
        <w:t>by private treaty in terms of the provisions of s 120 of the Administration of Estates Act [Chapter 6:01].</w:t>
      </w:r>
      <w:r w:rsidR="00C0546D">
        <w:rPr>
          <w:rFonts w:ascii="Times New Roman" w:hAnsi="Times New Roman" w:cs="Times New Roman"/>
          <w:color w:val="212529"/>
          <w:sz w:val="24"/>
          <w:szCs w:val="24"/>
          <w:shd w:val="clear" w:color="auto" w:fill="FFFFFF"/>
        </w:rPr>
        <w:t xml:space="preserve"> </w:t>
      </w:r>
      <w:r w:rsidR="009E1F26">
        <w:rPr>
          <w:rFonts w:ascii="Times New Roman" w:hAnsi="Times New Roman" w:cs="Times New Roman"/>
          <w:color w:val="212529"/>
          <w:sz w:val="24"/>
          <w:szCs w:val="24"/>
          <w:shd w:val="clear" w:color="auto" w:fill="FFFFFF"/>
        </w:rPr>
        <w:t>The pe</w:t>
      </w:r>
      <w:r w:rsidR="008E4201">
        <w:rPr>
          <w:rFonts w:ascii="Times New Roman" w:hAnsi="Times New Roman" w:cs="Times New Roman"/>
          <w:color w:val="212529"/>
          <w:sz w:val="24"/>
          <w:szCs w:val="24"/>
          <w:shd w:val="clear" w:color="auto" w:fill="FFFFFF"/>
        </w:rPr>
        <w:t xml:space="preserve">rsons </w:t>
      </w:r>
      <w:r w:rsidR="009E1F26">
        <w:rPr>
          <w:rFonts w:ascii="Times New Roman" w:hAnsi="Times New Roman" w:cs="Times New Roman"/>
          <w:color w:val="212529"/>
          <w:sz w:val="24"/>
          <w:szCs w:val="24"/>
          <w:shd w:val="clear" w:color="auto" w:fill="FFFFFF"/>
        </w:rPr>
        <w:t xml:space="preserve">who deposed to affidavits consenting to the sale of the property were all beneficiaries in the estate of Dennis. </w:t>
      </w:r>
      <w:r w:rsidR="00EE770C">
        <w:rPr>
          <w:rFonts w:ascii="Times New Roman" w:hAnsi="Times New Roman" w:cs="Times New Roman"/>
          <w:color w:val="212529"/>
          <w:sz w:val="24"/>
          <w:szCs w:val="24"/>
          <w:shd w:val="clear" w:color="auto" w:fill="FFFFFF"/>
        </w:rPr>
        <w:t>However, the s 120 authority issued by the Master on 20 December 2019 relates to the estate of Joyce</w:t>
      </w:r>
      <w:r w:rsidR="008E4201">
        <w:rPr>
          <w:rFonts w:ascii="Times New Roman" w:hAnsi="Times New Roman" w:cs="Times New Roman"/>
          <w:color w:val="212529"/>
          <w:sz w:val="24"/>
          <w:szCs w:val="24"/>
          <w:shd w:val="clear" w:color="auto" w:fill="FFFFFF"/>
        </w:rPr>
        <w:t xml:space="preserve">. The DRBY number relates to the estate of Joyce; and </w:t>
      </w:r>
      <w:r>
        <w:rPr>
          <w:rFonts w:ascii="Times New Roman" w:hAnsi="Times New Roman" w:cs="Times New Roman"/>
          <w:color w:val="212529"/>
          <w:sz w:val="24"/>
          <w:szCs w:val="24"/>
          <w:shd w:val="clear" w:color="auto" w:fill="FFFFFF"/>
        </w:rPr>
        <w:t>the s 120 authority</w:t>
      </w:r>
      <w:r w:rsidR="008E4201">
        <w:rPr>
          <w:rFonts w:ascii="Times New Roman" w:hAnsi="Times New Roman" w:cs="Times New Roman"/>
          <w:color w:val="212529"/>
          <w:sz w:val="24"/>
          <w:szCs w:val="24"/>
          <w:shd w:val="clear" w:color="auto" w:fill="FFFFFF"/>
        </w:rPr>
        <w:t xml:space="preserve"> actually says “in the estate of the late Joyce Nyakale,” and authorizes the executor dative to sell the property. The estate of Joyce</w:t>
      </w:r>
      <w:r w:rsidR="00EE770C">
        <w:rPr>
          <w:rFonts w:ascii="Times New Roman" w:hAnsi="Times New Roman" w:cs="Times New Roman"/>
          <w:color w:val="212529"/>
          <w:sz w:val="24"/>
          <w:szCs w:val="24"/>
          <w:shd w:val="clear" w:color="auto" w:fill="FFFFFF"/>
        </w:rPr>
        <w:t xml:space="preserve"> was closed on 30 December 2010</w:t>
      </w:r>
      <w:r w:rsidR="008E4201">
        <w:rPr>
          <w:rFonts w:ascii="Times New Roman" w:hAnsi="Times New Roman" w:cs="Times New Roman"/>
          <w:color w:val="212529"/>
          <w:sz w:val="24"/>
          <w:szCs w:val="24"/>
          <w:shd w:val="clear" w:color="auto" w:fill="FFFFFF"/>
        </w:rPr>
        <w:t xml:space="preserve">, and on 20 December 2019 there was no executor in </w:t>
      </w:r>
      <w:r>
        <w:rPr>
          <w:rFonts w:ascii="Times New Roman" w:hAnsi="Times New Roman" w:cs="Times New Roman"/>
          <w:color w:val="212529"/>
          <w:sz w:val="24"/>
          <w:szCs w:val="24"/>
          <w:shd w:val="clear" w:color="auto" w:fill="FFFFFF"/>
        </w:rPr>
        <w:t>her</w:t>
      </w:r>
      <w:r w:rsidR="008E4201">
        <w:rPr>
          <w:rFonts w:ascii="Times New Roman" w:hAnsi="Times New Roman" w:cs="Times New Roman"/>
          <w:color w:val="212529"/>
          <w:sz w:val="24"/>
          <w:szCs w:val="24"/>
          <w:shd w:val="clear" w:color="auto" w:fill="FFFFFF"/>
        </w:rPr>
        <w:t xml:space="preserve"> estate. </w:t>
      </w:r>
      <w:r w:rsidR="005F0ADC">
        <w:rPr>
          <w:rFonts w:ascii="Times New Roman" w:hAnsi="Times New Roman" w:cs="Times New Roman"/>
          <w:color w:val="212529"/>
          <w:sz w:val="24"/>
          <w:szCs w:val="24"/>
          <w:shd w:val="clear" w:color="auto" w:fill="FFFFFF"/>
        </w:rPr>
        <w:t xml:space="preserve">All these issues need to be interrogated at the trial in the main action. </w:t>
      </w:r>
    </w:p>
    <w:p w14:paraId="2D04C7BD" w14:textId="77777777" w:rsidR="008E4201" w:rsidRDefault="008E4201" w:rsidP="005339B1">
      <w:pPr>
        <w:spacing w:line="360" w:lineRule="auto"/>
        <w:contextualSpacing/>
        <w:jc w:val="both"/>
        <w:rPr>
          <w:rFonts w:ascii="Times New Roman" w:hAnsi="Times New Roman" w:cs="Times New Roman"/>
          <w:color w:val="212529"/>
          <w:sz w:val="24"/>
          <w:szCs w:val="24"/>
          <w:shd w:val="clear" w:color="auto" w:fill="FFFFFF"/>
        </w:rPr>
      </w:pPr>
    </w:p>
    <w:p w14:paraId="6E0851F6" w14:textId="44B3239D" w:rsidR="008E4201" w:rsidRDefault="008E4201" w:rsidP="005339B1">
      <w:pPr>
        <w:spacing w:line="360" w:lineRule="auto"/>
        <w:contextualSpacing/>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w:t>
      </w:r>
      <w:r w:rsidR="005F0ADC">
        <w:rPr>
          <w:rFonts w:ascii="Times New Roman" w:hAnsi="Times New Roman" w:cs="Times New Roman"/>
          <w:color w:val="212529"/>
          <w:sz w:val="24"/>
          <w:szCs w:val="24"/>
          <w:shd w:val="clear" w:color="auto" w:fill="FFFFFF"/>
        </w:rPr>
        <w:t>2</w:t>
      </w:r>
      <w:r w:rsidR="005212AC">
        <w:rPr>
          <w:rFonts w:ascii="Times New Roman" w:hAnsi="Times New Roman" w:cs="Times New Roman"/>
          <w:color w:val="212529"/>
          <w:sz w:val="24"/>
          <w:szCs w:val="24"/>
          <w:shd w:val="clear" w:color="auto" w:fill="FFFFFF"/>
        </w:rPr>
        <w:t>2</w:t>
      </w:r>
      <w:r>
        <w:rPr>
          <w:rFonts w:ascii="Times New Roman" w:hAnsi="Times New Roman" w:cs="Times New Roman"/>
          <w:color w:val="212529"/>
          <w:sz w:val="24"/>
          <w:szCs w:val="24"/>
          <w:shd w:val="clear" w:color="auto" w:fill="FFFFFF"/>
        </w:rPr>
        <w:t xml:space="preserve">] </w:t>
      </w:r>
      <w:r w:rsidR="00EE770C">
        <w:rPr>
          <w:rFonts w:ascii="Times New Roman" w:hAnsi="Times New Roman" w:cs="Times New Roman"/>
          <w:color w:val="212529"/>
          <w:sz w:val="24"/>
          <w:szCs w:val="24"/>
          <w:shd w:val="clear" w:color="auto" w:fill="FFFFFF"/>
        </w:rPr>
        <w:t xml:space="preserve">Furthermore, there is a copy of a memorandum of agreement between the Municipality of Bulawayo </w:t>
      </w:r>
      <w:r w:rsidR="005F0ADC">
        <w:rPr>
          <w:rFonts w:ascii="Times New Roman" w:hAnsi="Times New Roman" w:cs="Times New Roman"/>
          <w:color w:val="212529"/>
          <w:sz w:val="24"/>
          <w:szCs w:val="24"/>
          <w:shd w:val="clear" w:color="auto" w:fill="FFFFFF"/>
        </w:rPr>
        <w:t xml:space="preserve">(Municipality) </w:t>
      </w:r>
      <w:r w:rsidR="00EE770C">
        <w:rPr>
          <w:rFonts w:ascii="Times New Roman" w:hAnsi="Times New Roman" w:cs="Times New Roman"/>
          <w:color w:val="212529"/>
          <w:sz w:val="24"/>
          <w:szCs w:val="24"/>
          <w:shd w:val="clear" w:color="auto" w:fill="FFFFFF"/>
        </w:rPr>
        <w:t xml:space="preserve">and </w:t>
      </w:r>
      <w:r w:rsidR="005F0ADC">
        <w:rPr>
          <w:rFonts w:ascii="Times New Roman" w:hAnsi="Times New Roman" w:cs="Times New Roman"/>
          <w:color w:val="212529"/>
          <w:sz w:val="24"/>
          <w:szCs w:val="24"/>
          <w:shd w:val="clear" w:color="auto" w:fill="FFFFFF"/>
        </w:rPr>
        <w:t>e</w:t>
      </w:r>
      <w:r w:rsidR="00EE770C">
        <w:rPr>
          <w:rFonts w:ascii="Times New Roman" w:hAnsi="Times New Roman" w:cs="Times New Roman"/>
          <w:color w:val="212529"/>
          <w:sz w:val="24"/>
          <w:szCs w:val="24"/>
          <w:shd w:val="clear" w:color="auto" w:fill="FFFFFF"/>
        </w:rPr>
        <w:t>state Joyce which is dated 4 February 2020</w:t>
      </w:r>
      <w:r w:rsidR="00737902">
        <w:rPr>
          <w:rFonts w:ascii="Times New Roman" w:hAnsi="Times New Roman" w:cs="Times New Roman"/>
          <w:color w:val="212529"/>
          <w:sz w:val="24"/>
          <w:szCs w:val="24"/>
          <w:shd w:val="clear" w:color="auto" w:fill="FFFFFF"/>
        </w:rPr>
        <w:t xml:space="preserve">, and the </w:t>
      </w:r>
      <w:r w:rsidR="00EE770C">
        <w:rPr>
          <w:rFonts w:ascii="Times New Roman" w:hAnsi="Times New Roman" w:cs="Times New Roman"/>
          <w:color w:val="212529"/>
          <w:sz w:val="24"/>
          <w:szCs w:val="24"/>
          <w:shd w:val="clear" w:color="auto" w:fill="FFFFFF"/>
        </w:rPr>
        <w:t xml:space="preserve">agreement purports to cancel the agreement of sale </w:t>
      </w:r>
      <w:r>
        <w:rPr>
          <w:rFonts w:ascii="Times New Roman" w:hAnsi="Times New Roman" w:cs="Times New Roman"/>
          <w:color w:val="212529"/>
          <w:sz w:val="24"/>
          <w:szCs w:val="24"/>
          <w:shd w:val="clear" w:color="auto" w:fill="FFFFFF"/>
        </w:rPr>
        <w:t xml:space="preserve">of the property </w:t>
      </w:r>
      <w:r w:rsidR="00EE770C">
        <w:rPr>
          <w:rFonts w:ascii="Times New Roman" w:hAnsi="Times New Roman" w:cs="Times New Roman"/>
          <w:color w:val="212529"/>
          <w:sz w:val="24"/>
          <w:szCs w:val="24"/>
          <w:shd w:val="clear" w:color="auto" w:fill="FFFFFF"/>
        </w:rPr>
        <w:t>between the Municipality and Joyce dated 6 April 1984. The cancellation agreement bears the signatures</w:t>
      </w:r>
      <w:r>
        <w:rPr>
          <w:rFonts w:ascii="Times New Roman" w:hAnsi="Times New Roman" w:cs="Times New Roman"/>
          <w:color w:val="212529"/>
          <w:sz w:val="24"/>
          <w:szCs w:val="24"/>
          <w:shd w:val="clear" w:color="auto" w:fill="FFFFFF"/>
        </w:rPr>
        <w:t xml:space="preserve"> of the Municipality</w:t>
      </w:r>
      <w:r w:rsidR="004129B2">
        <w:rPr>
          <w:rFonts w:ascii="Times New Roman" w:hAnsi="Times New Roman" w:cs="Times New Roman"/>
          <w:color w:val="212529"/>
          <w:sz w:val="24"/>
          <w:szCs w:val="24"/>
          <w:shd w:val="clear" w:color="auto" w:fill="FFFFFF"/>
        </w:rPr>
        <w:t xml:space="preserve"> and </w:t>
      </w:r>
      <w:r>
        <w:rPr>
          <w:rFonts w:ascii="Times New Roman" w:hAnsi="Times New Roman" w:cs="Times New Roman"/>
          <w:color w:val="212529"/>
          <w:sz w:val="24"/>
          <w:szCs w:val="24"/>
          <w:shd w:val="clear" w:color="auto" w:fill="FFFFFF"/>
        </w:rPr>
        <w:t>its</w:t>
      </w:r>
      <w:r w:rsidR="004129B2">
        <w:rPr>
          <w:rFonts w:ascii="Times New Roman" w:hAnsi="Times New Roman" w:cs="Times New Roman"/>
          <w:color w:val="212529"/>
          <w:sz w:val="24"/>
          <w:szCs w:val="24"/>
          <w:shd w:val="clear" w:color="auto" w:fill="FFFFFF"/>
        </w:rPr>
        <w:t xml:space="preserve"> witnesses, however no one signed on behalf of the </w:t>
      </w:r>
      <w:r w:rsidR="005F0ADC">
        <w:rPr>
          <w:rFonts w:ascii="Times New Roman" w:hAnsi="Times New Roman" w:cs="Times New Roman"/>
          <w:color w:val="212529"/>
          <w:sz w:val="24"/>
          <w:szCs w:val="24"/>
          <w:shd w:val="clear" w:color="auto" w:fill="FFFFFF"/>
        </w:rPr>
        <w:t>e</w:t>
      </w:r>
      <w:r w:rsidR="004129B2">
        <w:rPr>
          <w:rFonts w:ascii="Times New Roman" w:hAnsi="Times New Roman" w:cs="Times New Roman"/>
          <w:color w:val="212529"/>
          <w:sz w:val="24"/>
          <w:szCs w:val="24"/>
          <w:shd w:val="clear" w:color="auto" w:fill="FFFFFF"/>
        </w:rPr>
        <w:t xml:space="preserve">state </w:t>
      </w:r>
      <w:r w:rsidR="005F0ADC">
        <w:rPr>
          <w:rFonts w:ascii="Times New Roman" w:hAnsi="Times New Roman" w:cs="Times New Roman"/>
          <w:color w:val="212529"/>
          <w:sz w:val="24"/>
          <w:szCs w:val="24"/>
          <w:shd w:val="clear" w:color="auto" w:fill="FFFFFF"/>
        </w:rPr>
        <w:t>l</w:t>
      </w:r>
      <w:r w:rsidR="004129B2">
        <w:rPr>
          <w:rFonts w:ascii="Times New Roman" w:hAnsi="Times New Roman" w:cs="Times New Roman"/>
          <w:color w:val="212529"/>
          <w:sz w:val="24"/>
          <w:szCs w:val="24"/>
          <w:shd w:val="clear" w:color="auto" w:fill="FFFFFF"/>
        </w:rPr>
        <w:t>ate Joyce, although they are signatures of witnesses.</w:t>
      </w:r>
      <w:r>
        <w:rPr>
          <w:rFonts w:ascii="Times New Roman" w:hAnsi="Times New Roman" w:cs="Times New Roman"/>
          <w:color w:val="212529"/>
          <w:sz w:val="24"/>
          <w:szCs w:val="24"/>
          <w:shd w:val="clear" w:color="auto" w:fill="FFFFFF"/>
        </w:rPr>
        <w:t xml:space="preserve"> The effect at law of this cancellation agreement </w:t>
      </w:r>
      <w:r w:rsidR="00D05E93">
        <w:rPr>
          <w:rFonts w:ascii="Times New Roman" w:hAnsi="Times New Roman" w:cs="Times New Roman"/>
          <w:color w:val="212529"/>
          <w:sz w:val="24"/>
          <w:szCs w:val="24"/>
          <w:shd w:val="clear" w:color="auto" w:fill="FFFFFF"/>
        </w:rPr>
        <w:t>is unclear, these are issues that might well be determined in the main action. Questions might arise as to the reason</w:t>
      </w:r>
      <w:r w:rsidR="005F0ADC">
        <w:rPr>
          <w:rFonts w:ascii="Times New Roman" w:hAnsi="Times New Roman" w:cs="Times New Roman"/>
          <w:color w:val="212529"/>
          <w:sz w:val="24"/>
          <w:szCs w:val="24"/>
          <w:shd w:val="clear" w:color="auto" w:fill="FFFFFF"/>
        </w:rPr>
        <w:t xml:space="preserve"> </w:t>
      </w:r>
      <w:r w:rsidR="00EE1546">
        <w:rPr>
          <w:rFonts w:ascii="Times New Roman" w:hAnsi="Times New Roman" w:cs="Times New Roman"/>
          <w:color w:val="212529"/>
          <w:sz w:val="24"/>
          <w:szCs w:val="24"/>
          <w:shd w:val="clear" w:color="auto" w:fill="FFFFFF"/>
        </w:rPr>
        <w:t>for the cancellation of the</w:t>
      </w:r>
      <w:r w:rsidR="00D05E93">
        <w:rPr>
          <w:rFonts w:ascii="Times New Roman" w:hAnsi="Times New Roman" w:cs="Times New Roman"/>
          <w:color w:val="212529"/>
          <w:sz w:val="24"/>
          <w:szCs w:val="24"/>
          <w:shd w:val="clear" w:color="auto" w:fill="FFFFFF"/>
        </w:rPr>
        <w:t xml:space="preserve"> agreement after the death of Joyce, and after her estate had been administered and closed. Again, the cancellation agreement refers to the estate late Joyce, but the DRB number is 831/15 that of the estate of Dennis. </w:t>
      </w:r>
      <w:r w:rsidR="005F0ADC">
        <w:rPr>
          <w:rFonts w:ascii="Times New Roman" w:hAnsi="Times New Roman" w:cs="Times New Roman"/>
          <w:color w:val="212529"/>
          <w:sz w:val="24"/>
          <w:szCs w:val="24"/>
          <w:shd w:val="clear" w:color="auto" w:fill="FFFFFF"/>
        </w:rPr>
        <w:t xml:space="preserve">These issues are unclear and cannot be determined on the papers. </w:t>
      </w:r>
    </w:p>
    <w:p w14:paraId="5A7993C0" w14:textId="77777777" w:rsidR="008E4201" w:rsidRDefault="008E4201" w:rsidP="005339B1">
      <w:pPr>
        <w:spacing w:line="360" w:lineRule="auto"/>
        <w:contextualSpacing/>
        <w:jc w:val="both"/>
        <w:rPr>
          <w:rFonts w:ascii="Times New Roman" w:hAnsi="Times New Roman" w:cs="Times New Roman"/>
          <w:color w:val="212529"/>
          <w:sz w:val="24"/>
          <w:szCs w:val="24"/>
          <w:shd w:val="clear" w:color="auto" w:fill="FFFFFF"/>
        </w:rPr>
      </w:pPr>
    </w:p>
    <w:p w14:paraId="5000D3B8" w14:textId="37F5F242" w:rsidR="004F6F63" w:rsidRPr="008E4201" w:rsidRDefault="00D05E93" w:rsidP="005339B1">
      <w:pPr>
        <w:spacing w:line="360" w:lineRule="auto"/>
        <w:contextualSpacing/>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lastRenderedPageBreak/>
        <w:t>[</w:t>
      </w:r>
      <w:r w:rsidR="006E62FB">
        <w:rPr>
          <w:rFonts w:ascii="Times New Roman" w:hAnsi="Times New Roman" w:cs="Times New Roman"/>
          <w:color w:val="212529"/>
          <w:sz w:val="24"/>
          <w:szCs w:val="24"/>
          <w:shd w:val="clear" w:color="auto" w:fill="FFFFFF"/>
        </w:rPr>
        <w:t>2</w:t>
      </w:r>
      <w:r w:rsidR="005212AC">
        <w:rPr>
          <w:rFonts w:ascii="Times New Roman" w:hAnsi="Times New Roman" w:cs="Times New Roman"/>
          <w:color w:val="212529"/>
          <w:sz w:val="24"/>
          <w:szCs w:val="24"/>
          <w:shd w:val="clear" w:color="auto" w:fill="FFFFFF"/>
        </w:rPr>
        <w:t>3</w:t>
      </w:r>
      <w:r>
        <w:rPr>
          <w:rFonts w:ascii="Times New Roman" w:hAnsi="Times New Roman" w:cs="Times New Roman"/>
          <w:color w:val="212529"/>
          <w:sz w:val="24"/>
          <w:szCs w:val="24"/>
          <w:shd w:val="clear" w:color="auto" w:fill="FFFFFF"/>
        </w:rPr>
        <w:t>]</w:t>
      </w:r>
      <w:r w:rsidR="004129B2">
        <w:rPr>
          <w:rFonts w:ascii="Times New Roman" w:hAnsi="Times New Roman" w:cs="Times New Roman"/>
          <w:color w:val="212529"/>
          <w:sz w:val="24"/>
          <w:szCs w:val="24"/>
          <w:shd w:val="clear" w:color="auto" w:fill="FFFFFF"/>
        </w:rPr>
        <w:t xml:space="preserve"> </w:t>
      </w:r>
      <w:r w:rsidR="00761383">
        <w:rPr>
          <w:rFonts w:ascii="Times New Roman" w:hAnsi="Times New Roman" w:cs="Times New Roman"/>
          <w:color w:val="212529"/>
          <w:sz w:val="24"/>
          <w:szCs w:val="24"/>
          <w:shd w:val="clear" w:color="auto" w:fill="FFFFFF"/>
        </w:rPr>
        <w:t>I repeat that the memorandum of agreement of cession between Mushore and Chitura requires some interrogation. At the time it was signed the property was still in the name of Joyce. The person who signed the memorandum is Mushore the executrix in the estate of Dennis, and how all this happened might be issues for determination in the main action. The memorandum of agreement between the Municipality and Chitura is anchored on the one between Mushore and Chitura, which itself requires some interrogation</w:t>
      </w:r>
      <w:r w:rsidR="006E62FB">
        <w:rPr>
          <w:rFonts w:ascii="Times New Roman" w:hAnsi="Times New Roman" w:cs="Times New Roman"/>
          <w:color w:val="212529"/>
          <w:sz w:val="24"/>
          <w:szCs w:val="24"/>
          <w:shd w:val="clear" w:color="auto" w:fill="FFFFFF"/>
        </w:rPr>
        <w:t xml:space="preserve"> and explanation</w:t>
      </w:r>
      <w:r w:rsidR="00761383">
        <w:rPr>
          <w:rFonts w:ascii="Times New Roman" w:hAnsi="Times New Roman" w:cs="Times New Roman"/>
          <w:color w:val="212529"/>
          <w:sz w:val="24"/>
          <w:szCs w:val="24"/>
          <w:shd w:val="clear" w:color="auto" w:fill="FFFFFF"/>
        </w:rPr>
        <w:t xml:space="preserve">. </w:t>
      </w:r>
      <w:r w:rsidR="004F6F63">
        <w:rPr>
          <w:rFonts w:ascii="Times New Roman" w:hAnsi="Times New Roman" w:cs="Times New Roman"/>
          <w:color w:val="212529"/>
          <w:sz w:val="24"/>
          <w:szCs w:val="24"/>
          <w:shd w:val="clear" w:color="auto" w:fill="FFFFFF"/>
        </w:rPr>
        <w:t xml:space="preserve">I make no factual finding regarding all these </w:t>
      </w:r>
      <w:r w:rsidR="009F6EF2">
        <w:rPr>
          <w:rFonts w:ascii="Times New Roman" w:hAnsi="Times New Roman" w:cs="Times New Roman"/>
          <w:color w:val="212529"/>
          <w:sz w:val="24"/>
          <w:szCs w:val="24"/>
          <w:shd w:val="clear" w:color="auto" w:fill="FFFFFF"/>
        </w:rPr>
        <w:t>issues;</w:t>
      </w:r>
      <w:r w:rsidR="004F6F63">
        <w:rPr>
          <w:rFonts w:ascii="Times New Roman" w:hAnsi="Times New Roman" w:cs="Times New Roman"/>
          <w:color w:val="212529"/>
          <w:sz w:val="24"/>
          <w:szCs w:val="24"/>
          <w:shd w:val="clear" w:color="auto" w:fill="FFFFFF"/>
        </w:rPr>
        <w:t xml:space="preserve"> I </w:t>
      </w:r>
      <w:r w:rsidR="00761383">
        <w:rPr>
          <w:rFonts w:ascii="Times New Roman" w:hAnsi="Times New Roman" w:cs="Times New Roman"/>
          <w:color w:val="212529"/>
          <w:sz w:val="24"/>
          <w:szCs w:val="24"/>
          <w:shd w:val="clear" w:color="auto" w:fill="FFFFFF"/>
        </w:rPr>
        <w:t xml:space="preserve">just </w:t>
      </w:r>
      <w:r w:rsidR="004F6F63">
        <w:rPr>
          <w:rFonts w:ascii="Times New Roman" w:hAnsi="Times New Roman" w:cs="Times New Roman"/>
          <w:color w:val="212529"/>
          <w:sz w:val="24"/>
          <w:szCs w:val="24"/>
          <w:shd w:val="clear" w:color="auto" w:fill="FFFFFF"/>
        </w:rPr>
        <w:t>flag them merely to show that</w:t>
      </w:r>
      <w:r w:rsidR="009F6EF2">
        <w:rPr>
          <w:rFonts w:ascii="Times New Roman" w:hAnsi="Times New Roman" w:cs="Times New Roman"/>
          <w:color w:val="212529"/>
          <w:sz w:val="24"/>
          <w:szCs w:val="24"/>
          <w:shd w:val="clear" w:color="auto" w:fill="FFFFFF"/>
        </w:rPr>
        <w:t xml:space="preserve"> the main action</w:t>
      </w:r>
      <w:r w:rsidR="004F6F63">
        <w:rPr>
          <w:rFonts w:ascii="Times New Roman" w:hAnsi="Times New Roman" w:cs="Times New Roman"/>
          <w:color w:val="212529"/>
          <w:sz w:val="24"/>
          <w:szCs w:val="24"/>
          <w:shd w:val="clear" w:color="auto" w:fill="FFFFFF"/>
        </w:rPr>
        <w:t xml:space="preserve"> is not a matter that may be summarily dismissed in terms of r 75. </w:t>
      </w:r>
    </w:p>
    <w:p w14:paraId="6E7D1635" w14:textId="77777777" w:rsidR="00C154CB" w:rsidRDefault="00C154CB" w:rsidP="005339B1">
      <w:pPr>
        <w:spacing w:line="360" w:lineRule="auto"/>
        <w:contextualSpacing/>
        <w:jc w:val="both"/>
        <w:rPr>
          <w:rFonts w:ascii="Times New Roman" w:hAnsi="Times New Roman" w:cs="Times New Roman"/>
          <w:color w:val="212529"/>
          <w:sz w:val="24"/>
          <w:szCs w:val="24"/>
          <w:shd w:val="clear" w:color="auto" w:fill="FFFFFF"/>
        </w:rPr>
      </w:pPr>
    </w:p>
    <w:p w14:paraId="0EA7CCCB" w14:textId="422126C3" w:rsidR="00134A37" w:rsidRDefault="00761383" w:rsidP="00A94182">
      <w:pPr>
        <w:spacing w:line="360" w:lineRule="auto"/>
        <w:contextualSpacing/>
        <w:jc w:val="both"/>
        <w:rPr>
          <w:rFonts w:ascii="Times New Roman" w:hAnsi="Times New Roman" w:cs="Times New Roman"/>
          <w:sz w:val="24"/>
          <w:szCs w:val="24"/>
        </w:rPr>
      </w:pPr>
      <w:r>
        <w:rPr>
          <w:rFonts w:ascii="Times New Roman" w:hAnsi="Times New Roman" w:cs="Times New Roman"/>
          <w:color w:val="212529"/>
          <w:sz w:val="24"/>
          <w:szCs w:val="24"/>
          <w:shd w:val="clear" w:color="auto" w:fill="FFFFFF"/>
        </w:rPr>
        <w:t>[</w:t>
      </w:r>
      <w:r w:rsidR="006E62FB">
        <w:rPr>
          <w:rFonts w:ascii="Times New Roman" w:hAnsi="Times New Roman" w:cs="Times New Roman"/>
          <w:color w:val="212529"/>
          <w:sz w:val="24"/>
          <w:szCs w:val="24"/>
          <w:shd w:val="clear" w:color="auto" w:fill="FFFFFF"/>
        </w:rPr>
        <w:t>2</w:t>
      </w:r>
      <w:r w:rsidR="005212AC">
        <w:rPr>
          <w:rFonts w:ascii="Times New Roman" w:hAnsi="Times New Roman" w:cs="Times New Roman"/>
          <w:color w:val="212529"/>
          <w:sz w:val="24"/>
          <w:szCs w:val="24"/>
          <w:shd w:val="clear" w:color="auto" w:fill="FFFFFF"/>
        </w:rPr>
        <w:t>4</w:t>
      </w:r>
      <w:r>
        <w:rPr>
          <w:rFonts w:ascii="Times New Roman" w:hAnsi="Times New Roman" w:cs="Times New Roman"/>
          <w:color w:val="212529"/>
          <w:sz w:val="24"/>
          <w:szCs w:val="24"/>
          <w:shd w:val="clear" w:color="auto" w:fill="FFFFFF"/>
        </w:rPr>
        <w:t xml:space="preserve">] Mr. </w:t>
      </w:r>
      <w:r w:rsidRPr="00761383">
        <w:rPr>
          <w:rFonts w:ascii="Times New Roman" w:hAnsi="Times New Roman" w:cs="Times New Roman"/>
          <w:i/>
          <w:iCs/>
          <w:color w:val="212529"/>
          <w:sz w:val="24"/>
          <w:szCs w:val="24"/>
          <w:shd w:val="clear" w:color="auto" w:fill="FFFFFF"/>
        </w:rPr>
        <w:t>Siziba</w:t>
      </w:r>
      <w:r>
        <w:rPr>
          <w:rFonts w:ascii="Times New Roman" w:hAnsi="Times New Roman" w:cs="Times New Roman"/>
          <w:color w:val="212529"/>
          <w:sz w:val="24"/>
          <w:szCs w:val="24"/>
          <w:shd w:val="clear" w:color="auto" w:fill="FFFFFF"/>
        </w:rPr>
        <w:t xml:space="preserve"> submitted that without the reopening of the estate of Joyce, the main action </w:t>
      </w:r>
      <w:r>
        <w:rPr>
          <w:rFonts w:ascii="Times New Roman" w:hAnsi="Times New Roman" w:cs="Times New Roman"/>
          <w:sz w:val="24"/>
          <w:szCs w:val="24"/>
        </w:rPr>
        <w:t>is utterly hopeless and with no chance of succeeding at the trial.</w:t>
      </w:r>
      <w:r w:rsidR="001465E8">
        <w:rPr>
          <w:rFonts w:ascii="Times New Roman" w:hAnsi="Times New Roman" w:cs="Times New Roman"/>
          <w:sz w:val="24"/>
          <w:szCs w:val="24"/>
        </w:rPr>
        <w:t xml:space="preserve"> I disagree. Although the plaintiffs are not listed as beneficiaries in the estate of Joyce, it is not disputed that they are her grandchildren. </w:t>
      </w:r>
      <w:r w:rsidR="00EE1546">
        <w:rPr>
          <w:rFonts w:ascii="Times New Roman" w:hAnsi="Times New Roman" w:cs="Times New Roman"/>
          <w:sz w:val="24"/>
          <w:szCs w:val="24"/>
        </w:rPr>
        <w:t>F</w:t>
      </w:r>
      <w:r w:rsidR="001465E8">
        <w:rPr>
          <w:rFonts w:ascii="Times New Roman" w:hAnsi="Times New Roman" w:cs="Times New Roman"/>
          <w:sz w:val="24"/>
          <w:szCs w:val="24"/>
        </w:rPr>
        <w:t>urthermore, I observe without making a finding that it appears that certain processes and action</w:t>
      </w:r>
      <w:r w:rsidR="00134A37">
        <w:rPr>
          <w:rFonts w:ascii="Times New Roman" w:hAnsi="Times New Roman" w:cs="Times New Roman"/>
          <w:sz w:val="24"/>
          <w:szCs w:val="24"/>
        </w:rPr>
        <w:t>s</w:t>
      </w:r>
      <w:r w:rsidR="001465E8">
        <w:rPr>
          <w:rFonts w:ascii="Times New Roman" w:hAnsi="Times New Roman" w:cs="Times New Roman"/>
          <w:sz w:val="24"/>
          <w:szCs w:val="24"/>
        </w:rPr>
        <w:t xml:space="preserve"> were made in the estate of </w:t>
      </w:r>
      <w:r w:rsidR="00EE1546">
        <w:rPr>
          <w:rFonts w:ascii="Times New Roman" w:hAnsi="Times New Roman" w:cs="Times New Roman"/>
          <w:sz w:val="24"/>
          <w:szCs w:val="24"/>
        </w:rPr>
        <w:t xml:space="preserve">the late </w:t>
      </w:r>
      <w:r w:rsidR="001465E8">
        <w:rPr>
          <w:rFonts w:ascii="Times New Roman" w:hAnsi="Times New Roman" w:cs="Times New Roman"/>
          <w:sz w:val="24"/>
          <w:szCs w:val="24"/>
        </w:rPr>
        <w:t xml:space="preserve">Joyce </w:t>
      </w:r>
      <w:r w:rsidR="00134A37">
        <w:rPr>
          <w:rFonts w:ascii="Times New Roman" w:hAnsi="Times New Roman" w:cs="Times New Roman"/>
          <w:sz w:val="24"/>
          <w:szCs w:val="24"/>
        </w:rPr>
        <w:t xml:space="preserve">long </w:t>
      </w:r>
      <w:r w:rsidR="001465E8">
        <w:rPr>
          <w:rFonts w:ascii="Times New Roman" w:hAnsi="Times New Roman" w:cs="Times New Roman"/>
          <w:sz w:val="24"/>
          <w:szCs w:val="24"/>
        </w:rPr>
        <w:t xml:space="preserve">after it had been closed, e.g., the </w:t>
      </w:r>
      <w:r w:rsidR="00134A37">
        <w:rPr>
          <w:rFonts w:ascii="Times New Roman" w:hAnsi="Times New Roman" w:cs="Times New Roman"/>
          <w:sz w:val="24"/>
          <w:szCs w:val="24"/>
        </w:rPr>
        <w:t xml:space="preserve">issuance of a </w:t>
      </w:r>
      <w:r w:rsidR="001465E8">
        <w:rPr>
          <w:rFonts w:ascii="Times New Roman" w:hAnsi="Times New Roman" w:cs="Times New Roman"/>
          <w:sz w:val="24"/>
          <w:szCs w:val="24"/>
        </w:rPr>
        <w:t>s 120 authority in the name of her estate</w:t>
      </w:r>
      <w:r w:rsidR="00134A37">
        <w:rPr>
          <w:rFonts w:ascii="Times New Roman" w:hAnsi="Times New Roman" w:cs="Times New Roman"/>
          <w:sz w:val="24"/>
          <w:szCs w:val="24"/>
        </w:rPr>
        <w:t xml:space="preserve"> on 20 December 2019, when in fact her estate was closed on 2 February 2011. </w:t>
      </w:r>
      <w:r w:rsidR="006E62FB">
        <w:rPr>
          <w:rFonts w:ascii="Times New Roman" w:hAnsi="Times New Roman" w:cs="Times New Roman"/>
          <w:sz w:val="24"/>
          <w:szCs w:val="24"/>
        </w:rPr>
        <w:t xml:space="preserve">Whether the main action may </w:t>
      </w:r>
      <w:r w:rsidR="006E62FB" w:rsidRPr="006E62FB">
        <w:rPr>
          <w:rFonts w:ascii="Times New Roman" w:hAnsi="Times New Roman" w:cs="Times New Roman"/>
          <w:i/>
          <w:iCs/>
          <w:sz w:val="24"/>
          <w:szCs w:val="24"/>
        </w:rPr>
        <w:t>actually</w:t>
      </w:r>
      <w:r w:rsidR="006E62FB">
        <w:rPr>
          <w:rFonts w:ascii="Times New Roman" w:hAnsi="Times New Roman" w:cs="Times New Roman"/>
          <w:sz w:val="24"/>
          <w:szCs w:val="24"/>
        </w:rPr>
        <w:t xml:space="preserve"> succeed or not cannot be determined in this application, it must be determined in the main action itself. The question in this application is whether the main action is frivolous and vexatious and is impossible to succeed.</w:t>
      </w:r>
    </w:p>
    <w:p w14:paraId="7865DB90" w14:textId="77777777" w:rsidR="006E62FB" w:rsidRDefault="006E62FB" w:rsidP="00A94182">
      <w:pPr>
        <w:spacing w:line="360" w:lineRule="auto"/>
        <w:contextualSpacing/>
        <w:jc w:val="both"/>
        <w:rPr>
          <w:rFonts w:ascii="Times New Roman" w:hAnsi="Times New Roman" w:cs="Times New Roman"/>
          <w:sz w:val="24"/>
          <w:szCs w:val="24"/>
        </w:rPr>
      </w:pPr>
    </w:p>
    <w:p w14:paraId="03285995" w14:textId="198AD23A" w:rsidR="00303F7A" w:rsidRDefault="00134A37" w:rsidP="003914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1F2190">
        <w:rPr>
          <w:rFonts w:ascii="Times New Roman" w:hAnsi="Times New Roman" w:cs="Times New Roman"/>
          <w:sz w:val="24"/>
          <w:szCs w:val="24"/>
        </w:rPr>
        <w:t>2</w:t>
      </w:r>
      <w:r w:rsidR="005212AC">
        <w:rPr>
          <w:rFonts w:ascii="Times New Roman" w:hAnsi="Times New Roman" w:cs="Times New Roman"/>
          <w:sz w:val="24"/>
          <w:szCs w:val="24"/>
        </w:rPr>
        <w:t>5</w:t>
      </w:r>
      <w:r>
        <w:rPr>
          <w:rFonts w:ascii="Times New Roman" w:hAnsi="Times New Roman" w:cs="Times New Roman"/>
          <w:sz w:val="24"/>
          <w:szCs w:val="24"/>
        </w:rPr>
        <w:t xml:space="preserve">] Mr. </w:t>
      </w:r>
      <w:r w:rsidRPr="00134A37">
        <w:rPr>
          <w:rFonts w:ascii="Times New Roman" w:hAnsi="Times New Roman" w:cs="Times New Roman"/>
          <w:i/>
          <w:iCs/>
          <w:sz w:val="24"/>
          <w:szCs w:val="24"/>
        </w:rPr>
        <w:t>Ncube</w:t>
      </w:r>
      <w:r>
        <w:rPr>
          <w:rFonts w:ascii="Times New Roman" w:hAnsi="Times New Roman" w:cs="Times New Roman"/>
          <w:sz w:val="24"/>
          <w:szCs w:val="24"/>
        </w:rPr>
        <w:t xml:space="preserve"> submitted that fraudulent activities were committed leading to the disputed property being sold to Chitura. I make no finding on whether fraud was committed or not, </w:t>
      </w:r>
      <w:r w:rsidR="006E62FB">
        <w:rPr>
          <w:rFonts w:ascii="Times New Roman" w:hAnsi="Times New Roman" w:cs="Times New Roman"/>
          <w:sz w:val="24"/>
          <w:szCs w:val="24"/>
        </w:rPr>
        <w:t xml:space="preserve">all I can say </w:t>
      </w:r>
      <w:r w:rsidR="001F2190">
        <w:rPr>
          <w:rFonts w:ascii="Times New Roman" w:hAnsi="Times New Roman" w:cs="Times New Roman"/>
          <w:sz w:val="24"/>
          <w:szCs w:val="24"/>
        </w:rPr>
        <w:t xml:space="preserve">from the papers before court at this stage of the proceedings is that </w:t>
      </w:r>
      <w:r>
        <w:rPr>
          <w:rFonts w:ascii="Times New Roman" w:hAnsi="Times New Roman" w:cs="Times New Roman"/>
          <w:sz w:val="24"/>
          <w:szCs w:val="24"/>
        </w:rPr>
        <w:t xml:space="preserve">these are issues that are ripe for determination in the main action. </w:t>
      </w:r>
      <w:r w:rsidR="00681F1D" w:rsidRPr="0023246D">
        <w:rPr>
          <w:rFonts w:ascii="Times New Roman" w:hAnsi="Times New Roman" w:cs="Times New Roman"/>
          <w:sz w:val="24"/>
          <w:szCs w:val="24"/>
        </w:rPr>
        <w:t xml:space="preserve">Summary dismissal </w:t>
      </w:r>
      <w:r w:rsidR="00681F1D">
        <w:rPr>
          <w:rFonts w:ascii="Times New Roman" w:hAnsi="Times New Roman" w:cs="Times New Roman"/>
          <w:sz w:val="24"/>
          <w:szCs w:val="24"/>
        </w:rPr>
        <w:t xml:space="preserve">is extraordinary and drastic. It makes inroads on a plaintiff’s procedural right to have its case heard in the ordinary course of events, in that it permits the dismissal of a matter without a trial. Unless the respondent’s case is utterly hopeless without chance of succeeding at trial, the court must lean towards allowing it proceed to trial. In this case the </w:t>
      </w:r>
      <w:r w:rsidR="001465E8">
        <w:rPr>
          <w:rFonts w:ascii="Times New Roman" w:hAnsi="Times New Roman" w:cs="Times New Roman"/>
          <w:sz w:val="24"/>
          <w:szCs w:val="24"/>
        </w:rPr>
        <w:t>plaintiffs</w:t>
      </w:r>
      <w:r w:rsidR="00681F1D">
        <w:rPr>
          <w:rFonts w:ascii="Times New Roman" w:hAnsi="Times New Roman" w:cs="Times New Roman"/>
          <w:sz w:val="24"/>
          <w:szCs w:val="24"/>
        </w:rPr>
        <w:t xml:space="preserve"> have shown that the main action is </w:t>
      </w:r>
      <w:r w:rsidR="001465E8">
        <w:rPr>
          <w:rFonts w:ascii="Times New Roman" w:hAnsi="Times New Roman" w:cs="Times New Roman"/>
          <w:sz w:val="24"/>
          <w:szCs w:val="24"/>
        </w:rPr>
        <w:t xml:space="preserve">not </w:t>
      </w:r>
      <w:r w:rsidR="00681F1D">
        <w:rPr>
          <w:rFonts w:ascii="Times New Roman" w:hAnsi="Times New Roman" w:cs="Times New Roman"/>
          <w:sz w:val="24"/>
          <w:szCs w:val="24"/>
        </w:rPr>
        <w:t>utterly hopeless</w:t>
      </w:r>
      <w:r w:rsidR="001465E8">
        <w:rPr>
          <w:rFonts w:ascii="Times New Roman" w:hAnsi="Times New Roman" w:cs="Times New Roman"/>
          <w:sz w:val="24"/>
          <w:szCs w:val="24"/>
        </w:rPr>
        <w:t xml:space="preserve"> </w:t>
      </w:r>
      <w:r w:rsidR="002364B0">
        <w:rPr>
          <w:rFonts w:ascii="Times New Roman" w:hAnsi="Times New Roman" w:cs="Times New Roman"/>
          <w:sz w:val="24"/>
          <w:szCs w:val="24"/>
        </w:rPr>
        <w:t xml:space="preserve">and the court must </w:t>
      </w:r>
      <w:r>
        <w:rPr>
          <w:rFonts w:ascii="Times New Roman" w:hAnsi="Times New Roman" w:cs="Times New Roman"/>
          <w:sz w:val="24"/>
          <w:szCs w:val="24"/>
        </w:rPr>
        <w:t xml:space="preserve">therefore </w:t>
      </w:r>
      <w:r w:rsidR="002364B0">
        <w:rPr>
          <w:rFonts w:ascii="Times New Roman" w:hAnsi="Times New Roman" w:cs="Times New Roman"/>
          <w:sz w:val="24"/>
          <w:szCs w:val="24"/>
        </w:rPr>
        <w:t>lean towards allowing it to proceed to trial</w:t>
      </w:r>
      <w:r w:rsidR="00681F1D">
        <w:rPr>
          <w:rFonts w:ascii="Times New Roman" w:hAnsi="Times New Roman" w:cs="Times New Roman"/>
          <w:sz w:val="24"/>
          <w:szCs w:val="24"/>
        </w:rPr>
        <w:t xml:space="preserve">. </w:t>
      </w:r>
      <w:r w:rsidR="002364B0">
        <w:rPr>
          <w:rFonts w:ascii="Times New Roman" w:hAnsi="Times New Roman" w:cs="Times New Roman"/>
          <w:sz w:val="24"/>
          <w:szCs w:val="24"/>
        </w:rPr>
        <w:t xml:space="preserve">I do not agree that the main action is frivolous and vexatious to warrant </w:t>
      </w:r>
      <w:r>
        <w:rPr>
          <w:rFonts w:ascii="Times New Roman" w:hAnsi="Times New Roman" w:cs="Times New Roman"/>
          <w:sz w:val="24"/>
          <w:szCs w:val="24"/>
        </w:rPr>
        <w:t xml:space="preserve">a </w:t>
      </w:r>
      <w:r w:rsidR="002364B0">
        <w:rPr>
          <w:rFonts w:ascii="Times New Roman" w:hAnsi="Times New Roman" w:cs="Times New Roman"/>
          <w:sz w:val="24"/>
          <w:szCs w:val="24"/>
        </w:rPr>
        <w:t xml:space="preserve">summary dismissal. </w:t>
      </w:r>
      <w:r w:rsidR="00D50F7A">
        <w:rPr>
          <w:rFonts w:ascii="Times New Roman" w:hAnsi="Times New Roman" w:cs="Times New Roman"/>
          <w:sz w:val="24"/>
          <w:szCs w:val="24"/>
        </w:rPr>
        <w:t xml:space="preserve">It is for these reasons that this application stands to </w:t>
      </w:r>
      <w:r w:rsidR="00EE1546">
        <w:rPr>
          <w:rFonts w:ascii="Times New Roman" w:hAnsi="Times New Roman" w:cs="Times New Roman"/>
          <w:sz w:val="24"/>
          <w:szCs w:val="24"/>
        </w:rPr>
        <w:t xml:space="preserve">fail. </w:t>
      </w:r>
      <w:r w:rsidR="00D50F7A">
        <w:rPr>
          <w:rFonts w:ascii="Times New Roman" w:hAnsi="Times New Roman" w:cs="Times New Roman"/>
          <w:sz w:val="24"/>
          <w:szCs w:val="24"/>
        </w:rPr>
        <w:t xml:space="preserve"> </w:t>
      </w:r>
    </w:p>
    <w:p w14:paraId="23F8C426" w14:textId="77777777" w:rsidR="00E71328" w:rsidRPr="00266BA0" w:rsidRDefault="00E71328" w:rsidP="0039149D">
      <w:pPr>
        <w:spacing w:line="360" w:lineRule="auto"/>
        <w:contextualSpacing/>
        <w:jc w:val="both"/>
        <w:rPr>
          <w:rFonts w:ascii="Times New Roman" w:hAnsi="Times New Roman" w:cs="Times New Roman"/>
          <w:b/>
          <w:bCs/>
          <w:sz w:val="24"/>
          <w:szCs w:val="24"/>
        </w:rPr>
      </w:pPr>
    </w:p>
    <w:p w14:paraId="663F8627" w14:textId="42F17F08" w:rsidR="00266BA0" w:rsidRPr="00266BA0" w:rsidRDefault="00266BA0" w:rsidP="001F2190">
      <w:pPr>
        <w:spacing w:line="360" w:lineRule="auto"/>
        <w:jc w:val="both"/>
        <w:rPr>
          <w:rFonts w:ascii="Times New Roman" w:hAnsi="Times New Roman" w:cs="Times New Roman"/>
          <w:b/>
          <w:bCs/>
          <w:sz w:val="24"/>
          <w:szCs w:val="24"/>
        </w:rPr>
      </w:pPr>
      <w:r w:rsidRPr="00266BA0">
        <w:rPr>
          <w:rFonts w:ascii="Times New Roman" w:hAnsi="Times New Roman" w:cs="Times New Roman"/>
          <w:b/>
          <w:bCs/>
          <w:sz w:val="24"/>
          <w:szCs w:val="24"/>
        </w:rPr>
        <w:lastRenderedPageBreak/>
        <w:t>Costs</w:t>
      </w:r>
    </w:p>
    <w:p w14:paraId="7076D068" w14:textId="33232497" w:rsidR="00F02D5D" w:rsidRDefault="00D50F7A" w:rsidP="001F219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04674">
        <w:rPr>
          <w:rFonts w:ascii="Times New Roman" w:hAnsi="Times New Roman" w:cs="Times New Roman"/>
          <w:sz w:val="24"/>
          <w:szCs w:val="24"/>
        </w:rPr>
        <w:t>2</w:t>
      </w:r>
      <w:r w:rsidR="005212AC">
        <w:rPr>
          <w:rFonts w:ascii="Times New Roman" w:hAnsi="Times New Roman" w:cs="Times New Roman"/>
          <w:sz w:val="24"/>
          <w:szCs w:val="24"/>
        </w:rPr>
        <w:t>6</w:t>
      </w:r>
      <w:r>
        <w:rPr>
          <w:rFonts w:ascii="Times New Roman" w:hAnsi="Times New Roman" w:cs="Times New Roman"/>
          <w:sz w:val="24"/>
          <w:szCs w:val="24"/>
        </w:rPr>
        <w:t xml:space="preserve">] </w:t>
      </w:r>
      <w:r w:rsidRPr="00D34655">
        <w:rPr>
          <w:rFonts w:ascii="Times New Roman" w:hAnsi="Times New Roman" w:cs="Times New Roman"/>
          <w:sz w:val="24"/>
          <w:szCs w:val="24"/>
        </w:rPr>
        <w:t xml:space="preserve">The general rule in matters of costs is that the successful party should be given its costs, and this rule should not be departed from except where there are good grounds for doing so. I can think of no reason why I should deviate from this general rule. </w:t>
      </w:r>
      <w:r w:rsidR="00204674">
        <w:rPr>
          <w:rFonts w:ascii="Times New Roman" w:hAnsi="Times New Roman" w:cs="Times New Roman"/>
          <w:sz w:val="24"/>
          <w:szCs w:val="24"/>
        </w:rPr>
        <w:t>In this case the</w:t>
      </w:r>
      <w:r w:rsidR="001C4540">
        <w:rPr>
          <w:rFonts w:ascii="Times New Roman" w:hAnsi="Times New Roman" w:cs="Times New Roman"/>
          <w:sz w:val="24"/>
          <w:szCs w:val="24"/>
        </w:rPr>
        <w:t xml:space="preserve"> third respondent sought costs on a legal practitioner and client scale</w:t>
      </w:r>
      <w:r w:rsidR="001F2190">
        <w:rPr>
          <w:rFonts w:ascii="Times New Roman" w:hAnsi="Times New Roman" w:cs="Times New Roman"/>
          <w:sz w:val="24"/>
          <w:szCs w:val="24"/>
        </w:rPr>
        <w:t xml:space="preserve"> on the basis that this application is frivolous and vexatious. </w:t>
      </w:r>
    </w:p>
    <w:p w14:paraId="313F5BB5" w14:textId="608F03AD" w:rsidR="00F02D5D" w:rsidRDefault="00F02D5D" w:rsidP="001F2190">
      <w:pPr>
        <w:spacing w:line="360" w:lineRule="auto"/>
        <w:jc w:val="both"/>
        <w:rPr>
          <w:rFonts w:ascii="Times New Roman" w:hAnsi="Times New Roman" w:cs="Times New Roman"/>
          <w:sz w:val="24"/>
          <w:szCs w:val="24"/>
        </w:rPr>
      </w:pPr>
      <w:r w:rsidRPr="00F02D5D">
        <w:rPr>
          <w:rFonts w:ascii="Times New Roman" w:hAnsi="Times New Roman" w:cs="Times New Roman"/>
          <w:sz w:val="24"/>
          <w:szCs w:val="24"/>
        </w:rPr>
        <w:t>[2</w:t>
      </w:r>
      <w:r w:rsidR="005212AC">
        <w:rPr>
          <w:rFonts w:ascii="Times New Roman" w:hAnsi="Times New Roman" w:cs="Times New Roman"/>
          <w:sz w:val="24"/>
          <w:szCs w:val="24"/>
        </w:rPr>
        <w:t>7</w:t>
      </w:r>
      <w:r w:rsidRPr="00F02D5D">
        <w:rPr>
          <w:rFonts w:ascii="Times New Roman" w:hAnsi="Times New Roman" w:cs="Times New Roman"/>
          <w:sz w:val="24"/>
          <w:szCs w:val="24"/>
        </w:rPr>
        <w:t xml:space="preserve">] The leading case regarding attorney client costs is the decision of the appellate division in </w:t>
      </w:r>
      <w:r w:rsidRPr="00F02D5D">
        <w:rPr>
          <w:rFonts w:ascii="Times New Roman" w:hAnsi="Times New Roman" w:cs="Times New Roman"/>
          <w:i/>
          <w:iCs/>
          <w:sz w:val="24"/>
          <w:szCs w:val="24"/>
        </w:rPr>
        <w:t>Nel v Waterberg Land-</w:t>
      </w:r>
      <w:proofErr w:type="spellStart"/>
      <w:r w:rsidRPr="00F02D5D">
        <w:rPr>
          <w:rFonts w:ascii="Times New Roman" w:hAnsi="Times New Roman" w:cs="Times New Roman"/>
          <w:i/>
          <w:iCs/>
          <w:sz w:val="24"/>
          <w:szCs w:val="24"/>
        </w:rPr>
        <w:t>bouwers</w:t>
      </w:r>
      <w:proofErr w:type="spellEnd"/>
      <w:r w:rsidRPr="00F02D5D">
        <w:rPr>
          <w:rFonts w:ascii="Times New Roman" w:hAnsi="Times New Roman" w:cs="Times New Roman"/>
          <w:i/>
          <w:iCs/>
          <w:sz w:val="24"/>
          <w:szCs w:val="24"/>
        </w:rPr>
        <w:t xml:space="preserve"> Ko-op Vereeniging</w:t>
      </w:r>
      <w:r w:rsidRPr="00F02D5D">
        <w:rPr>
          <w:rFonts w:ascii="Times New Roman" w:hAnsi="Times New Roman" w:cs="Times New Roman"/>
          <w:sz w:val="24"/>
          <w:szCs w:val="24"/>
        </w:rPr>
        <w:t xml:space="preserve"> 1946 AD 597. In this case </w:t>
      </w:r>
      <w:r w:rsidR="00EE1546">
        <w:rPr>
          <w:rFonts w:ascii="Times New Roman" w:hAnsi="Times New Roman" w:cs="Times New Roman"/>
          <w:sz w:val="24"/>
          <w:szCs w:val="24"/>
        </w:rPr>
        <w:t>it</w:t>
      </w:r>
      <w:r w:rsidRPr="00F02D5D">
        <w:rPr>
          <w:rFonts w:ascii="Times New Roman" w:hAnsi="Times New Roman" w:cs="Times New Roman"/>
          <w:sz w:val="24"/>
          <w:szCs w:val="24"/>
        </w:rPr>
        <w:t xml:space="preserve"> was held that something more underlies the practice of awarding costs as between attorney and client than the mere punishment of the losing party. The operative principle in determining whether to award punitive costs is, whether a litigant’s conduct is frivolous, vexatious or manifestly inappropriate. The scale of attorney and client is an extraordinary one which should be reserved for cases where it can be found that a litigant conducted itself in a clear and indubitably vexatious and reprehensible manner. Such an award is exceptional and is intended to be very punitive and indicative of extreme opprobrium. See </w:t>
      </w:r>
      <w:r w:rsidRPr="00F02D5D">
        <w:rPr>
          <w:rFonts w:ascii="Times New Roman" w:hAnsi="Times New Roman" w:cs="Times New Roman"/>
          <w:i/>
          <w:iCs/>
          <w:sz w:val="24"/>
          <w:szCs w:val="24"/>
        </w:rPr>
        <w:t xml:space="preserve">Public Protector </w:t>
      </w:r>
      <w:proofErr w:type="gramStart"/>
      <w:r w:rsidRPr="00F02D5D">
        <w:rPr>
          <w:rFonts w:ascii="Times New Roman" w:hAnsi="Times New Roman" w:cs="Times New Roman"/>
          <w:i/>
          <w:iCs/>
          <w:sz w:val="24"/>
          <w:szCs w:val="24"/>
        </w:rPr>
        <w:t>v</w:t>
      </w:r>
      <w:proofErr w:type="gramEnd"/>
      <w:r w:rsidRPr="00F02D5D">
        <w:rPr>
          <w:rFonts w:ascii="Times New Roman" w:hAnsi="Times New Roman" w:cs="Times New Roman"/>
          <w:i/>
          <w:iCs/>
          <w:sz w:val="24"/>
          <w:szCs w:val="24"/>
        </w:rPr>
        <w:t xml:space="preserve"> South African Reserve Bank </w:t>
      </w:r>
      <w:r w:rsidRPr="00F02D5D">
        <w:rPr>
          <w:rFonts w:ascii="Times New Roman" w:hAnsi="Times New Roman" w:cs="Times New Roman"/>
          <w:sz w:val="24"/>
          <w:szCs w:val="24"/>
        </w:rPr>
        <w:t>[2019] ZACC 29.</w:t>
      </w:r>
    </w:p>
    <w:p w14:paraId="6762A3D1" w14:textId="6C2D207E" w:rsidR="001F2190" w:rsidRPr="001F2190" w:rsidRDefault="00F02D5D" w:rsidP="001F219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5212AC">
        <w:rPr>
          <w:rFonts w:ascii="Times New Roman" w:hAnsi="Times New Roman" w:cs="Times New Roman"/>
          <w:sz w:val="24"/>
          <w:szCs w:val="24"/>
        </w:rPr>
        <w:t>8</w:t>
      </w:r>
      <w:r>
        <w:rPr>
          <w:rFonts w:ascii="Times New Roman" w:hAnsi="Times New Roman" w:cs="Times New Roman"/>
          <w:sz w:val="24"/>
          <w:szCs w:val="24"/>
        </w:rPr>
        <w:t xml:space="preserve">] </w:t>
      </w:r>
      <w:r w:rsidR="00204674">
        <w:rPr>
          <w:rFonts w:ascii="Times New Roman" w:hAnsi="Times New Roman" w:cs="Times New Roman"/>
          <w:sz w:val="24"/>
          <w:szCs w:val="24"/>
        </w:rPr>
        <w:t xml:space="preserve">In considering whether I should award costs on the scale of legal practitioner and client </w:t>
      </w:r>
      <w:r w:rsidR="001F2190">
        <w:rPr>
          <w:rFonts w:ascii="Times New Roman" w:hAnsi="Times New Roman" w:cs="Times New Roman"/>
          <w:sz w:val="24"/>
          <w:szCs w:val="24"/>
        </w:rPr>
        <w:t xml:space="preserve">I </w:t>
      </w:r>
      <w:r w:rsidR="00204674">
        <w:rPr>
          <w:rFonts w:ascii="Times New Roman" w:hAnsi="Times New Roman" w:cs="Times New Roman"/>
          <w:sz w:val="24"/>
          <w:szCs w:val="24"/>
        </w:rPr>
        <w:t>factor the following</w:t>
      </w:r>
      <w:r w:rsidR="00A13E2C">
        <w:rPr>
          <w:rFonts w:ascii="Times New Roman" w:hAnsi="Times New Roman" w:cs="Times New Roman"/>
          <w:sz w:val="24"/>
          <w:szCs w:val="24"/>
        </w:rPr>
        <w:t xml:space="preserve"> into the equation</w:t>
      </w:r>
      <w:r w:rsidR="00204674">
        <w:rPr>
          <w:rFonts w:ascii="Times New Roman" w:hAnsi="Times New Roman" w:cs="Times New Roman"/>
          <w:sz w:val="24"/>
          <w:szCs w:val="24"/>
        </w:rPr>
        <w:t>:</w:t>
      </w:r>
      <w:r w:rsidR="001F2190">
        <w:rPr>
          <w:rFonts w:ascii="Times New Roman" w:hAnsi="Times New Roman" w:cs="Times New Roman"/>
          <w:sz w:val="24"/>
          <w:szCs w:val="24"/>
        </w:rPr>
        <w:t xml:space="preserve"> </w:t>
      </w:r>
      <w:r w:rsidR="00204674">
        <w:rPr>
          <w:rFonts w:ascii="Times New Roman" w:hAnsi="Times New Roman" w:cs="Times New Roman"/>
          <w:sz w:val="24"/>
          <w:szCs w:val="24"/>
        </w:rPr>
        <w:t xml:space="preserve">that </w:t>
      </w:r>
      <w:r w:rsidR="001F2190">
        <w:rPr>
          <w:rFonts w:ascii="Times New Roman" w:hAnsi="Times New Roman" w:cs="Times New Roman"/>
          <w:sz w:val="24"/>
          <w:szCs w:val="24"/>
        </w:rPr>
        <w:t xml:space="preserve">the main action </w:t>
      </w:r>
      <w:r w:rsidR="00A13E2C">
        <w:rPr>
          <w:rFonts w:ascii="Times New Roman" w:hAnsi="Times New Roman" w:cs="Times New Roman"/>
          <w:sz w:val="24"/>
          <w:szCs w:val="24"/>
        </w:rPr>
        <w:t xml:space="preserve">is not frivolous and vexatious and it </w:t>
      </w:r>
      <w:r w:rsidR="001F2190">
        <w:rPr>
          <w:rFonts w:ascii="Times New Roman" w:hAnsi="Times New Roman" w:cs="Times New Roman"/>
          <w:sz w:val="24"/>
          <w:szCs w:val="24"/>
        </w:rPr>
        <w:t xml:space="preserve">is ready for a pre-trial conference hearing before a judge of the High Court. My view is that an application for summary dismissal must not be </w:t>
      </w:r>
      <w:r w:rsidR="00A13E2C">
        <w:rPr>
          <w:rFonts w:ascii="Times New Roman" w:hAnsi="Times New Roman" w:cs="Times New Roman"/>
          <w:sz w:val="24"/>
          <w:szCs w:val="24"/>
        </w:rPr>
        <w:t xml:space="preserve">contrived </w:t>
      </w:r>
      <w:r w:rsidR="001F2190">
        <w:rPr>
          <w:rFonts w:ascii="Times New Roman" w:hAnsi="Times New Roman" w:cs="Times New Roman"/>
          <w:sz w:val="24"/>
          <w:szCs w:val="24"/>
        </w:rPr>
        <w:t xml:space="preserve">for the purpose of avoiding a trial in the main action. </w:t>
      </w:r>
      <w:r w:rsidR="00204674">
        <w:rPr>
          <w:rFonts w:ascii="Times New Roman" w:hAnsi="Times New Roman" w:cs="Times New Roman"/>
          <w:sz w:val="24"/>
          <w:szCs w:val="24"/>
        </w:rPr>
        <w:t>This appears to be one such application contrived to avoid a trial in the main action.</w:t>
      </w:r>
      <w:r w:rsidR="00933174">
        <w:rPr>
          <w:rFonts w:ascii="Times New Roman" w:hAnsi="Times New Roman" w:cs="Times New Roman"/>
          <w:sz w:val="24"/>
          <w:szCs w:val="24"/>
        </w:rPr>
        <w:t xml:space="preserve"> </w:t>
      </w:r>
      <w:r w:rsidR="00A13E2C">
        <w:rPr>
          <w:rFonts w:ascii="Times New Roman" w:hAnsi="Times New Roman" w:cs="Times New Roman"/>
          <w:sz w:val="24"/>
          <w:szCs w:val="24"/>
        </w:rPr>
        <w:t xml:space="preserve">This to me explains the reason Mushore the main actor in these matters </w:t>
      </w:r>
      <w:r w:rsidR="00933174">
        <w:rPr>
          <w:rFonts w:ascii="Times New Roman" w:hAnsi="Times New Roman" w:cs="Times New Roman"/>
          <w:sz w:val="24"/>
          <w:szCs w:val="24"/>
        </w:rPr>
        <w:t xml:space="preserve">and the executrix of the estate of Dennis </w:t>
      </w:r>
      <w:r w:rsidR="00A13E2C">
        <w:rPr>
          <w:rFonts w:ascii="Times New Roman" w:hAnsi="Times New Roman" w:cs="Times New Roman"/>
          <w:sz w:val="24"/>
          <w:szCs w:val="24"/>
        </w:rPr>
        <w:t xml:space="preserve">decided to shy away from deposing to a founding affidavit, only to let Chitura peddle hearsay evidence in his founding affidavit. </w:t>
      </w:r>
    </w:p>
    <w:p w14:paraId="3611A478" w14:textId="61545EBB" w:rsidR="0039149D" w:rsidRDefault="00F02D5D" w:rsidP="0039149D">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5212AC">
        <w:rPr>
          <w:rFonts w:ascii="Times New Roman" w:hAnsi="Times New Roman" w:cs="Times New Roman"/>
          <w:sz w:val="24"/>
          <w:szCs w:val="24"/>
        </w:rPr>
        <w:t>29</w:t>
      </w:r>
      <w:r w:rsidR="00933174">
        <w:rPr>
          <w:rFonts w:ascii="Times New Roman" w:hAnsi="Times New Roman" w:cs="Times New Roman"/>
          <w:sz w:val="24"/>
          <w:szCs w:val="24"/>
        </w:rPr>
        <w:t>]</w:t>
      </w:r>
      <w:r w:rsidR="00933174" w:rsidRPr="00933174">
        <w:rPr>
          <w:rFonts w:ascii="Times New Roman" w:hAnsi="Times New Roman" w:cs="Times New Roman"/>
          <w:sz w:val="24"/>
          <w:szCs w:val="24"/>
        </w:rPr>
        <w:t xml:space="preserve"> </w:t>
      </w:r>
      <w:r w:rsidR="00933174">
        <w:rPr>
          <w:rFonts w:ascii="Times New Roman" w:hAnsi="Times New Roman" w:cs="Times New Roman"/>
          <w:sz w:val="24"/>
          <w:szCs w:val="24"/>
        </w:rPr>
        <w:t>A</w:t>
      </w:r>
      <w:r w:rsidR="00933174" w:rsidRPr="00F02D5D">
        <w:rPr>
          <w:rFonts w:ascii="Times New Roman" w:hAnsi="Times New Roman" w:cs="Times New Roman"/>
          <w:sz w:val="24"/>
          <w:szCs w:val="24"/>
        </w:rPr>
        <w:t xml:space="preserve">n award </w:t>
      </w:r>
      <w:r w:rsidR="00933174">
        <w:rPr>
          <w:rFonts w:ascii="Times New Roman" w:hAnsi="Times New Roman" w:cs="Times New Roman"/>
          <w:sz w:val="24"/>
          <w:szCs w:val="24"/>
        </w:rPr>
        <w:t xml:space="preserve">of costs on an attorney and client scale </w:t>
      </w:r>
      <w:r w:rsidR="00933174" w:rsidRPr="00F02D5D">
        <w:rPr>
          <w:rFonts w:ascii="Times New Roman" w:hAnsi="Times New Roman" w:cs="Times New Roman"/>
          <w:sz w:val="24"/>
          <w:szCs w:val="24"/>
        </w:rPr>
        <w:t>is exceptional and is intended to be very punitive and indicative of extreme opprobrium</w:t>
      </w:r>
      <w:r w:rsidR="00933174">
        <w:rPr>
          <w:rFonts w:ascii="Times New Roman" w:hAnsi="Times New Roman" w:cs="Times New Roman"/>
          <w:sz w:val="24"/>
          <w:szCs w:val="24"/>
        </w:rPr>
        <w:t>.</w:t>
      </w:r>
      <w:r>
        <w:rPr>
          <w:rFonts w:ascii="Times New Roman" w:hAnsi="Times New Roman" w:cs="Times New Roman"/>
          <w:sz w:val="24"/>
          <w:szCs w:val="24"/>
        </w:rPr>
        <w:t xml:space="preserve"> </w:t>
      </w:r>
      <w:r w:rsidR="009548B0">
        <w:rPr>
          <w:rFonts w:ascii="Times New Roman" w:hAnsi="Times New Roman" w:cs="Times New Roman"/>
          <w:sz w:val="24"/>
          <w:szCs w:val="24"/>
        </w:rPr>
        <w:t xml:space="preserve">I consider this to be a borderline case </w:t>
      </w:r>
      <w:r w:rsidR="00933174">
        <w:rPr>
          <w:rFonts w:ascii="Times New Roman" w:hAnsi="Times New Roman" w:cs="Times New Roman"/>
          <w:sz w:val="24"/>
          <w:szCs w:val="24"/>
        </w:rPr>
        <w:t>in that the applicants did not actually cross the red-line to warrant</w:t>
      </w:r>
      <w:r>
        <w:rPr>
          <w:rFonts w:ascii="Times New Roman" w:hAnsi="Times New Roman" w:cs="Times New Roman"/>
          <w:sz w:val="24"/>
          <w:szCs w:val="24"/>
        </w:rPr>
        <w:t xml:space="preserve"> costs </w:t>
      </w:r>
      <w:r w:rsidR="009548B0">
        <w:rPr>
          <w:rFonts w:ascii="Times New Roman" w:hAnsi="Times New Roman" w:cs="Times New Roman"/>
          <w:sz w:val="24"/>
          <w:szCs w:val="24"/>
        </w:rPr>
        <w:t>on a legal practitioner and client scale</w:t>
      </w:r>
      <w:r>
        <w:rPr>
          <w:rFonts w:ascii="Times New Roman" w:hAnsi="Times New Roman" w:cs="Times New Roman"/>
          <w:sz w:val="24"/>
          <w:szCs w:val="24"/>
        </w:rPr>
        <w:t xml:space="preserve">. </w:t>
      </w:r>
      <w:r w:rsidR="00933174">
        <w:rPr>
          <w:rFonts w:ascii="Times New Roman" w:hAnsi="Times New Roman" w:cs="Times New Roman"/>
          <w:sz w:val="24"/>
          <w:szCs w:val="24"/>
        </w:rPr>
        <w:t>It is for these reasons that I will spare the</w:t>
      </w:r>
      <w:r w:rsidR="00EE1546">
        <w:rPr>
          <w:rFonts w:ascii="Times New Roman" w:hAnsi="Times New Roman" w:cs="Times New Roman"/>
          <w:sz w:val="24"/>
          <w:szCs w:val="24"/>
        </w:rPr>
        <w:t>m</w:t>
      </w:r>
      <w:r w:rsidR="00933174">
        <w:rPr>
          <w:rFonts w:ascii="Times New Roman" w:hAnsi="Times New Roman" w:cs="Times New Roman"/>
          <w:sz w:val="24"/>
          <w:szCs w:val="24"/>
        </w:rPr>
        <w:t xml:space="preserve"> such costs. </w:t>
      </w:r>
    </w:p>
    <w:p w14:paraId="6EC3A259" w14:textId="77777777" w:rsidR="00F02D5D" w:rsidRPr="002364B0" w:rsidRDefault="00F02D5D" w:rsidP="0039149D">
      <w:pPr>
        <w:spacing w:line="360" w:lineRule="auto"/>
        <w:contextualSpacing/>
        <w:jc w:val="both"/>
        <w:rPr>
          <w:rFonts w:ascii="Times New Roman" w:hAnsi="Times New Roman" w:cs="Times New Roman"/>
          <w:sz w:val="24"/>
          <w:szCs w:val="24"/>
        </w:rPr>
      </w:pPr>
    </w:p>
    <w:p w14:paraId="758CF62D" w14:textId="77777777" w:rsidR="00C5200E" w:rsidRDefault="00C5200E" w:rsidP="00C5200E">
      <w:pPr>
        <w:spacing w:line="360" w:lineRule="auto"/>
        <w:contextualSpacing/>
        <w:jc w:val="both"/>
        <w:rPr>
          <w:rFonts w:ascii="Times New Roman" w:hAnsi="Times New Roman" w:cs="Times New Roman"/>
          <w:sz w:val="24"/>
        </w:rPr>
      </w:pPr>
      <w:r>
        <w:rPr>
          <w:rFonts w:ascii="Times New Roman" w:hAnsi="Times New Roman" w:cs="Times New Roman"/>
          <w:sz w:val="24"/>
        </w:rPr>
        <w:t>In the result, it is ordered that:</w:t>
      </w:r>
    </w:p>
    <w:p w14:paraId="302F0970" w14:textId="77777777" w:rsidR="00C5200E" w:rsidRDefault="00C5200E" w:rsidP="00C5200E">
      <w:pPr>
        <w:spacing w:line="360" w:lineRule="auto"/>
        <w:contextualSpacing/>
        <w:jc w:val="both"/>
        <w:rPr>
          <w:rFonts w:ascii="Times New Roman" w:hAnsi="Times New Roman" w:cs="Times New Roman"/>
          <w:sz w:val="24"/>
        </w:rPr>
      </w:pPr>
    </w:p>
    <w:p w14:paraId="42B519D3" w14:textId="21784CB5" w:rsidR="007356D4" w:rsidRDefault="00C5200E" w:rsidP="00E71328">
      <w:pPr>
        <w:pStyle w:val="ListParagraph"/>
        <w:numPr>
          <w:ilvl w:val="0"/>
          <w:numId w:val="3"/>
        </w:numPr>
        <w:spacing w:line="360" w:lineRule="auto"/>
        <w:jc w:val="both"/>
        <w:rPr>
          <w:rFonts w:ascii="Times New Roman" w:hAnsi="Times New Roman" w:cs="Times New Roman"/>
          <w:sz w:val="24"/>
        </w:rPr>
      </w:pPr>
      <w:r w:rsidRPr="00E71328">
        <w:rPr>
          <w:rFonts w:ascii="Times New Roman" w:hAnsi="Times New Roman" w:cs="Times New Roman"/>
          <w:sz w:val="24"/>
        </w:rPr>
        <w:t>Th</w:t>
      </w:r>
      <w:r w:rsidR="005212AC">
        <w:rPr>
          <w:rFonts w:ascii="Times New Roman" w:hAnsi="Times New Roman" w:cs="Times New Roman"/>
          <w:sz w:val="24"/>
        </w:rPr>
        <w:t>e</w:t>
      </w:r>
      <w:r w:rsidR="002364B0">
        <w:rPr>
          <w:rFonts w:ascii="Times New Roman" w:hAnsi="Times New Roman" w:cs="Times New Roman"/>
          <w:sz w:val="24"/>
        </w:rPr>
        <w:t xml:space="preserve"> application be and is hereby dismissed.  </w:t>
      </w:r>
    </w:p>
    <w:p w14:paraId="2E884AA6" w14:textId="5628527E" w:rsidR="007356D4" w:rsidRDefault="00E71328" w:rsidP="00D0207D">
      <w:pPr>
        <w:pStyle w:val="ListParagraph"/>
        <w:numPr>
          <w:ilvl w:val="0"/>
          <w:numId w:val="3"/>
        </w:numPr>
        <w:spacing w:line="360" w:lineRule="auto"/>
        <w:jc w:val="both"/>
        <w:rPr>
          <w:rFonts w:ascii="Times New Roman" w:hAnsi="Times New Roman" w:cs="Times New Roman"/>
          <w:sz w:val="24"/>
        </w:rPr>
      </w:pPr>
      <w:r>
        <w:rPr>
          <w:rFonts w:ascii="Times New Roman" w:hAnsi="Times New Roman" w:cs="Times New Roman"/>
          <w:sz w:val="24"/>
        </w:rPr>
        <w:t xml:space="preserve">The </w:t>
      </w:r>
      <w:r w:rsidR="002364B0">
        <w:rPr>
          <w:rFonts w:ascii="Times New Roman" w:hAnsi="Times New Roman" w:cs="Times New Roman"/>
          <w:sz w:val="24"/>
        </w:rPr>
        <w:t>applicants to</w:t>
      </w:r>
      <w:r>
        <w:rPr>
          <w:rFonts w:ascii="Times New Roman" w:hAnsi="Times New Roman" w:cs="Times New Roman"/>
          <w:sz w:val="24"/>
        </w:rPr>
        <w:t xml:space="preserve"> pay the costs </w:t>
      </w:r>
      <w:r w:rsidR="005212AC">
        <w:rPr>
          <w:rFonts w:ascii="Times New Roman" w:hAnsi="Times New Roman" w:cs="Times New Roman"/>
          <w:sz w:val="24"/>
        </w:rPr>
        <w:t xml:space="preserve">for the third respondent </w:t>
      </w:r>
      <w:r w:rsidR="00F02D5D">
        <w:rPr>
          <w:rFonts w:ascii="Times New Roman" w:hAnsi="Times New Roman" w:cs="Times New Roman"/>
          <w:sz w:val="24"/>
        </w:rPr>
        <w:t xml:space="preserve">on a party and party scale </w:t>
      </w:r>
      <w:r w:rsidR="002364B0">
        <w:rPr>
          <w:rFonts w:ascii="Times New Roman" w:hAnsi="Times New Roman" w:cs="Times New Roman"/>
          <w:sz w:val="24"/>
        </w:rPr>
        <w:t>jointly and severally each paying the other to be absolved</w:t>
      </w:r>
      <w:r>
        <w:rPr>
          <w:rFonts w:ascii="Times New Roman" w:hAnsi="Times New Roman" w:cs="Times New Roman"/>
          <w:sz w:val="24"/>
        </w:rPr>
        <w:t xml:space="preserve">. </w:t>
      </w:r>
    </w:p>
    <w:p w14:paraId="515E01CE" w14:textId="77777777" w:rsidR="00D0207D" w:rsidRDefault="00D0207D" w:rsidP="00D0207D">
      <w:pPr>
        <w:pStyle w:val="ListParagraph"/>
        <w:spacing w:line="360" w:lineRule="auto"/>
        <w:ind w:left="1080"/>
        <w:jc w:val="both"/>
        <w:rPr>
          <w:rFonts w:ascii="Times New Roman" w:hAnsi="Times New Roman" w:cs="Times New Roman"/>
          <w:sz w:val="24"/>
        </w:rPr>
      </w:pPr>
    </w:p>
    <w:p w14:paraId="2DEDB051" w14:textId="77777777" w:rsidR="001C4540" w:rsidRDefault="001C4540" w:rsidP="00D0207D">
      <w:pPr>
        <w:pStyle w:val="ListParagraph"/>
        <w:spacing w:line="360" w:lineRule="auto"/>
        <w:ind w:left="1080"/>
        <w:jc w:val="both"/>
        <w:rPr>
          <w:rFonts w:ascii="Times New Roman" w:hAnsi="Times New Roman" w:cs="Times New Roman"/>
          <w:sz w:val="24"/>
        </w:rPr>
      </w:pPr>
    </w:p>
    <w:p w14:paraId="50131825" w14:textId="77777777" w:rsidR="00933174" w:rsidRDefault="00933174" w:rsidP="00D0207D">
      <w:pPr>
        <w:pStyle w:val="ListParagraph"/>
        <w:spacing w:line="360" w:lineRule="auto"/>
        <w:ind w:left="1080"/>
        <w:jc w:val="both"/>
        <w:rPr>
          <w:rFonts w:ascii="Times New Roman" w:hAnsi="Times New Roman" w:cs="Times New Roman"/>
          <w:sz w:val="24"/>
        </w:rPr>
      </w:pPr>
    </w:p>
    <w:p w14:paraId="478DBC71" w14:textId="77777777" w:rsidR="00EE1546" w:rsidRPr="00D0207D" w:rsidRDefault="00EE1546" w:rsidP="00D0207D">
      <w:pPr>
        <w:pStyle w:val="ListParagraph"/>
        <w:spacing w:line="360" w:lineRule="auto"/>
        <w:ind w:left="1080"/>
        <w:jc w:val="both"/>
        <w:rPr>
          <w:rFonts w:ascii="Times New Roman" w:hAnsi="Times New Roman" w:cs="Times New Roman"/>
          <w:sz w:val="24"/>
        </w:rPr>
      </w:pPr>
    </w:p>
    <w:p w14:paraId="6D048043" w14:textId="77777777" w:rsidR="007356D4" w:rsidRDefault="007356D4" w:rsidP="007356D4">
      <w:pPr>
        <w:spacing w:line="360" w:lineRule="auto"/>
        <w:ind w:left="720" w:hanging="720"/>
        <w:jc w:val="both"/>
        <w:rPr>
          <w:rFonts w:ascii="Times New Roman" w:hAnsi="Times New Roman" w:cs="Times New Roman"/>
          <w:sz w:val="24"/>
        </w:rPr>
      </w:pPr>
    </w:p>
    <w:p w14:paraId="6CA389C5" w14:textId="56DCF0E2" w:rsidR="007356D4" w:rsidRDefault="007356D4" w:rsidP="007356D4">
      <w:pPr>
        <w:spacing w:after="0" w:line="240" w:lineRule="auto"/>
        <w:ind w:left="720" w:hanging="720"/>
        <w:jc w:val="both"/>
        <w:rPr>
          <w:rFonts w:ascii="Times New Roman" w:hAnsi="Times New Roman" w:cs="Times New Roman"/>
          <w:sz w:val="24"/>
        </w:rPr>
      </w:pPr>
      <w:r w:rsidRPr="007356D4">
        <w:rPr>
          <w:rFonts w:ascii="Times New Roman" w:hAnsi="Times New Roman" w:cs="Times New Roman"/>
          <w:i/>
          <w:iCs/>
          <w:sz w:val="24"/>
        </w:rPr>
        <w:t>Ndlovu Dube &amp; Associates</w:t>
      </w:r>
      <w:r>
        <w:rPr>
          <w:rFonts w:ascii="Times New Roman" w:hAnsi="Times New Roman" w:cs="Times New Roman"/>
          <w:sz w:val="24"/>
        </w:rPr>
        <w:t>, 1</w:t>
      </w:r>
      <w:r w:rsidRPr="007356D4">
        <w:rPr>
          <w:rFonts w:ascii="Times New Roman" w:hAnsi="Times New Roman" w:cs="Times New Roman"/>
          <w:sz w:val="24"/>
          <w:vertAlign w:val="superscript"/>
        </w:rPr>
        <w:t>st</w:t>
      </w:r>
      <w:r>
        <w:rPr>
          <w:rFonts w:ascii="Times New Roman" w:hAnsi="Times New Roman" w:cs="Times New Roman"/>
          <w:sz w:val="24"/>
        </w:rPr>
        <w:t xml:space="preserve"> and 2</w:t>
      </w:r>
      <w:r w:rsidRPr="007356D4">
        <w:rPr>
          <w:rFonts w:ascii="Times New Roman" w:hAnsi="Times New Roman" w:cs="Times New Roman"/>
          <w:sz w:val="24"/>
          <w:vertAlign w:val="superscript"/>
        </w:rPr>
        <w:t>nd</w:t>
      </w:r>
      <w:r>
        <w:rPr>
          <w:rFonts w:ascii="Times New Roman" w:hAnsi="Times New Roman" w:cs="Times New Roman"/>
          <w:sz w:val="24"/>
        </w:rPr>
        <w:t xml:space="preserve"> applicants’ legal practitioners </w:t>
      </w:r>
    </w:p>
    <w:p w14:paraId="4ABC9D11" w14:textId="4434A06C" w:rsidR="007356D4" w:rsidRPr="007356D4" w:rsidRDefault="007356D4" w:rsidP="007356D4">
      <w:pPr>
        <w:spacing w:after="0" w:line="240" w:lineRule="auto"/>
        <w:ind w:left="720" w:hanging="720"/>
        <w:jc w:val="both"/>
        <w:rPr>
          <w:rFonts w:ascii="Times New Roman" w:hAnsi="Times New Roman" w:cs="Times New Roman"/>
          <w:sz w:val="24"/>
        </w:rPr>
      </w:pPr>
      <w:r>
        <w:rPr>
          <w:rFonts w:ascii="Times New Roman" w:hAnsi="Times New Roman" w:cs="Times New Roman"/>
          <w:i/>
          <w:iCs/>
          <w:sz w:val="24"/>
        </w:rPr>
        <w:t xml:space="preserve">Gill, </w:t>
      </w:r>
      <w:proofErr w:type="spellStart"/>
      <w:r>
        <w:rPr>
          <w:rFonts w:ascii="Times New Roman" w:hAnsi="Times New Roman" w:cs="Times New Roman"/>
          <w:i/>
          <w:iCs/>
          <w:sz w:val="24"/>
        </w:rPr>
        <w:t>Godlonton</w:t>
      </w:r>
      <w:proofErr w:type="spellEnd"/>
      <w:r>
        <w:rPr>
          <w:rFonts w:ascii="Times New Roman" w:hAnsi="Times New Roman" w:cs="Times New Roman"/>
          <w:i/>
          <w:iCs/>
          <w:sz w:val="24"/>
        </w:rPr>
        <w:t xml:space="preserve"> &amp; Gerrans, </w:t>
      </w:r>
      <w:r>
        <w:rPr>
          <w:rFonts w:ascii="Times New Roman" w:hAnsi="Times New Roman" w:cs="Times New Roman"/>
          <w:sz w:val="24"/>
        </w:rPr>
        <w:t>1</w:t>
      </w:r>
      <w:r w:rsidRPr="007356D4">
        <w:rPr>
          <w:rFonts w:ascii="Times New Roman" w:hAnsi="Times New Roman" w:cs="Times New Roman"/>
          <w:sz w:val="24"/>
          <w:vertAlign w:val="superscript"/>
        </w:rPr>
        <w:t>st</w:t>
      </w:r>
      <w:r>
        <w:rPr>
          <w:rFonts w:ascii="Times New Roman" w:hAnsi="Times New Roman" w:cs="Times New Roman"/>
          <w:sz w:val="24"/>
        </w:rPr>
        <w:t>, 2</w:t>
      </w:r>
      <w:r w:rsidRPr="007356D4">
        <w:rPr>
          <w:rFonts w:ascii="Times New Roman" w:hAnsi="Times New Roman" w:cs="Times New Roman"/>
          <w:sz w:val="24"/>
          <w:vertAlign w:val="superscript"/>
        </w:rPr>
        <w:t>nd</w:t>
      </w:r>
      <w:r>
        <w:rPr>
          <w:rFonts w:ascii="Times New Roman" w:hAnsi="Times New Roman" w:cs="Times New Roman"/>
          <w:sz w:val="24"/>
        </w:rPr>
        <w:t xml:space="preserve"> and 3</w:t>
      </w:r>
      <w:r w:rsidRPr="007356D4">
        <w:rPr>
          <w:rFonts w:ascii="Times New Roman" w:hAnsi="Times New Roman" w:cs="Times New Roman"/>
          <w:sz w:val="24"/>
          <w:vertAlign w:val="superscript"/>
        </w:rPr>
        <w:t>rd</w:t>
      </w:r>
      <w:r>
        <w:rPr>
          <w:rFonts w:ascii="Times New Roman" w:hAnsi="Times New Roman" w:cs="Times New Roman"/>
          <w:sz w:val="24"/>
        </w:rPr>
        <w:t xml:space="preserve"> respondents’ legal practitioners </w:t>
      </w:r>
    </w:p>
    <w:p w14:paraId="04B609A1" w14:textId="77777777" w:rsidR="007356D4" w:rsidRDefault="007356D4" w:rsidP="007356D4">
      <w:pPr>
        <w:spacing w:line="360" w:lineRule="auto"/>
        <w:ind w:left="720" w:hanging="720"/>
        <w:jc w:val="both"/>
        <w:rPr>
          <w:rFonts w:ascii="Times New Roman" w:hAnsi="Times New Roman" w:cs="Times New Roman"/>
          <w:sz w:val="24"/>
        </w:rPr>
      </w:pPr>
    </w:p>
    <w:p w14:paraId="3FE09199" w14:textId="77777777" w:rsidR="007356D4" w:rsidRDefault="007356D4" w:rsidP="007356D4">
      <w:pPr>
        <w:spacing w:line="360" w:lineRule="auto"/>
        <w:ind w:left="720" w:hanging="720"/>
        <w:jc w:val="both"/>
        <w:rPr>
          <w:rFonts w:ascii="Times New Roman" w:hAnsi="Times New Roman" w:cs="Times New Roman"/>
          <w:sz w:val="24"/>
        </w:rPr>
      </w:pPr>
    </w:p>
    <w:p w14:paraId="52805CFD" w14:textId="569C2913" w:rsidR="00991D89" w:rsidRPr="007356D4" w:rsidRDefault="00C5200E" w:rsidP="007356D4">
      <w:pPr>
        <w:spacing w:line="360" w:lineRule="auto"/>
        <w:ind w:left="720" w:hanging="720"/>
        <w:jc w:val="both"/>
        <w:rPr>
          <w:rFonts w:ascii="Times New Roman" w:hAnsi="Times New Roman" w:cs="Times New Roman"/>
          <w:sz w:val="24"/>
        </w:rPr>
      </w:pPr>
      <w:r>
        <w:rPr>
          <w:rFonts w:ascii="Times New Roman" w:hAnsi="Times New Roman" w:cs="Times New Roman"/>
          <w:sz w:val="24"/>
        </w:rPr>
        <w:tab/>
      </w:r>
    </w:p>
    <w:sectPr w:rsidR="00991D89" w:rsidRPr="007356D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B5B43" w14:textId="77777777" w:rsidR="0076053E" w:rsidRDefault="0076053E" w:rsidP="0076053E">
      <w:pPr>
        <w:spacing w:after="0" w:line="240" w:lineRule="auto"/>
      </w:pPr>
      <w:r>
        <w:separator/>
      </w:r>
    </w:p>
  </w:endnote>
  <w:endnote w:type="continuationSeparator" w:id="0">
    <w:p w14:paraId="413DC39F" w14:textId="77777777" w:rsidR="0076053E" w:rsidRDefault="0076053E" w:rsidP="00760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4A37" w14:textId="77777777" w:rsidR="0076053E" w:rsidRDefault="0076053E" w:rsidP="0076053E">
      <w:pPr>
        <w:spacing w:after="0" w:line="240" w:lineRule="auto"/>
      </w:pPr>
      <w:r>
        <w:separator/>
      </w:r>
    </w:p>
  </w:footnote>
  <w:footnote w:type="continuationSeparator" w:id="0">
    <w:p w14:paraId="3A54248E" w14:textId="77777777" w:rsidR="0076053E" w:rsidRDefault="0076053E" w:rsidP="00760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9510438"/>
      <w:docPartObj>
        <w:docPartGallery w:val="Page Numbers (Top of Page)"/>
        <w:docPartUnique/>
      </w:docPartObj>
    </w:sdtPr>
    <w:sdtEndPr>
      <w:rPr>
        <w:rFonts w:ascii="Times New Roman" w:hAnsi="Times New Roman" w:cs="Times New Roman"/>
        <w:noProof/>
        <w:sz w:val="24"/>
        <w:szCs w:val="24"/>
      </w:rPr>
    </w:sdtEndPr>
    <w:sdtContent>
      <w:p w14:paraId="6EA0460C" w14:textId="77777777" w:rsidR="0076053E" w:rsidRPr="0076053E" w:rsidRDefault="0076053E">
        <w:pPr>
          <w:pStyle w:val="Header"/>
          <w:jc w:val="right"/>
          <w:rPr>
            <w:rFonts w:ascii="Times New Roman" w:hAnsi="Times New Roman" w:cs="Times New Roman"/>
            <w:noProof/>
            <w:sz w:val="24"/>
            <w:szCs w:val="24"/>
          </w:rPr>
        </w:pPr>
        <w:r w:rsidRPr="0076053E">
          <w:rPr>
            <w:rFonts w:ascii="Times New Roman" w:hAnsi="Times New Roman" w:cs="Times New Roman"/>
            <w:sz w:val="24"/>
            <w:szCs w:val="24"/>
          </w:rPr>
          <w:fldChar w:fldCharType="begin"/>
        </w:r>
        <w:r w:rsidRPr="0076053E">
          <w:rPr>
            <w:rFonts w:ascii="Times New Roman" w:hAnsi="Times New Roman" w:cs="Times New Roman"/>
            <w:sz w:val="24"/>
            <w:szCs w:val="24"/>
          </w:rPr>
          <w:instrText xml:space="preserve"> PAGE   \* MERGEFORMAT </w:instrText>
        </w:r>
        <w:r w:rsidRPr="0076053E">
          <w:rPr>
            <w:rFonts w:ascii="Times New Roman" w:hAnsi="Times New Roman" w:cs="Times New Roman"/>
            <w:sz w:val="24"/>
            <w:szCs w:val="24"/>
          </w:rPr>
          <w:fldChar w:fldCharType="separate"/>
        </w:r>
        <w:r w:rsidR="00430CA9">
          <w:rPr>
            <w:rFonts w:ascii="Times New Roman" w:hAnsi="Times New Roman" w:cs="Times New Roman"/>
            <w:noProof/>
            <w:sz w:val="24"/>
            <w:szCs w:val="24"/>
          </w:rPr>
          <w:t>3</w:t>
        </w:r>
        <w:r w:rsidRPr="0076053E">
          <w:rPr>
            <w:rFonts w:ascii="Times New Roman" w:hAnsi="Times New Roman" w:cs="Times New Roman"/>
            <w:noProof/>
            <w:sz w:val="24"/>
            <w:szCs w:val="24"/>
          </w:rPr>
          <w:fldChar w:fldCharType="end"/>
        </w:r>
      </w:p>
      <w:p w14:paraId="3D12D9D7" w14:textId="346F0C2C" w:rsidR="0076053E" w:rsidRPr="0076053E" w:rsidRDefault="0076053E">
        <w:pPr>
          <w:pStyle w:val="Header"/>
          <w:jc w:val="right"/>
          <w:rPr>
            <w:rFonts w:ascii="Times New Roman" w:hAnsi="Times New Roman" w:cs="Times New Roman"/>
            <w:noProof/>
            <w:sz w:val="24"/>
            <w:szCs w:val="24"/>
          </w:rPr>
        </w:pPr>
        <w:r w:rsidRPr="0076053E">
          <w:rPr>
            <w:rFonts w:ascii="Times New Roman" w:hAnsi="Times New Roman" w:cs="Times New Roman"/>
            <w:noProof/>
            <w:sz w:val="24"/>
            <w:szCs w:val="24"/>
          </w:rPr>
          <w:t>HB</w:t>
        </w:r>
        <w:r w:rsidR="00C7141C">
          <w:rPr>
            <w:rFonts w:ascii="Times New Roman" w:hAnsi="Times New Roman" w:cs="Times New Roman"/>
            <w:noProof/>
            <w:sz w:val="24"/>
            <w:szCs w:val="24"/>
          </w:rPr>
          <w:t xml:space="preserve"> 186/23</w:t>
        </w:r>
      </w:p>
      <w:p w14:paraId="71D53B00" w14:textId="77777777" w:rsidR="0076053E" w:rsidRPr="0076053E" w:rsidRDefault="0076053E">
        <w:pPr>
          <w:pStyle w:val="Header"/>
          <w:jc w:val="right"/>
          <w:rPr>
            <w:rFonts w:ascii="Times New Roman" w:hAnsi="Times New Roman" w:cs="Times New Roman"/>
            <w:noProof/>
            <w:sz w:val="24"/>
            <w:szCs w:val="24"/>
          </w:rPr>
        </w:pPr>
        <w:r w:rsidRPr="0076053E">
          <w:rPr>
            <w:rFonts w:ascii="Times New Roman" w:hAnsi="Times New Roman" w:cs="Times New Roman"/>
            <w:noProof/>
            <w:sz w:val="24"/>
            <w:szCs w:val="24"/>
          </w:rPr>
          <w:t>HC 666/21</w:t>
        </w:r>
      </w:p>
      <w:p w14:paraId="1CE82029" w14:textId="2F85A71A" w:rsidR="0076053E" w:rsidRPr="0076053E" w:rsidRDefault="0076053E">
        <w:pPr>
          <w:pStyle w:val="Header"/>
          <w:jc w:val="right"/>
          <w:rPr>
            <w:rFonts w:ascii="Times New Roman" w:hAnsi="Times New Roman" w:cs="Times New Roman"/>
            <w:sz w:val="24"/>
            <w:szCs w:val="24"/>
          </w:rPr>
        </w:pPr>
        <w:r w:rsidRPr="0076053E">
          <w:rPr>
            <w:rFonts w:ascii="Times New Roman" w:hAnsi="Times New Roman" w:cs="Times New Roman"/>
            <w:noProof/>
            <w:sz w:val="24"/>
            <w:szCs w:val="24"/>
          </w:rPr>
          <w:t>XREF HC 69/21</w:t>
        </w:r>
      </w:p>
    </w:sdtContent>
  </w:sdt>
  <w:p w14:paraId="6B84F4AB" w14:textId="77777777" w:rsidR="0076053E" w:rsidRDefault="0076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8112D"/>
    <w:multiLevelType w:val="hybridMultilevel"/>
    <w:tmpl w:val="54FCB16C"/>
    <w:lvl w:ilvl="0" w:tplc="C9565B9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AB150A7"/>
    <w:multiLevelType w:val="hybridMultilevel"/>
    <w:tmpl w:val="CDE2F4CE"/>
    <w:lvl w:ilvl="0" w:tplc="3009001B">
      <w:start w:val="1"/>
      <w:numFmt w:val="lowerRoman"/>
      <w:lvlText w:val="%1."/>
      <w:lvlJc w:val="right"/>
      <w:pPr>
        <w:ind w:left="1500" w:hanging="360"/>
      </w:pPr>
    </w:lvl>
    <w:lvl w:ilvl="1" w:tplc="30090019" w:tentative="1">
      <w:start w:val="1"/>
      <w:numFmt w:val="lowerLetter"/>
      <w:lvlText w:val="%2."/>
      <w:lvlJc w:val="left"/>
      <w:pPr>
        <w:ind w:left="2220" w:hanging="360"/>
      </w:pPr>
    </w:lvl>
    <w:lvl w:ilvl="2" w:tplc="3009001B" w:tentative="1">
      <w:start w:val="1"/>
      <w:numFmt w:val="lowerRoman"/>
      <w:lvlText w:val="%3."/>
      <w:lvlJc w:val="right"/>
      <w:pPr>
        <w:ind w:left="2940" w:hanging="180"/>
      </w:pPr>
    </w:lvl>
    <w:lvl w:ilvl="3" w:tplc="3009000F" w:tentative="1">
      <w:start w:val="1"/>
      <w:numFmt w:val="decimal"/>
      <w:lvlText w:val="%4."/>
      <w:lvlJc w:val="left"/>
      <w:pPr>
        <w:ind w:left="3660" w:hanging="360"/>
      </w:pPr>
    </w:lvl>
    <w:lvl w:ilvl="4" w:tplc="30090019" w:tentative="1">
      <w:start w:val="1"/>
      <w:numFmt w:val="lowerLetter"/>
      <w:lvlText w:val="%5."/>
      <w:lvlJc w:val="left"/>
      <w:pPr>
        <w:ind w:left="4380" w:hanging="360"/>
      </w:pPr>
    </w:lvl>
    <w:lvl w:ilvl="5" w:tplc="3009001B" w:tentative="1">
      <w:start w:val="1"/>
      <w:numFmt w:val="lowerRoman"/>
      <w:lvlText w:val="%6."/>
      <w:lvlJc w:val="right"/>
      <w:pPr>
        <w:ind w:left="5100" w:hanging="180"/>
      </w:pPr>
    </w:lvl>
    <w:lvl w:ilvl="6" w:tplc="3009000F" w:tentative="1">
      <w:start w:val="1"/>
      <w:numFmt w:val="decimal"/>
      <w:lvlText w:val="%7."/>
      <w:lvlJc w:val="left"/>
      <w:pPr>
        <w:ind w:left="5820" w:hanging="360"/>
      </w:pPr>
    </w:lvl>
    <w:lvl w:ilvl="7" w:tplc="30090019" w:tentative="1">
      <w:start w:val="1"/>
      <w:numFmt w:val="lowerLetter"/>
      <w:lvlText w:val="%8."/>
      <w:lvlJc w:val="left"/>
      <w:pPr>
        <w:ind w:left="6540" w:hanging="360"/>
      </w:pPr>
    </w:lvl>
    <w:lvl w:ilvl="8" w:tplc="3009001B" w:tentative="1">
      <w:start w:val="1"/>
      <w:numFmt w:val="lowerRoman"/>
      <w:lvlText w:val="%9."/>
      <w:lvlJc w:val="right"/>
      <w:pPr>
        <w:ind w:left="7260" w:hanging="180"/>
      </w:pPr>
    </w:lvl>
  </w:abstractNum>
  <w:abstractNum w:abstractNumId="2" w15:restartNumberingAfterBreak="0">
    <w:nsid w:val="7DD80D4A"/>
    <w:multiLevelType w:val="hybridMultilevel"/>
    <w:tmpl w:val="11FE8D4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16cid:durableId="186649933">
    <w:abstractNumId w:val="1"/>
  </w:num>
  <w:num w:numId="2" w16cid:durableId="1766800056">
    <w:abstractNumId w:val="2"/>
  </w:num>
  <w:num w:numId="3" w16cid:durableId="158703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EED"/>
    <w:rsid w:val="000259C5"/>
    <w:rsid w:val="000A375B"/>
    <w:rsid w:val="000A38A6"/>
    <w:rsid w:val="000D2D97"/>
    <w:rsid w:val="000E31B9"/>
    <w:rsid w:val="00134A37"/>
    <w:rsid w:val="001465E8"/>
    <w:rsid w:val="001515B2"/>
    <w:rsid w:val="00187182"/>
    <w:rsid w:val="001972A5"/>
    <w:rsid w:val="001C4540"/>
    <w:rsid w:val="001E0A95"/>
    <w:rsid w:val="001F2190"/>
    <w:rsid w:val="001F5EBA"/>
    <w:rsid w:val="0020239F"/>
    <w:rsid w:val="00204674"/>
    <w:rsid w:val="0023011E"/>
    <w:rsid w:val="0023246D"/>
    <w:rsid w:val="002364B0"/>
    <w:rsid w:val="00266BA0"/>
    <w:rsid w:val="00280941"/>
    <w:rsid w:val="0028778C"/>
    <w:rsid w:val="002922D9"/>
    <w:rsid w:val="002D220E"/>
    <w:rsid w:val="002F7FE0"/>
    <w:rsid w:val="00303F7A"/>
    <w:rsid w:val="003260D5"/>
    <w:rsid w:val="00355734"/>
    <w:rsid w:val="003658D7"/>
    <w:rsid w:val="0039149D"/>
    <w:rsid w:val="003D0025"/>
    <w:rsid w:val="003F3292"/>
    <w:rsid w:val="00403875"/>
    <w:rsid w:val="004129B2"/>
    <w:rsid w:val="00421D7C"/>
    <w:rsid w:val="00430CA9"/>
    <w:rsid w:val="004F6F63"/>
    <w:rsid w:val="00512697"/>
    <w:rsid w:val="00514F53"/>
    <w:rsid w:val="005212AC"/>
    <w:rsid w:val="00522ADC"/>
    <w:rsid w:val="005315BA"/>
    <w:rsid w:val="005339B1"/>
    <w:rsid w:val="00540425"/>
    <w:rsid w:val="0055135F"/>
    <w:rsid w:val="005F0ADC"/>
    <w:rsid w:val="005F6AFD"/>
    <w:rsid w:val="006068DF"/>
    <w:rsid w:val="00614CF9"/>
    <w:rsid w:val="0062107F"/>
    <w:rsid w:val="0063742D"/>
    <w:rsid w:val="00641A8F"/>
    <w:rsid w:val="00673526"/>
    <w:rsid w:val="00681F1D"/>
    <w:rsid w:val="006A46DB"/>
    <w:rsid w:val="006B69C4"/>
    <w:rsid w:val="006C0BB5"/>
    <w:rsid w:val="006E1465"/>
    <w:rsid w:val="006E62FB"/>
    <w:rsid w:val="00731E4A"/>
    <w:rsid w:val="007356D4"/>
    <w:rsid w:val="00737902"/>
    <w:rsid w:val="0076053E"/>
    <w:rsid w:val="00761383"/>
    <w:rsid w:val="007814B5"/>
    <w:rsid w:val="007B30FE"/>
    <w:rsid w:val="007E2322"/>
    <w:rsid w:val="007F363C"/>
    <w:rsid w:val="007F7ECE"/>
    <w:rsid w:val="0080666D"/>
    <w:rsid w:val="008270FA"/>
    <w:rsid w:val="00831DA8"/>
    <w:rsid w:val="008460D3"/>
    <w:rsid w:val="008E4201"/>
    <w:rsid w:val="009015D0"/>
    <w:rsid w:val="00933174"/>
    <w:rsid w:val="00943B74"/>
    <w:rsid w:val="00952E9A"/>
    <w:rsid w:val="009548B0"/>
    <w:rsid w:val="00976416"/>
    <w:rsid w:val="00991D89"/>
    <w:rsid w:val="009A6657"/>
    <w:rsid w:val="009E1F26"/>
    <w:rsid w:val="009F6EF2"/>
    <w:rsid w:val="00A13E2C"/>
    <w:rsid w:val="00A22A08"/>
    <w:rsid w:val="00A64BA8"/>
    <w:rsid w:val="00A67C8A"/>
    <w:rsid w:val="00A9329B"/>
    <w:rsid w:val="00A94182"/>
    <w:rsid w:val="00AB7D05"/>
    <w:rsid w:val="00B52957"/>
    <w:rsid w:val="00BA69A0"/>
    <w:rsid w:val="00BC08C6"/>
    <w:rsid w:val="00BC0954"/>
    <w:rsid w:val="00BF4A33"/>
    <w:rsid w:val="00C0143D"/>
    <w:rsid w:val="00C0546D"/>
    <w:rsid w:val="00C154CB"/>
    <w:rsid w:val="00C47C13"/>
    <w:rsid w:val="00C5200E"/>
    <w:rsid w:val="00C66840"/>
    <w:rsid w:val="00C7141C"/>
    <w:rsid w:val="00C7330D"/>
    <w:rsid w:val="00CC2868"/>
    <w:rsid w:val="00CD05D4"/>
    <w:rsid w:val="00CD7EED"/>
    <w:rsid w:val="00CE3C40"/>
    <w:rsid w:val="00CF576E"/>
    <w:rsid w:val="00CF6ABC"/>
    <w:rsid w:val="00D0207D"/>
    <w:rsid w:val="00D05E93"/>
    <w:rsid w:val="00D444F9"/>
    <w:rsid w:val="00D50F7A"/>
    <w:rsid w:val="00D67ACE"/>
    <w:rsid w:val="00D76124"/>
    <w:rsid w:val="00D9139A"/>
    <w:rsid w:val="00D97A98"/>
    <w:rsid w:val="00DB594E"/>
    <w:rsid w:val="00DF5870"/>
    <w:rsid w:val="00E10770"/>
    <w:rsid w:val="00E107CD"/>
    <w:rsid w:val="00E417AC"/>
    <w:rsid w:val="00E44E57"/>
    <w:rsid w:val="00E4775E"/>
    <w:rsid w:val="00E71328"/>
    <w:rsid w:val="00EA110F"/>
    <w:rsid w:val="00EC24C6"/>
    <w:rsid w:val="00EE0D27"/>
    <w:rsid w:val="00EE1546"/>
    <w:rsid w:val="00EE770C"/>
    <w:rsid w:val="00EF26CE"/>
    <w:rsid w:val="00EF7BAF"/>
    <w:rsid w:val="00F02D5D"/>
    <w:rsid w:val="00F60302"/>
    <w:rsid w:val="00F93CA5"/>
    <w:rsid w:val="00FB65E4"/>
    <w:rsid w:val="00FC1D8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5D05C"/>
  <w15:chartTrackingRefBased/>
  <w15:docId w15:val="{54D342FC-2334-4107-8287-C1526D7A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EED"/>
    <w:pPr>
      <w:spacing w:after="200" w:line="276" w:lineRule="auto"/>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68"/>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styleId="CommentReference">
    <w:name w:val="annotation reference"/>
    <w:basedOn w:val="DefaultParagraphFont"/>
    <w:uiPriority w:val="99"/>
    <w:semiHidden/>
    <w:unhideWhenUsed/>
    <w:rsid w:val="008270FA"/>
    <w:rPr>
      <w:sz w:val="16"/>
      <w:szCs w:val="16"/>
    </w:rPr>
  </w:style>
  <w:style w:type="paragraph" w:styleId="CommentText">
    <w:name w:val="annotation text"/>
    <w:basedOn w:val="Normal"/>
    <w:link w:val="CommentTextChar"/>
    <w:uiPriority w:val="99"/>
    <w:semiHidden/>
    <w:unhideWhenUsed/>
    <w:rsid w:val="008270FA"/>
    <w:pPr>
      <w:spacing w:line="240" w:lineRule="auto"/>
    </w:pPr>
    <w:rPr>
      <w:sz w:val="20"/>
      <w:szCs w:val="20"/>
    </w:rPr>
  </w:style>
  <w:style w:type="character" w:customStyle="1" w:styleId="CommentTextChar">
    <w:name w:val="Comment Text Char"/>
    <w:basedOn w:val="DefaultParagraphFont"/>
    <w:link w:val="CommentText"/>
    <w:uiPriority w:val="99"/>
    <w:semiHidden/>
    <w:rsid w:val="008270FA"/>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270FA"/>
    <w:rPr>
      <w:b/>
      <w:bCs/>
    </w:rPr>
  </w:style>
  <w:style w:type="character" w:customStyle="1" w:styleId="CommentSubjectChar">
    <w:name w:val="Comment Subject Char"/>
    <w:basedOn w:val="CommentTextChar"/>
    <w:link w:val="CommentSubject"/>
    <w:uiPriority w:val="99"/>
    <w:semiHidden/>
    <w:rsid w:val="008270FA"/>
    <w:rPr>
      <w:b/>
      <w:bCs/>
      <w:kern w:val="0"/>
      <w:sz w:val="20"/>
      <w:szCs w:val="20"/>
      <w:lang w:val="en-US"/>
      <w14:ligatures w14:val="none"/>
    </w:rPr>
  </w:style>
  <w:style w:type="paragraph" w:styleId="ListParagraph">
    <w:name w:val="List Paragraph"/>
    <w:basedOn w:val="Normal"/>
    <w:uiPriority w:val="34"/>
    <w:qFormat/>
    <w:rsid w:val="003260D5"/>
    <w:pPr>
      <w:ind w:left="720"/>
      <w:contextualSpacing/>
    </w:pPr>
  </w:style>
  <w:style w:type="paragraph" w:styleId="Header">
    <w:name w:val="header"/>
    <w:basedOn w:val="Normal"/>
    <w:link w:val="HeaderChar"/>
    <w:uiPriority w:val="99"/>
    <w:unhideWhenUsed/>
    <w:rsid w:val="00760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3E"/>
    <w:rPr>
      <w:kern w:val="0"/>
      <w:lang w:val="en-US"/>
      <w14:ligatures w14:val="none"/>
    </w:rPr>
  </w:style>
  <w:style w:type="paragraph" w:styleId="Footer">
    <w:name w:val="footer"/>
    <w:basedOn w:val="Normal"/>
    <w:link w:val="FooterChar"/>
    <w:uiPriority w:val="99"/>
    <w:unhideWhenUsed/>
    <w:rsid w:val="00760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3E"/>
    <w:rPr>
      <w:kern w:val="0"/>
      <w:lang w:val="en-US"/>
      <w14:ligatures w14:val="none"/>
    </w:rPr>
  </w:style>
  <w:style w:type="paragraph" w:styleId="BalloonText">
    <w:name w:val="Balloon Text"/>
    <w:basedOn w:val="Normal"/>
    <w:link w:val="BalloonTextChar"/>
    <w:uiPriority w:val="99"/>
    <w:semiHidden/>
    <w:unhideWhenUsed/>
    <w:rsid w:val="00952E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E9A"/>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2888</TotalTime>
  <Pages>10</Pages>
  <Words>3100</Words>
  <Characters>17671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Christopher Dube-Banda</cp:lastModifiedBy>
  <cp:revision>68</cp:revision>
  <cp:lastPrinted>2023-09-13T10:24:00Z</cp:lastPrinted>
  <dcterms:created xsi:type="dcterms:W3CDTF">2023-07-22T04:31:00Z</dcterms:created>
  <dcterms:modified xsi:type="dcterms:W3CDTF">2023-09-14T10:44:00Z</dcterms:modified>
</cp:coreProperties>
</file>