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6E" w:rsidRPr="00047C13" w:rsidRDefault="005F2A6E" w:rsidP="005F2A6E">
      <w:pPr>
        <w:spacing w:line="360" w:lineRule="auto"/>
        <w:jc w:val="both"/>
        <w:rPr>
          <w:b/>
        </w:rPr>
      </w:pPr>
      <w:bookmarkStart w:id="0" w:name="_GoBack"/>
      <w:bookmarkEnd w:id="0"/>
      <w:r w:rsidRPr="00047C13">
        <w:rPr>
          <w:b/>
        </w:rPr>
        <w:t>IN T</w:t>
      </w:r>
      <w:r>
        <w:rPr>
          <w:b/>
        </w:rPr>
        <w:t>HE LABOUR COURT OF ZIMBABWE      JUDGMENT NO. LC/H/</w:t>
      </w:r>
      <w:r w:rsidR="0060336D">
        <w:rPr>
          <w:b/>
        </w:rPr>
        <w:t>737</w:t>
      </w:r>
      <w:r>
        <w:rPr>
          <w:b/>
        </w:rPr>
        <w:t>/2014</w:t>
      </w:r>
    </w:p>
    <w:p w:rsidR="005F2A6E" w:rsidRDefault="005F2A6E" w:rsidP="005F2A6E">
      <w:pPr>
        <w:spacing w:line="360" w:lineRule="auto"/>
        <w:jc w:val="both"/>
        <w:rPr>
          <w:b/>
        </w:rPr>
      </w:pPr>
      <w:r w:rsidRPr="00047C13">
        <w:rPr>
          <w:b/>
        </w:rPr>
        <w:t>HARARE,</w:t>
      </w:r>
      <w:r>
        <w:rPr>
          <w:b/>
        </w:rPr>
        <w:t xml:space="preserve"> 13 OCTOBER 2014</w:t>
      </w:r>
      <w:r w:rsidRPr="00047C13">
        <w:rPr>
          <w:b/>
        </w:rPr>
        <w:tab/>
      </w:r>
      <w:r w:rsidRPr="00047C13">
        <w:rPr>
          <w:b/>
        </w:rPr>
        <w:tab/>
      </w:r>
      <w:r>
        <w:rPr>
          <w:b/>
        </w:rPr>
        <w:t xml:space="preserve">     </w:t>
      </w:r>
      <w:r>
        <w:rPr>
          <w:b/>
        </w:rPr>
        <w:tab/>
      </w:r>
      <w:r w:rsidR="00144C17">
        <w:rPr>
          <w:b/>
        </w:rPr>
        <w:t xml:space="preserve">    </w:t>
      </w:r>
      <w:r w:rsidR="00015E3E">
        <w:rPr>
          <w:b/>
        </w:rPr>
        <w:t xml:space="preserve">        </w:t>
      </w:r>
      <w:r w:rsidRPr="00047C13">
        <w:rPr>
          <w:b/>
        </w:rPr>
        <w:t>CASE NO. LC/H/</w:t>
      </w:r>
      <w:r>
        <w:rPr>
          <w:b/>
        </w:rPr>
        <w:t>412/14</w:t>
      </w:r>
    </w:p>
    <w:p w:rsidR="005F2A6E" w:rsidRDefault="00015E3E" w:rsidP="005F2A6E">
      <w:pPr>
        <w:spacing w:line="360" w:lineRule="auto"/>
        <w:jc w:val="both"/>
        <w:rPr>
          <w:b/>
        </w:rPr>
      </w:pPr>
      <w:r>
        <w:rPr>
          <w:b/>
        </w:rPr>
        <w:t>AND 07 NOVEMBER 2014</w:t>
      </w:r>
    </w:p>
    <w:p w:rsidR="005F2A6E" w:rsidRPr="00047C13" w:rsidRDefault="005F2A6E" w:rsidP="005F2A6E">
      <w:pPr>
        <w:spacing w:line="360" w:lineRule="auto"/>
        <w:jc w:val="both"/>
      </w:pPr>
      <w:r w:rsidRPr="00047C13">
        <w:t>In the matter between</w:t>
      </w:r>
      <w:r>
        <w:t>:-</w:t>
      </w:r>
    </w:p>
    <w:p w:rsidR="005F2A6E" w:rsidRPr="00047C13" w:rsidRDefault="005F2A6E" w:rsidP="005F2A6E">
      <w:pPr>
        <w:spacing w:line="360" w:lineRule="auto"/>
        <w:jc w:val="both"/>
      </w:pPr>
    </w:p>
    <w:p w:rsidR="005F2A6E" w:rsidRPr="00047C13" w:rsidRDefault="005F2A6E" w:rsidP="005F2A6E">
      <w:pPr>
        <w:spacing w:line="360" w:lineRule="auto"/>
        <w:jc w:val="both"/>
        <w:rPr>
          <w:b/>
        </w:rPr>
      </w:pPr>
      <w:r>
        <w:rPr>
          <w:b/>
        </w:rPr>
        <w:t>WILLIAM SHORIWA</w:t>
      </w:r>
      <w:r>
        <w:rPr>
          <w:b/>
        </w:rPr>
        <w:tab/>
      </w:r>
      <w:r>
        <w:rPr>
          <w:b/>
        </w:rPr>
        <w:tab/>
      </w:r>
      <w:r>
        <w:rPr>
          <w:b/>
        </w:rPr>
        <w:tab/>
      </w:r>
      <w:r>
        <w:rPr>
          <w:b/>
        </w:rPr>
        <w:tab/>
      </w:r>
      <w:r>
        <w:rPr>
          <w:b/>
        </w:rPr>
        <w:tab/>
        <w:t>1</w:t>
      </w:r>
      <w:r w:rsidRPr="005F2A6E">
        <w:rPr>
          <w:b/>
          <w:vertAlign w:val="superscript"/>
        </w:rPr>
        <w:t>st</w:t>
      </w:r>
      <w:r>
        <w:rPr>
          <w:b/>
        </w:rPr>
        <w:t xml:space="preserve"> Appellant</w:t>
      </w:r>
    </w:p>
    <w:p w:rsidR="005F2A6E" w:rsidRDefault="005F2A6E" w:rsidP="005F2A6E">
      <w:pPr>
        <w:tabs>
          <w:tab w:val="left" w:pos="1995"/>
        </w:tabs>
        <w:spacing w:line="360" w:lineRule="auto"/>
        <w:jc w:val="both"/>
      </w:pPr>
      <w:r w:rsidRPr="00047C13">
        <w:t>And</w:t>
      </w:r>
    </w:p>
    <w:p w:rsidR="005F2A6E" w:rsidRDefault="005F2A6E" w:rsidP="005F2A6E">
      <w:pPr>
        <w:tabs>
          <w:tab w:val="left" w:pos="1995"/>
        </w:tabs>
        <w:spacing w:line="360" w:lineRule="auto"/>
        <w:jc w:val="both"/>
        <w:rPr>
          <w:b/>
        </w:rPr>
      </w:pPr>
      <w:r>
        <w:rPr>
          <w:b/>
        </w:rPr>
        <w:t>THOMPSON MUGONI</w:t>
      </w:r>
      <w:r>
        <w:rPr>
          <w:b/>
        </w:rPr>
        <w:tab/>
      </w:r>
      <w:r>
        <w:rPr>
          <w:b/>
        </w:rPr>
        <w:tab/>
      </w:r>
      <w:r>
        <w:rPr>
          <w:b/>
        </w:rPr>
        <w:tab/>
      </w:r>
      <w:r>
        <w:rPr>
          <w:b/>
        </w:rPr>
        <w:tab/>
      </w:r>
      <w:r>
        <w:rPr>
          <w:b/>
        </w:rPr>
        <w:tab/>
        <w:t>2</w:t>
      </w:r>
      <w:r w:rsidRPr="005F2A6E">
        <w:rPr>
          <w:b/>
          <w:vertAlign w:val="superscript"/>
        </w:rPr>
        <w:t>nd</w:t>
      </w:r>
      <w:r>
        <w:rPr>
          <w:b/>
        </w:rPr>
        <w:t xml:space="preserve"> Appellant</w:t>
      </w:r>
    </w:p>
    <w:p w:rsidR="005F2A6E" w:rsidRDefault="005F2A6E" w:rsidP="005F2A6E">
      <w:pPr>
        <w:tabs>
          <w:tab w:val="left" w:pos="1995"/>
        </w:tabs>
        <w:spacing w:line="360" w:lineRule="auto"/>
        <w:jc w:val="both"/>
      </w:pPr>
      <w:r>
        <w:t>And</w:t>
      </w:r>
    </w:p>
    <w:p w:rsidR="005F2A6E" w:rsidRDefault="005F2A6E" w:rsidP="005F2A6E">
      <w:pPr>
        <w:tabs>
          <w:tab w:val="left" w:pos="1995"/>
        </w:tabs>
        <w:spacing w:line="360" w:lineRule="auto"/>
        <w:jc w:val="both"/>
        <w:rPr>
          <w:b/>
        </w:rPr>
      </w:pPr>
      <w:r>
        <w:rPr>
          <w:b/>
        </w:rPr>
        <w:t>CLEOPAS MUGONI</w:t>
      </w:r>
      <w:r>
        <w:rPr>
          <w:b/>
        </w:rPr>
        <w:tab/>
      </w:r>
      <w:r>
        <w:rPr>
          <w:b/>
        </w:rPr>
        <w:tab/>
      </w:r>
      <w:r>
        <w:rPr>
          <w:b/>
        </w:rPr>
        <w:tab/>
      </w:r>
      <w:r>
        <w:rPr>
          <w:b/>
        </w:rPr>
        <w:tab/>
      </w:r>
      <w:r>
        <w:rPr>
          <w:b/>
        </w:rPr>
        <w:tab/>
        <w:t>3</w:t>
      </w:r>
      <w:r w:rsidRPr="005F2A6E">
        <w:rPr>
          <w:b/>
          <w:vertAlign w:val="superscript"/>
        </w:rPr>
        <w:t>rd</w:t>
      </w:r>
      <w:r>
        <w:rPr>
          <w:b/>
        </w:rPr>
        <w:t xml:space="preserve"> Appellant</w:t>
      </w:r>
    </w:p>
    <w:p w:rsidR="005F2A6E" w:rsidRPr="00047C13" w:rsidRDefault="005F2A6E" w:rsidP="005F2A6E">
      <w:pPr>
        <w:tabs>
          <w:tab w:val="left" w:pos="1995"/>
        </w:tabs>
        <w:spacing w:line="360" w:lineRule="auto"/>
        <w:jc w:val="both"/>
      </w:pPr>
      <w:r>
        <w:t>And</w:t>
      </w:r>
      <w:r w:rsidRPr="00047C13">
        <w:tab/>
      </w:r>
    </w:p>
    <w:p w:rsidR="005F2A6E" w:rsidRPr="00047C13" w:rsidRDefault="005F2A6E" w:rsidP="005F2A6E">
      <w:pPr>
        <w:spacing w:line="360" w:lineRule="auto"/>
        <w:jc w:val="both"/>
        <w:rPr>
          <w:b/>
        </w:rPr>
      </w:pPr>
      <w:r>
        <w:rPr>
          <w:b/>
        </w:rPr>
        <w:t>BEVPAK (PVT) LTD</w:t>
      </w:r>
      <w:r>
        <w:rPr>
          <w:b/>
        </w:rPr>
        <w:tab/>
      </w:r>
      <w:r>
        <w:rPr>
          <w:b/>
        </w:rPr>
        <w:tab/>
      </w:r>
      <w:r>
        <w:rPr>
          <w:b/>
        </w:rPr>
        <w:tab/>
      </w:r>
      <w:r>
        <w:rPr>
          <w:b/>
        </w:rPr>
        <w:tab/>
      </w:r>
      <w:r>
        <w:rPr>
          <w:b/>
        </w:rPr>
        <w:tab/>
        <w:t xml:space="preserve">Respondent </w:t>
      </w:r>
    </w:p>
    <w:p w:rsidR="005F2A6E" w:rsidRPr="00047C13" w:rsidRDefault="005F2A6E" w:rsidP="005F2A6E">
      <w:pPr>
        <w:spacing w:line="360" w:lineRule="auto"/>
        <w:jc w:val="both"/>
        <w:rPr>
          <w:b/>
        </w:rPr>
      </w:pPr>
    </w:p>
    <w:p w:rsidR="005F2A6E" w:rsidRDefault="005F2A6E" w:rsidP="005F2A6E">
      <w:pPr>
        <w:spacing w:line="360" w:lineRule="auto"/>
        <w:jc w:val="both"/>
      </w:pPr>
      <w:r>
        <w:t xml:space="preserve">Before Honourable L. Kudya, Judge                             </w:t>
      </w:r>
    </w:p>
    <w:p w:rsidR="005F2A6E" w:rsidRPr="00047C13" w:rsidRDefault="005F2A6E" w:rsidP="005F2A6E">
      <w:pPr>
        <w:spacing w:line="360" w:lineRule="auto"/>
        <w:jc w:val="both"/>
      </w:pPr>
      <w:r w:rsidRPr="00047C13">
        <w:tab/>
      </w:r>
      <w:r w:rsidRPr="00047C13">
        <w:tab/>
      </w:r>
      <w:r w:rsidRPr="00047C13">
        <w:tab/>
      </w:r>
    </w:p>
    <w:p w:rsidR="005F2A6E" w:rsidRDefault="005F2A6E" w:rsidP="005F2A6E">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sidR="004B6C57">
        <w:rPr>
          <w:b/>
        </w:rPr>
        <w:t>L. Maoneka (Unionist)</w:t>
      </w:r>
    </w:p>
    <w:p w:rsidR="005F2A6E" w:rsidRDefault="005F2A6E" w:rsidP="005F2A6E">
      <w:pPr>
        <w:spacing w:line="360" w:lineRule="auto"/>
        <w:jc w:val="both"/>
        <w:rPr>
          <w:b/>
        </w:rPr>
      </w:pPr>
      <w:r>
        <w:rPr>
          <w:b/>
        </w:rPr>
        <w:t>For Respondent</w:t>
      </w:r>
      <w:r>
        <w:rPr>
          <w:b/>
        </w:rPr>
        <w:tab/>
      </w:r>
      <w:r w:rsidRPr="00047C13">
        <w:rPr>
          <w:b/>
        </w:rPr>
        <w:tab/>
        <w:t>-</w:t>
      </w:r>
      <w:r w:rsidRPr="00047C13">
        <w:rPr>
          <w:b/>
        </w:rPr>
        <w:tab/>
      </w:r>
      <w:r w:rsidR="004B6C57">
        <w:rPr>
          <w:b/>
        </w:rPr>
        <w:t>B. Diza</w:t>
      </w:r>
      <w:r>
        <w:rPr>
          <w:b/>
        </w:rPr>
        <w:t xml:space="preserve"> (Legal Practitioner)</w:t>
      </w:r>
    </w:p>
    <w:p w:rsidR="005F2A6E" w:rsidRPr="00047C13" w:rsidRDefault="005F2A6E" w:rsidP="005F2A6E">
      <w:pPr>
        <w:spacing w:line="360" w:lineRule="auto"/>
        <w:jc w:val="both"/>
        <w:rPr>
          <w:b/>
        </w:rPr>
      </w:pPr>
    </w:p>
    <w:p w:rsidR="005F2A6E" w:rsidRDefault="005F2A6E" w:rsidP="005F2A6E">
      <w:pPr>
        <w:spacing w:line="360" w:lineRule="auto"/>
        <w:jc w:val="both"/>
        <w:rPr>
          <w:b/>
        </w:rPr>
      </w:pPr>
      <w:r>
        <w:rPr>
          <w:b/>
        </w:rPr>
        <w:t>KUDYA, J:</w:t>
      </w:r>
    </w:p>
    <w:p w:rsidR="003C4620" w:rsidRDefault="003C4620" w:rsidP="00353208">
      <w:pPr>
        <w:spacing w:line="360" w:lineRule="auto"/>
      </w:pPr>
    </w:p>
    <w:p w:rsidR="005F2A6E" w:rsidRDefault="005F2A6E" w:rsidP="005F2A6E">
      <w:pPr>
        <w:spacing w:line="360" w:lineRule="auto"/>
        <w:jc w:val="both"/>
      </w:pPr>
      <w:r>
        <w:tab/>
        <w:t>This is an appeal against the arbitrator’s decision where she dismissed the now appellants’ claim for gratuity in circumstances where they had accepte</w:t>
      </w:r>
      <w:r w:rsidR="00D73AA1">
        <w:t>d a pension less favourable than</w:t>
      </w:r>
      <w:r>
        <w:t xml:space="preserve"> gratuity.  Facts of the matter are that the appellant employees who worked for Mukundi p</w:t>
      </w:r>
      <w:r w:rsidR="00D73AA1">
        <w:t>lastics and Bevpak later as a goi</w:t>
      </w:r>
      <w:r>
        <w:t xml:space="preserve">ng concern got to their respective retirement ages.  At that stage they each received </w:t>
      </w:r>
      <w:r w:rsidR="00D73AA1">
        <w:t>their</w:t>
      </w:r>
      <w:r>
        <w:t xml:space="preserve"> dues upon retirement including receipt of a pension from the pension fund to which they contributed </w:t>
      </w:r>
      <w:r w:rsidR="00385CEF">
        <w:t xml:space="preserve">until 2008.  </w:t>
      </w:r>
    </w:p>
    <w:p w:rsidR="00385CEF" w:rsidRDefault="00385CEF" w:rsidP="00353208">
      <w:pPr>
        <w:jc w:val="both"/>
      </w:pPr>
    </w:p>
    <w:p w:rsidR="00385CEF" w:rsidRDefault="00385CEF" w:rsidP="005E70DD">
      <w:pPr>
        <w:spacing w:line="360" w:lineRule="auto"/>
        <w:jc w:val="both"/>
      </w:pPr>
      <w:r>
        <w:tab/>
        <w:t xml:space="preserve">For the 2008 to 2013 stretch the respondent employer paid them gratuity as </w:t>
      </w:r>
      <w:r w:rsidR="00015E3E">
        <w:t>during</w:t>
      </w:r>
      <w:r>
        <w:t xml:space="preserve"> that period there were no remittals to the pension</w:t>
      </w:r>
      <w:r w:rsidR="00D73AA1">
        <w:t xml:space="preserve"> fund.  The operation</w:t>
      </w:r>
      <w:r>
        <w:t xml:space="preserve"> and/or payment of a pension or gratuity was controlled by Section 29 of the Collective Bargain</w:t>
      </w:r>
      <w:r w:rsidR="00D73AA1">
        <w:t>ing</w:t>
      </w:r>
      <w:r>
        <w:t xml:space="preserve"> Agreement of the S</w:t>
      </w:r>
      <w:r w:rsidR="00D73AA1">
        <w:t>oft Drinks Manufacturing</w:t>
      </w:r>
      <w:r w:rsidR="004D30D6">
        <w:t xml:space="preserve"> Industry SI </w:t>
      </w:r>
      <w:r w:rsidR="004D30D6">
        <w:lastRenderedPageBreak/>
        <w:t>138/00.  This Instrument provided among other issues that the employer could contribute to a pension fund from which an employee could benefit</w:t>
      </w:r>
      <w:r w:rsidR="00744F8C">
        <w:t xml:space="preserve"> upon retirement, death</w:t>
      </w:r>
      <w:r>
        <w:t xml:space="preserve"> </w:t>
      </w:r>
      <w:r w:rsidR="00D73AA1">
        <w:t>etc.  P</w:t>
      </w:r>
      <w:r w:rsidR="00744F8C">
        <w:t>ar</w:t>
      </w:r>
      <w:r w:rsidR="00D73AA1">
        <w:t>t of the section provided that i</w:t>
      </w:r>
      <w:r w:rsidR="00744F8C">
        <w:t xml:space="preserve">f the pension payable is less favourable than gratuity then the employer had to pay the employee gratuity instead.  After the appellants accepted the pension payment up to 2008 they realized that it was less favourable than gratuity </w:t>
      </w:r>
      <w:r w:rsidR="00353208">
        <w:t>payable using</w:t>
      </w:r>
      <w:r w:rsidR="00744F8C">
        <w:t xml:space="preserve"> the model of calculation applicable or the relevant industry</w:t>
      </w:r>
      <w:r w:rsidR="005E70DD">
        <w:t>.</w:t>
      </w:r>
    </w:p>
    <w:p w:rsidR="005E70DD" w:rsidRDefault="005E70DD" w:rsidP="00353208">
      <w:pPr>
        <w:jc w:val="both"/>
      </w:pPr>
    </w:p>
    <w:p w:rsidR="005E70DD" w:rsidRDefault="005E70DD" w:rsidP="00353208">
      <w:pPr>
        <w:spacing w:line="360" w:lineRule="auto"/>
        <w:jc w:val="both"/>
      </w:pPr>
      <w:r>
        <w:tab/>
        <w:t>To that extent they approached the respondent asking to be paid gratuity for that period since the pension was less favourable than the pension.  Their matter went for arbitration where the arbitrator ruled that the appellants</w:t>
      </w:r>
      <w:r w:rsidR="00D73AA1">
        <w:t>’</w:t>
      </w:r>
      <w:r>
        <w:t xml:space="preserve"> claim was not valid.  The argument used by the arbitrator </w:t>
      </w:r>
      <w:r w:rsidR="00D73AA1">
        <w:t>in</w:t>
      </w:r>
      <w:r>
        <w:t xml:space="preserve"> dismissing the claim was that the appellants could not claim gratuity and pension at the same time as </w:t>
      </w:r>
      <w:r w:rsidR="00D73AA1">
        <w:t>this</w:t>
      </w:r>
      <w:r>
        <w:t xml:space="preserve"> was against the spirit of the SI 138/00.  She also reasoned that since the appellant had accepted the “lower” pension payout they could not go back and pray for further payment for the whole stretch of their working life time.  </w:t>
      </w:r>
    </w:p>
    <w:p w:rsidR="005E70DD" w:rsidRDefault="005E70DD" w:rsidP="00353208">
      <w:pPr>
        <w:spacing w:line="360" w:lineRule="auto"/>
        <w:jc w:val="both"/>
      </w:pPr>
    </w:p>
    <w:p w:rsidR="005E70DD" w:rsidRDefault="005E70DD" w:rsidP="005E70DD">
      <w:pPr>
        <w:spacing w:line="360" w:lineRule="auto"/>
        <w:jc w:val="both"/>
      </w:pPr>
      <w:r>
        <w:tab/>
        <w:t xml:space="preserve">Aggrieved by the dismissal of the claim the appellants have </w:t>
      </w:r>
      <w:r w:rsidR="00837D81">
        <w:t xml:space="preserve">now appealed to this court against that arbitration award and this is the subject matter of this judgment.  The only issue </w:t>
      </w:r>
      <w:r w:rsidR="00D73AA1">
        <w:t>falling</w:t>
      </w:r>
      <w:r w:rsidR="00837D81">
        <w:t xml:space="preserve"> for decision in this matter is whether the arbitrator correctly or wrongly interpreted Section 29 of SI 138/00 hence denying appellants gratuity which they were legally entitled to claim.</w:t>
      </w:r>
    </w:p>
    <w:p w:rsidR="00837D81" w:rsidRDefault="00837D81" w:rsidP="00353208">
      <w:pPr>
        <w:jc w:val="both"/>
      </w:pPr>
    </w:p>
    <w:p w:rsidR="00837D81" w:rsidRDefault="00837D81" w:rsidP="005E70DD">
      <w:pPr>
        <w:spacing w:line="360" w:lineRule="auto"/>
        <w:jc w:val="both"/>
      </w:pPr>
      <w:r>
        <w:tab/>
        <w:t>The appellants</w:t>
      </w:r>
      <w:r w:rsidR="00353208">
        <w:t>’</w:t>
      </w:r>
      <w:r>
        <w:t xml:space="preserve"> main argument is that in view of the fact that appellants were </w:t>
      </w:r>
      <w:r w:rsidR="00015E3E">
        <w:t>in continuous</w:t>
      </w:r>
      <w:r>
        <w:t xml:space="preserve"> service with their employer that gratuity had to stretch as </w:t>
      </w:r>
      <w:r w:rsidR="00353208">
        <w:t>far</w:t>
      </w:r>
      <w:r>
        <w:t xml:space="preserve"> back as the period covered by the pension which they received.  This argument is premised on the fact that the pension scheme in question provided the appellants benefits which were less favourable than what they would have gotten had their gratuity been properly calculated for the entire duration of their employment period including </w:t>
      </w:r>
      <w:r w:rsidR="00D73AA1">
        <w:t xml:space="preserve">the </w:t>
      </w:r>
      <w:r>
        <w:t>p</w:t>
      </w:r>
      <w:r w:rsidR="00D73AA1">
        <w:t>eriod they used to be under Muku</w:t>
      </w:r>
      <w:r>
        <w:t>ndi Plastics.</w:t>
      </w:r>
    </w:p>
    <w:p w:rsidR="00837D81" w:rsidRDefault="00837D81" w:rsidP="005E70DD">
      <w:pPr>
        <w:spacing w:line="360" w:lineRule="auto"/>
        <w:jc w:val="both"/>
      </w:pPr>
    </w:p>
    <w:p w:rsidR="00837D81" w:rsidRDefault="00837D81" w:rsidP="005E70DD">
      <w:pPr>
        <w:spacing w:line="360" w:lineRule="auto"/>
        <w:jc w:val="both"/>
      </w:pPr>
      <w:r>
        <w:tab/>
        <w:t xml:space="preserve">In response to the appeal the respondent argued that a literal </w:t>
      </w:r>
      <w:r w:rsidR="00D73AA1">
        <w:t>interpretation</w:t>
      </w:r>
      <w:r>
        <w:t xml:space="preserve"> of Section 29 of SI 138/00 can only lead to the conclusion that the mischief behind </w:t>
      </w:r>
      <w:r w:rsidR="002A008B">
        <w:lastRenderedPageBreak/>
        <w:t>that provision was to cater for the employee in the form of pension or gratuity where there is no pension scheme in place.  To that extent respondent argued that appellants could not benefit from the pension fund and at the same time claim gratuity as that would be tantamount to double dipping.</w:t>
      </w:r>
    </w:p>
    <w:p w:rsidR="002A008B" w:rsidRDefault="002A008B" w:rsidP="00353208">
      <w:pPr>
        <w:jc w:val="both"/>
      </w:pPr>
    </w:p>
    <w:p w:rsidR="00D73AA1" w:rsidRDefault="002A008B" w:rsidP="005E70DD">
      <w:pPr>
        <w:spacing w:line="360" w:lineRule="auto"/>
        <w:jc w:val="both"/>
      </w:pPr>
      <w:r>
        <w:tab/>
        <w:t>Respondent argued further that even if it was to be held that appellants were indeed entitled to claim gratuity they wa</w:t>
      </w:r>
      <w:r w:rsidR="00D73AA1">
        <w:t>i</w:t>
      </w:r>
      <w:r>
        <w:t xml:space="preserve">ved such </w:t>
      </w:r>
      <w:r w:rsidR="00D73AA1">
        <w:t>a</w:t>
      </w:r>
      <w:r>
        <w:t xml:space="preserve"> right upon their receipt and acceptance</w:t>
      </w:r>
      <w:r w:rsidR="00A74FF0">
        <w:t xml:space="preserve"> of the pension benefit over the pre 2008 period when they were still under Mukundi.  </w:t>
      </w:r>
    </w:p>
    <w:p w:rsidR="00D73AA1" w:rsidRDefault="00D73AA1" w:rsidP="00D73AA1">
      <w:pPr>
        <w:jc w:val="both"/>
      </w:pPr>
    </w:p>
    <w:p w:rsidR="002A008B" w:rsidRDefault="00A74FF0" w:rsidP="00D73AA1">
      <w:pPr>
        <w:spacing w:line="360" w:lineRule="auto"/>
        <w:ind w:firstLine="720"/>
        <w:jc w:val="both"/>
      </w:pPr>
      <w:r>
        <w:t xml:space="preserve">All the facts of the matter are essentially common case and the only </w:t>
      </w:r>
      <w:r w:rsidR="00D73AA1">
        <w:t>triable</w:t>
      </w:r>
      <w:r w:rsidR="00A13864">
        <w:t xml:space="preserve"> issue is the interpretation of Section 29 which is the pivot of the appellants’ argument.  In essence it deserves no restatement to mention that appellants </w:t>
      </w:r>
      <w:r w:rsidR="00D73AA1">
        <w:t>enjoyed continuous</w:t>
      </w:r>
      <w:r w:rsidR="00A13864">
        <w:t xml:space="preserve"> service </w:t>
      </w:r>
      <w:r w:rsidR="00D73AA1">
        <w:t>under</w:t>
      </w:r>
      <w:r w:rsidR="00A13864">
        <w:t xml:space="preserve"> the two employers and that </w:t>
      </w:r>
      <w:r w:rsidR="00D73AA1">
        <w:t xml:space="preserve">they </w:t>
      </w:r>
      <w:r w:rsidR="00A13864">
        <w:t>had entitlement to pension or gratuity.</w:t>
      </w:r>
    </w:p>
    <w:p w:rsidR="00A13864" w:rsidRDefault="00A13864" w:rsidP="00353208">
      <w:pPr>
        <w:jc w:val="both"/>
      </w:pPr>
    </w:p>
    <w:p w:rsidR="007926D0" w:rsidRDefault="00D73AA1" w:rsidP="005E70DD">
      <w:pPr>
        <w:spacing w:line="360" w:lineRule="auto"/>
        <w:jc w:val="both"/>
      </w:pPr>
      <w:r>
        <w:tab/>
        <w:t>A read</w:t>
      </w:r>
      <w:r w:rsidR="00A13864">
        <w:t xml:space="preserve">ing of section 29 of SI </w:t>
      </w:r>
      <w:r w:rsidR="00E760B5">
        <w:t>138/00 speaks to the fact that a pension or gratuity are payable to an employee</w:t>
      </w:r>
      <w:r>
        <w:t>.</w:t>
      </w:r>
      <w:r w:rsidR="00E760B5">
        <w:t xml:space="preserve"> </w:t>
      </w:r>
      <w:r>
        <w:t>Where</w:t>
      </w:r>
      <w:r w:rsidR="00E760B5">
        <w:t xml:space="preserve"> the pension is less favourable </w:t>
      </w:r>
      <w:r>
        <w:t xml:space="preserve">an employee may be </w:t>
      </w:r>
      <w:r w:rsidR="00144C17">
        <w:t>paid gratuity</w:t>
      </w:r>
      <w:r w:rsidR="00854A98">
        <w:t>.  In the courts</w:t>
      </w:r>
      <w:r w:rsidR="007926D0">
        <w:t xml:space="preserve"> view it was not the intention of the </w:t>
      </w:r>
      <w:r>
        <w:t>dra</w:t>
      </w:r>
      <w:r w:rsidR="00144C17">
        <w:t>fters of the C</w:t>
      </w:r>
      <w:r w:rsidR="007926D0">
        <w:t>ode to have a party claim both gratuity and pension for the same served period.</w:t>
      </w:r>
    </w:p>
    <w:p w:rsidR="007926D0" w:rsidRDefault="007926D0" w:rsidP="00353208">
      <w:pPr>
        <w:jc w:val="both"/>
      </w:pPr>
    </w:p>
    <w:p w:rsidR="00144C17" w:rsidRDefault="007926D0" w:rsidP="005E70DD">
      <w:pPr>
        <w:spacing w:line="360" w:lineRule="auto"/>
        <w:jc w:val="both"/>
      </w:pPr>
      <w:r>
        <w:tab/>
        <w:t xml:space="preserve">It is clear from the facts that the period when no pension contributions were remitted the employer paid up gratuity for that as essentially there was no pension cover for that period.  </w:t>
      </w:r>
    </w:p>
    <w:p w:rsidR="00144C17" w:rsidRDefault="00144C17" w:rsidP="00144C17">
      <w:pPr>
        <w:jc w:val="both"/>
      </w:pPr>
    </w:p>
    <w:p w:rsidR="00353208" w:rsidRDefault="007926D0" w:rsidP="00144C17">
      <w:pPr>
        <w:spacing w:line="360" w:lineRule="auto"/>
        <w:ind w:firstLine="720"/>
        <w:jc w:val="both"/>
      </w:pPr>
      <w:r>
        <w:t xml:space="preserve">As regards </w:t>
      </w:r>
      <w:r w:rsidR="00144C17">
        <w:t xml:space="preserve">the </w:t>
      </w:r>
      <w:r>
        <w:t xml:space="preserve">period when </w:t>
      </w:r>
      <w:r w:rsidR="00144C17">
        <w:t>a pension was i</w:t>
      </w:r>
      <w:r>
        <w:t>n place</w:t>
      </w:r>
      <w:r w:rsidR="00144C17">
        <w:t>,</w:t>
      </w:r>
      <w:r>
        <w:t xml:space="preserve"> the appellants got paid by the fund.  The court thus fails to appreciate how the appellants </w:t>
      </w:r>
      <w:r w:rsidR="00144C17">
        <w:t>can</w:t>
      </w:r>
      <w:r>
        <w:t xml:space="preserve"> want to </w:t>
      </w:r>
      <w:r w:rsidR="00144C17">
        <w:t>benefit</w:t>
      </w:r>
      <w:r w:rsidR="00353208">
        <w:t xml:space="preserve"> from the gratuity for the same period.  The court is persuaded by the respondent’s argument and quoted case law on the appellants’ waiver of their rights to that extent.  In the result the court finds </w:t>
      </w:r>
      <w:r w:rsidR="00144C17">
        <w:t>no</w:t>
      </w:r>
      <w:r w:rsidR="00353208">
        <w:t xml:space="preserve"> fault with the interpretation given by the arbitrator to Section 29.</w:t>
      </w:r>
    </w:p>
    <w:p w:rsidR="00353208" w:rsidRDefault="00353208" w:rsidP="00353208">
      <w:pPr>
        <w:jc w:val="both"/>
      </w:pPr>
    </w:p>
    <w:p w:rsidR="00353208" w:rsidRDefault="00353208" w:rsidP="005E70DD">
      <w:pPr>
        <w:spacing w:line="360" w:lineRule="auto"/>
        <w:jc w:val="both"/>
      </w:pPr>
      <w:r>
        <w:tab/>
        <w:t>To that extent appeal is not merited and it should according</w:t>
      </w:r>
      <w:r w:rsidR="00144C17">
        <w:t>ly</w:t>
      </w:r>
      <w:r>
        <w:t xml:space="preserve"> fail.</w:t>
      </w:r>
    </w:p>
    <w:p w:rsidR="00353208" w:rsidRDefault="00353208" w:rsidP="005E70DD">
      <w:pPr>
        <w:spacing w:line="360" w:lineRule="auto"/>
        <w:jc w:val="both"/>
      </w:pPr>
    </w:p>
    <w:p w:rsidR="004B6C57" w:rsidRDefault="004B6C57" w:rsidP="005E70DD">
      <w:pPr>
        <w:spacing w:line="360" w:lineRule="auto"/>
        <w:jc w:val="both"/>
      </w:pPr>
    </w:p>
    <w:p w:rsidR="004B6C57" w:rsidRDefault="004B6C57" w:rsidP="005E70DD">
      <w:pPr>
        <w:spacing w:line="360" w:lineRule="auto"/>
        <w:jc w:val="both"/>
      </w:pPr>
    </w:p>
    <w:p w:rsidR="00353208" w:rsidRDefault="00353208" w:rsidP="005E70DD">
      <w:pPr>
        <w:spacing w:line="360" w:lineRule="auto"/>
        <w:jc w:val="both"/>
      </w:pPr>
      <w:r>
        <w:t>IT IS ORDERED THAT</w:t>
      </w:r>
    </w:p>
    <w:p w:rsidR="00353208" w:rsidRDefault="00353208" w:rsidP="005E70DD">
      <w:pPr>
        <w:spacing w:line="360" w:lineRule="auto"/>
        <w:jc w:val="both"/>
      </w:pPr>
    </w:p>
    <w:p w:rsidR="00353208" w:rsidRDefault="00353208" w:rsidP="005E70DD">
      <w:pPr>
        <w:spacing w:line="360" w:lineRule="auto"/>
        <w:jc w:val="both"/>
      </w:pPr>
      <w:r>
        <w:t xml:space="preserve">Appeal being without merit it be and is hereby dismissed.  </w:t>
      </w:r>
    </w:p>
    <w:p w:rsidR="00A13864" w:rsidRDefault="00353208" w:rsidP="005E70DD">
      <w:pPr>
        <w:spacing w:line="360" w:lineRule="auto"/>
        <w:jc w:val="both"/>
      </w:pPr>
      <w:r>
        <w:t xml:space="preserve">Each party to bear its own costs. </w:t>
      </w:r>
    </w:p>
    <w:p w:rsidR="004B6C57" w:rsidRDefault="004B6C57" w:rsidP="005E70DD">
      <w:pPr>
        <w:spacing w:line="360" w:lineRule="auto"/>
        <w:jc w:val="both"/>
      </w:pPr>
    </w:p>
    <w:p w:rsidR="004B6C57" w:rsidRDefault="004B6C57" w:rsidP="005E70DD">
      <w:pPr>
        <w:spacing w:line="360" w:lineRule="auto"/>
        <w:jc w:val="both"/>
      </w:pPr>
    </w:p>
    <w:p w:rsidR="004B6C57" w:rsidRDefault="004B6C57" w:rsidP="005E70DD">
      <w:pPr>
        <w:spacing w:line="360" w:lineRule="auto"/>
        <w:jc w:val="both"/>
      </w:pPr>
    </w:p>
    <w:p w:rsidR="004B6C57" w:rsidRDefault="004B6C57" w:rsidP="005E70DD">
      <w:pPr>
        <w:spacing w:line="360" w:lineRule="auto"/>
        <w:jc w:val="both"/>
      </w:pPr>
    </w:p>
    <w:p w:rsidR="004B6C57" w:rsidRDefault="004B6C57" w:rsidP="005E70DD">
      <w:pPr>
        <w:spacing w:line="360" w:lineRule="auto"/>
        <w:jc w:val="both"/>
      </w:pPr>
      <w:r w:rsidRPr="004B6C57">
        <w:rPr>
          <w:b/>
          <w:i/>
        </w:rPr>
        <w:t>MTETWA &amp; NYAMBIRAI</w:t>
      </w:r>
      <w:r>
        <w:t>, Respondent’s legal practitioners</w:t>
      </w:r>
    </w:p>
    <w:sectPr w:rsidR="004B6C57" w:rsidSect="004F2B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23" w:rsidRDefault="00296923" w:rsidP="004F2BDC">
      <w:r>
        <w:separator/>
      </w:r>
    </w:p>
  </w:endnote>
  <w:endnote w:type="continuationSeparator" w:id="0">
    <w:p w:rsidR="00296923" w:rsidRDefault="00296923" w:rsidP="004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1085"/>
      <w:docPartObj>
        <w:docPartGallery w:val="Page Numbers (Bottom of Page)"/>
        <w:docPartUnique/>
      </w:docPartObj>
    </w:sdtPr>
    <w:sdtEndPr/>
    <w:sdtContent>
      <w:p w:rsidR="00353208" w:rsidRDefault="00296923">
        <w:pPr>
          <w:pStyle w:val="Footer"/>
          <w:jc w:val="center"/>
        </w:pPr>
        <w:r>
          <w:fldChar w:fldCharType="begin"/>
        </w:r>
        <w:r>
          <w:instrText xml:space="preserve"> PAGE   \* MERGEFORMAT </w:instrText>
        </w:r>
        <w:r>
          <w:fldChar w:fldCharType="separate"/>
        </w:r>
        <w:r w:rsidR="00BE18AD">
          <w:rPr>
            <w:noProof/>
          </w:rPr>
          <w:t>4</w:t>
        </w:r>
        <w:r>
          <w:rPr>
            <w:noProof/>
          </w:rPr>
          <w:fldChar w:fldCharType="end"/>
        </w:r>
      </w:p>
    </w:sdtContent>
  </w:sdt>
  <w:p w:rsidR="00353208" w:rsidRDefault="00353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23" w:rsidRDefault="00296923" w:rsidP="004F2BDC">
      <w:r>
        <w:separator/>
      </w:r>
    </w:p>
  </w:footnote>
  <w:footnote w:type="continuationSeparator" w:id="0">
    <w:p w:rsidR="00296923" w:rsidRDefault="00296923" w:rsidP="004F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08" w:rsidRDefault="00353208">
    <w:pPr>
      <w:pStyle w:val="Header"/>
    </w:pPr>
    <w:r>
      <w:tab/>
    </w:r>
    <w:r>
      <w:tab/>
      <w:t>JUDGMENT NO. LC/H/</w:t>
    </w:r>
    <w:r w:rsidR="0060336D">
      <w:t>737</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6E"/>
    <w:rsid w:val="0000357B"/>
    <w:rsid w:val="00015E3E"/>
    <w:rsid w:val="00144C17"/>
    <w:rsid w:val="00213EC1"/>
    <w:rsid w:val="002604A1"/>
    <w:rsid w:val="00296923"/>
    <w:rsid w:val="002A008B"/>
    <w:rsid w:val="00353208"/>
    <w:rsid w:val="00366437"/>
    <w:rsid w:val="00385CEF"/>
    <w:rsid w:val="003C4620"/>
    <w:rsid w:val="003D181F"/>
    <w:rsid w:val="004B6C57"/>
    <w:rsid w:val="004D30D6"/>
    <w:rsid w:val="004F2BDC"/>
    <w:rsid w:val="005E70DD"/>
    <w:rsid w:val="005F2A6E"/>
    <w:rsid w:val="0060336D"/>
    <w:rsid w:val="0061099A"/>
    <w:rsid w:val="006B1B49"/>
    <w:rsid w:val="00744F8C"/>
    <w:rsid w:val="00745E74"/>
    <w:rsid w:val="007926D0"/>
    <w:rsid w:val="00837D81"/>
    <w:rsid w:val="00854A98"/>
    <w:rsid w:val="00950D5A"/>
    <w:rsid w:val="00A13864"/>
    <w:rsid w:val="00A74FF0"/>
    <w:rsid w:val="00AF0A26"/>
    <w:rsid w:val="00BE18AD"/>
    <w:rsid w:val="00D3647C"/>
    <w:rsid w:val="00D73AA1"/>
    <w:rsid w:val="00E06158"/>
    <w:rsid w:val="00E760B5"/>
    <w:rsid w:val="00F55CC7"/>
    <w:rsid w:val="00FE54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BDC"/>
    <w:pPr>
      <w:tabs>
        <w:tab w:val="center" w:pos="4513"/>
        <w:tab w:val="right" w:pos="9026"/>
      </w:tabs>
    </w:pPr>
  </w:style>
  <w:style w:type="character" w:customStyle="1" w:styleId="HeaderChar">
    <w:name w:val="Header Char"/>
    <w:basedOn w:val="DefaultParagraphFont"/>
    <w:link w:val="Header"/>
    <w:uiPriority w:val="99"/>
    <w:semiHidden/>
    <w:rsid w:val="004F2BDC"/>
    <w:rPr>
      <w:rFonts w:ascii="Tahoma" w:eastAsia="Times New Roman" w:hAnsi="Tahoma" w:cs="Times New Roman"/>
      <w:sz w:val="24"/>
      <w:szCs w:val="24"/>
      <w:lang w:val="en-US"/>
    </w:rPr>
  </w:style>
  <w:style w:type="paragraph" w:styleId="Footer">
    <w:name w:val="footer"/>
    <w:basedOn w:val="Normal"/>
    <w:link w:val="FooterChar"/>
    <w:uiPriority w:val="99"/>
    <w:unhideWhenUsed/>
    <w:rsid w:val="004F2BDC"/>
    <w:pPr>
      <w:tabs>
        <w:tab w:val="center" w:pos="4513"/>
        <w:tab w:val="right" w:pos="9026"/>
      </w:tabs>
    </w:pPr>
  </w:style>
  <w:style w:type="character" w:customStyle="1" w:styleId="FooterChar">
    <w:name w:val="Footer Char"/>
    <w:basedOn w:val="DefaultParagraphFont"/>
    <w:link w:val="Footer"/>
    <w:uiPriority w:val="99"/>
    <w:rsid w:val="004F2BD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BDC"/>
    <w:pPr>
      <w:tabs>
        <w:tab w:val="center" w:pos="4513"/>
        <w:tab w:val="right" w:pos="9026"/>
      </w:tabs>
    </w:pPr>
  </w:style>
  <w:style w:type="character" w:customStyle="1" w:styleId="HeaderChar">
    <w:name w:val="Header Char"/>
    <w:basedOn w:val="DefaultParagraphFont"/>
    <w:link w:val="Header"/>
    <w:uiPriority w:val="99"/>
    <w:semiHidden/>
    <w:rsid w:val="004F2BDC"/>
    <w:rPr>
      <w:rFonts w:ascii="Tahoma" w:eastAsia="Times New Roman" w:hAnsi="Tahoma" w:cs="Times New Roman"/>
      <w:sz w:val="24"/>
      <w:szCs w:val="24"/>
      <w:lang w:val="en-US"/>
    </w:rPr>
  </w:style>
  <w:style w:type="paragraph" w:styleId="Footer">
    <w:name w:val="footer"/>
    <w:basedOn w:val="Normal"/>
    <w:link w:val="FooterChar"/>
    <w:uiPriority w:val="99"/>
    <w:unhideWhenUsed/>
    <w:rsid w:val="004F2BDC"/>
    <w:pPr>
      <w:tabs>
        <w:tab w:val="center" w:pos="4513"/>
        <w:tab w:val="right" w:pos="9026"/>
      </w:tabs>
    </w:pPr>
  </w:style>
  <w:style w:type="character" w:customStyle="1" w:styleId="FooterChar">
    <w:name w:val="Footer Char"/>
    <w:basedOn w:val="DefaultParagraphFont"/>
    <w:link w:val="Footer"/>
    <w:uiPriority w:val="99"/>
    <w:rsid w:val="004F2BD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2014-10-23T13:13:00Z</cp:lastPrinted>
  <dcterms:created xsi:type="dcterms:W3CDTF">2017-04-06T09:39:00Z</dcterms:created>
  <dcterms:modified xsi:type="dcterms:W3CDTF">2017-04-06T09:39:00Z</dcterms:modified>
</cp:coreProperties>
</file>