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98" w:rsidRDefault="00557FFD" w:rsidP="008937A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WILLIAM NYANGA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57FFD" w:rsidRDefault="007E2449" w:rsidP="008937A9">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557FFD">
        <w:rPr>
          <w:rFonts w:ascii="Times New Roman" w:hAnsi="Times New Roman" w:cs="Times New Roman"/>
          <w:sz w:val="24"/>
          <w:szCs w:val="24"/>
        </w:rPr>
        <w:t>ersus</w:t>
      </w:r>
    </w:p>
    <w:p w:rsidR="00557FFD" w:rsidRDefault="00557FFD" w:rsidP="008937A9">
      <w:pPr>
        <w:spacing w:after="0" w:line="240" w:lineRule="auto"/>
        <w:rPr>
          <w:rFonts w:ascii="Times New Roman" w:hAnsi="Times New Roman" w:cs="Times New Roman"/>
          <w:sz w:val="24"/>
          <w:szCs w:val="24"/>
        </w:rPr>
      </w:pPr>
      <w:r>
        <w:rPr>
          <w:rFonts w:ascii="Times New Roman" w:hAnsi="Times New Roman" w:cs="Times New Roman"/>
          <w:sz w:val="24"/>
          <w:szCs w:val="24"/>
        </w:rPr>
        <w:t>ZIMBABWE HOUSING PROJECTS TRUST</w:t>
      </w:r>
    </w:p>
    <w:p w:rsidR="00557FFD" w:rsidRDefault="00557FFD">
      <w:pPr>
        <w:rPr>
          <w:rFonts w:ascii="Times New Roman" w:hAnsi="Times New Roman" w:cs="Times New Roman"/>
          <w:sz w:val="24"/>
          <w:szCs w:val="24"/>
        </w:rPr>
      </w:pPr>
    </w:p>
    <w:p w:rsidR="008937A9" w:rsidRDefault="008937A9" w:rsidP="008937A9">
      <w:pPr>
        <w:spacing w:after="0"/>
        <w:rPr>
          <w:rFonts w:ascii="Times New Roman" w:hAnsi="Times New Roman" w:cs="Times New Roman"/>
          <w:sz w:val="24"/>
          <w:szCs w:val="24"/>
        </w:rPr>
      </w:pPr>
    </w:p>
    <w:p w:rsidR="00557FFD" w:rsidRDefault="00557FFD" w:rsidP="008937A9">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557FFD" w:rsidRDefault="00557FFD" w:rsidP="008937A9">
      <w:pPr>
        <w:spacing w:after="0"/>
        <w:rPr>
          <w:rFonts w:ascii="Times New Roman" w:hAnsi="Times New Roman" w:cs="Times New Roman"/>
          <w:sz w:val="24"/>
          <w:szCs w:val="24"/>
        </w:rPr>
      </w:pPr>
      <w:r>
        <w:rPr>
          <w:rFonts w:ascii="Times New Roman" w:hAnsi="Times New Roman" w:cs="Times New Roman"/>
          <w:sz w:val="24"/>
          <w:szCs w:val="24"/>
        </w:rPr>
        <w:t>HUNGWE J</w:t>
      </w:r>
    </w:p>
    <w:p w:rsidR="00557FFD" w:rsidRDefault="00557FFD" w:rsidP="008937A9">
      <w:pPr>
        <w:spacing w:after="0"/>
        <w:rPr>
          <w:rFonts w:ascii="Times New Roman" w:hAnsi="Times New Roman" w:cs="Times New Roman"/>
          <w:sz w:val="24"/>
          <w:szCs w:val="24"/>
        </w:rPr>
      </w:pPr>
      <w:r>
        <w:rPr>
          <w:rFonts w:ascii="Times New Roman" w:hAnsi="Times New Roman" w:cs="Times New Roman"/>
          <w:sz w:val="24"/>
          <w:szCs w:val="24"/>
        </w:rPr>
        <w:t xml:space="preserve">HARARE, 16 June 2016 &amp; </w:t>
      </w:r>
      <w:r w:rsidR="004B51B9">
        <w:rPr>
          <w:rFonts w:ascii="Times New Roman" w:hAnsi="Times New Roman" w:cs="Times New Roman"/>
          <w:sz w:val="24"/>
          <w:szCs w:val="24"/>
        </w:rPr>
        <w:t>24</w:t>
      </w:r>
      <w:r w:rsidR="007E2449">
        <w:rPr>
          <w:rFonts w:ascii="Times New Roman" w:hAnsi="Times New Roman" w:cs="Times New Roman"/>
          <w:sz w:val="24"/>
          <w:szCs w:val="24"/>
        </w:rPr>
        <w:t xml:space="preserve"> </w:t>
      </w:r>
      <w:r>
        <w:rPr>
          <w:rFonts w:ascii="Times New Roman" w:hAnsi="Times New Roman" w:cs="Times New Roman"/>
          <w:sz w:val="24"/>
          <w:szCs w:val="24"/>
        </w:rPr>
        <w:t>January 2018</w:t>
      </w:r>
    </w:p>
    <w:p w:rsidR="00557FFD" w:rsidRDefault="00557FFD">
      <w:pPr>
        <w:rPr>
          <w:rFonts w:ascii="Times New Roman" w:hAnsi="Times New Roman" w:cs="Times New Roman"/>
          <w:sz w:val="24"/>
          <w:szCs w:val="24"/>
        </w:rPr>
      </w:pPr>
    </w:p>
    <w:p w:rsidR="00557FFD" w:rsidRDefault="00557FFD">
      <w:pPr>
        <w:rPr>
          <w:rFonts w:ascii="Times New Roman" w:hAnsi="Times New Roman" w:cs="Times New Roman"/>
          <w:sz w:val="24"/>
          <w:szCs w:val="24"/>
        </w:rPr>
      </w:pPr>
    </w:p>
    <w:p w:rsidR="00557FFD" w:rsidRPr="00557FFD" w:rsidRDefault="008937A9">
      <w:pPr>
        <w:rPr>
          <w:rFonts w:ascii="Times New Roman" w:hAnsi="Times New Roman" w:cs="Times New Roman"/>
          <w:b/>
          <w:sz w:val="24"/>
          <w:szCs w:val="24"/>
        </w:rPr>
      </w:pPr>
      <w:r>
        <w:rPr>
          <w:rFonts w:ascii="Times New Roman" w:hAnsi="Times New Roman" w:cs="Times New Roman"/>
          <w:b/>
          <w:sz w:val="24"/>
          <w:szCs w:val="24"/>
        </w:rPr>
        <w:t>Opposed</w:t>
      </w:r>
      <w:r w:rsidR="00557FFD" w:rsidRPr="00557FFD">
        <w:rPr>
          <w:rFonts w:ascii="Times New Roman" w:hAnsi="Times New Roman" w:cs="Times New Roman"/>
          <w:b/>
          <w:sz w:val="24"/>
          <w:szCs w:val="24"/>
        </w:rPr>
        <w:t xml:space="preserve"> Application</w:t>
      </w:r>
    </w:p>
    <w:p w:rsidR="00557FFD" w:rsidRDefault="00557FFD">
      <w:pPr>
        <w:rPr>
          <w:rFonts w:ascii="Times New Roman" w:hAnsi="Times New Roman" w:cs="Times New Roman"/>
          <w:sz w:val="24"/>
          <w:szCs w:val="24"/>
        </w:rPr>
      </w:pPr>
    </w:p>
    <w:p w:rsidR="00557FFD" w:rsidRDefault="00557FFD" w:rsidP="008937A9">
      <w:pPr>
        <w:spacing w:after="0" w:line="240" w:lineRule="auto"/>
        <w:rPr>
          <w:rFonts w:ascii="Times New Roman" w:hAnsi="Times New Roman" w:cs="Times New Roman"/>
          <w:sz w:val="24"/>
          <w:szCs w:val="24"/>
        </w:rPr>
      </w:pPr>
      <w:r w:rsidRPr="00557FFD">
        <w:rPr>
          <w:rFonts w:ascii="Times New Roman" w:hAnsi="Times New Roman" w:cs="Times New Roman"/>
          <w:i/>
          <w:sz w:val="24"/>
          <w:szCs w:val="24"/>
        </w:rPr>
        <w:t>T Musekiwa</w:t>
      </w:r>
      <w:r>
        <w:rPr>
          <w:rFonts w:ascii="Times New Roman" w:hAnsi="Times New Roman" w:cs="Times New Roman"/>
          <w:sz w:val="24"/>
          <w:szCs w:val="24"/>
        </w:rPr>
        <w:t>, for the applicant</w:t>
      </w:r>
    </w:p>
    <w:p w:rsidR="00557FFD" w:rsidRDefault="000B2C70" w:rsidP="008937A9">
      <w:pPr>
        <w:spacing w:after="0" w:line="240" w:lineRule="auto"/>
        <w:rPr>
          <w:rFonts w:ascii="Times New Roman" w:hAnsi="Times New Roman" w:cs="Times New Roman"/>
          <w:sz w:val="24"/>
          <w:szCs w:val="24"/>
        </w:rPr>
      </w:pPr>
      <w:r w:rsidRPr="000B2C70">
        <w:rPr>
          <w:rFonts w:ascii="Times New Roman" w:hAnsi="Times New Roman" w:cs="Times New Roman"/>
          <w:i/>
          <w:sz w:val="24"/>
          <w:szCs w:val="24"/>
        </w:rPr>
        <w:t>C Takaendesa</w:t>
      </w:r>
      <w:r w:rsidR="00557FFD">
        <w:rPr>
          <w:rFonts w:ascii="Times New Roman" w:hAnsi="Times New Roman" w:cs="Times New Roman"/>
          <w:sz w:val="24"/>
          <w:szCs w:val="24"/>
        </w:rPr>
        <w:t>, for the respondent</w:t>
      </w:r>
    </w:p>
    <w:p w:rsidR="00557FFD" w:rsidRDefault="00557FFD">
      <w:pPr>
        <w:rPr>
          <w:rFonts w:ascii="Times New Roman" w:hAnsi="Times New Roman" w:cs="Times New Roman"/>
          <w:sz w:val="24"/>
          <w:szCs w:val="24"/>
        </w:rPr>
      </w:pPr>
    </w:p>
    <w:p w:rsidR="00557FFD" w:rsidRDefault="00557FFD">
      <w:pPr>
        <w:rPr>
          <w:rFonts w:ascii="Times New Roman" w:hAnsi="Times New Roman" w:cs="Times New Roman"/>
          <w:sz w:val="24"/>
          <w:szCs w:val="24"/>
        </w:rPr>
      </w:pPr>
      <w:r>
        <w:rPr>
          <w:rFonts w:ascii="Times New Roman" w:hAnsi="Times New Roman" w:cs="Times New Roman"/>
          <w:sz w:val="24"/>
          <w:szCs w:val="24"/>
        </w:rPr>
        <w:tab/>
      </w:r>
      <w:r w:rsidR="00420D1A">
        <w:rPr>
          <w:rFonts w:ascii="Times New Roman" w:hAnsi="Times New Roman" w:cs="Times New Roman"/>
          <w:sz w:val="24"/>
          <w:szCs w:val="24"/>
        </w:rPr>
        <w:t>HUNGWE J</w:t>
      </w:r>
      <w:r w:rsidR="00CF0FEE">
        <w:rPr>
          <w:rFonts w:ascii="Times New Roman" w:hAnsi="Times New Roman" w:cs="Times New Roman"/>
          <w:sz w:val="24"/>
          <w:szCs w:val="24"/>
        </w:rPr>
        <w:t>:</w:t>
      </w:r>
      <w:r w:rsidR="00420D1A">
        <w:rPr>
          <w:rFonts w:ascii="Times New Roman" w:hAnsi="Times New Roman" w:cs="Times New Roman"/>
          <w:sz w:val="24"/>
          <w:szCs w:val="24"/>
        </w:rPr>
        <w:tab/>
        <w:t>Applicant seeks summary judgment in the following terms:</w:t>
      </w:r>
    </w:p>
    <w:p w:rsidR="00420D1A" w:rsidRPr="00060F73" w:rsidRDefault="00420D1A" w:rsidP="00420D1A">
      <w:pPr>
        <w:ind w:left="1440" w:hanging="720"/>
        <w:jc w:val="both"/>
        <w:rPr>
          <w:rFonts w:ascii="Times New Roman" w:hAnsi="Times New Roman" w:cs="Times New Roman"/>
        </w:rPr>
      </w:pPr>
      <w:r w:rsidRPr="00060F73">
        <w:rPr>
          <w:rFonts w:ascii="Times New Roman" w:hAnsi="Times New Roman" w:cs="Times New Roman"/>
        </w:rPr>
        <w:t>“(a)</w:t>
      </w:r>
      <w:r w:rsidRPr="00060F73">
        <w:rPr>
          <w:rFonts w:ascii="Times New Roman" w:hAnsi="Times New Roman" w:cs="Times New Roman"/>
        </w:rPr>
        <w:tab/>
        <w:t>Payment of the sum of US$22 700-00 being outstanding balance in respect of fees for town planning consultancy services rendered to defend</w:t>
      </w:r>
      <w:r w:rsidR="00BA1D90">
        <w:rPr>
          <w:rFonts w:ascii="Times New Roman" w:hAnsi="Times New Roman" w:cs="Times New Roman"/>
        </w:rPr>
        <w:t>ant</w:t>
      </w:r>
      <w:r w:rsidRPr="00060F73">
        <w:rPr>
          <w:rFonts w:ascii="Times New Roman" w:hAnsi="Times New Roman" w:cs="Times New Roman"/>
        </w:rPr>
        <w:t xml:space="preserve"> at its specific request and instance;</w:t>
      </w:r>
    </w:p>
    <w:p w:rsidR="00420D1A" w:rsidRPr="00060F73" w:rsidRDefault="00420D1A" w:rsidP="00420D1A">
      <w:pPr>
        <w:ind w:left="1440" w:hanging="720"/>
        <w:jc w:val="both"/>
        <w:rPr>
          <w:rFonts w:ascii="Times New Roman" w:hAnsi="Times New Roman" w:cs="Times New Roman"/>
        </w:rPr>
      </w:pPr>
      <w:r w:rsidRPr="00060F73">
        <w:rPr>
          <w:rFonts w:ascii="Times New Roman" w:hAnsi="Times New Roman" w:cs="Times New Roman"/>
        </w:rPr>
        <w:t>(b)</w:t>
      </w:r>
      <w:r w:rsidRPr="00060F73">
        <w:rPr>
          <w:rFonts w:ascii="Times New Roman" w:hAnsi="Times New Roman" w:cs="Times New Roman"/>
        </w:rPr>
        <w:tab/>
        <w:t>Interest thereon at 5% calculated from 12 September 2012 to date of payment in full;</w:t>
      </w:r>
    </w:p>
    <w:p w:rsidR="00420D1A" w:rsidRPr="00060F73" w:rsidRDefault="00420D1A" w:rsidP="00420D1A">
      <w:pPr>
        <w:ind w:left="1440" w:hanging="720"/>
        <w:jc w:val="both"/>
        <w:rPr>
          <w:rFonts w:ascii="Times New Roman" w:hAnsi="Times New Roman" w:cs="Times New Roman"/>
        </w:rPr>
      </w:pPr>
      <w:r w:rsidRPr="00060F73">
        <w:rPr>
          <w:rFonts w:ascii="Times New Roman" w:hAnsi="Times New Roman" w:cs="Times New Roman"/>
        </w:rPr>
        <w:t>(c)</w:t>
      </w:r>
      <w:r w:rsidRPr="00060F73">
        <w:rPr>
          <w:rFonts w:ascii="Times New Roman" w:hAnsi="Times New Roman" w:cs="Times New Roman"/>
        </w:rPr>
        <w:tab/>
        <w:t>Costs of suit.”</w:t>
      </w:r>
    </w:p>
    <w:p w:rsidR="00420D1A" w:rsidRDefault="00420D1A" w:rsidP="00420D1A">
      <w:pPr>
        <w:jc w:val="both"/>
        <w:rPr>
          <w:rFonts w:ascii="Times New Roman" w:hAnsi="Times New Roman" w:cs="Times New Roman"/>
          <w:sz w:val="24"/>
          <w:szCs w:val="24"/>
        </w:rPr>
      </w:pPr>
      <w:r>
        <w:rPr>
          <w:rFonts w:ascii="Times New Roman" w:hAnsi="Times New Roman" w:cs="Times New Roman"/>
          <w:sz w:val="24"/>
          <w:szCs w:val="24"/>
        </w:rPr>
        <w:tab/>
      </w:r>
    </w:p>
    <w:p w:rsidR="00420D1A" w:rsidRDefault="00420D1A" w:rsidP="00420D1A">
      <w:pPr>
        <w:jc w:val="both"/>
        <w:rPr>
          <w:rFonts w:ascii="Times New Roman" w:hAnsi="Times New Roman" w:cs="Times New Roman"/>
          <w:sz w:val="24"/>
          <w:szCs w:val="24"/>
        </w:rPr>
      </w:pPr>
      <w:r>
        <w:rPr>
          <w:rFonts w:ascii="Times New Roman" w:hAnsi="Times New Roman" w:cs="Times New Roman"/>
          <w:sz w:val="24"/>
          <w:szCs w:val="24"/>
        </w:rPr>
        <w:tab/>
        <w:t>In his founding affidavit, the applicant avers as follows:</w:t>
      </w:r>
    </w:p>
    <w:p w:rsidR="00420D1A" w:rsidRPr="00060F73" w:rsidRDefault="00420D1A" w:rsidP="00FD4E5D">
      <w:pPr>
        <w:ind w:left="1440" w:hanging="720"/>
        <w:jc w:val="both"/>
        <w:rPr>
          <w:rFonts w:ascii="Times New Roman" w:hAnsi="Times New Roman" w:cs="Times New Roman"/>
        </w:rPr>
      </w:pPr>
      <w:r w:rsidRPr="00060F73">
        <w:rPr>
          <w:rFonts w:ascii="Times New Roman" w:hAnsi="Times New Roman" w:cs="Times New Roman"/>
        </w:rPr>
        <w:t>“5.</w:t>
      </w:r>
      <w:r w:rsidRPr="00060F73">
        <w:rPr>
          <w:rFonts w:ascii="Times New Roman" w:hAnsi="Times New Roman" w:cs="Times New Roman"/>
        </w:rPr>
        <w:tab/>
      </w:r>
      <w:r w:rsidR="00FD4E5D" w:rsidRPr="00060F73">
        <w:rPr>
          <w:rFonts w:ascii="Times New Roman" w:hAnsi="Times New Roman" w:cs="Times New Roman"/>
        </w:rPr>
        <w:t>The respondent, despite making a payment proposal attached to the summons, continued to deny its indebtedness as fully appears in its plea annexed hereto as annexure ‘D’. I filed my replication to respondent’s plea as more fully appears in annexure ‘E’ and proceeded to file the necessary pleadings to have the matter set down for pre-trial conference as appears more fully from annexures ‘F’ to ‘J’.</w:t>
      </w:r>
    </w:p>
    <w:p w:rsidR="00060F73" w:rsidRDefault="00FD4E5D" w:rsidP="00060F73">
      <w:pPr>
        <w:ind w:left="1440" w:hanging="720"/>
        <w:jc w:val="both"/>
        <w:rPr>
          <w:rFonts w:ascii="Times New Roman" w:hAnsi="Times New Roman" w:cs="Times New Roman"/>
          <w:sz w:val="24"/>
          <w:szCs w:val="24"/>
        </w:rPr>
      </w:pPr>
      <w:r w:rsidRPr="00060F73">
        <w:rPr>
          <w:rFonts w:ascii="Times New Roman" w:hAnsi="Times New Roman" w:cs="Times New Roman"/>
        </w:rPr>
        <w:t>6.</w:t>
      </w:r>
      <w:r w:rsidRPr="00060F73">
        <w:rPr>
          <w:rFonts w:ascii="Times New Roman" w:hAnsi="Times New Roman" w:cs="Times New Roman"/>
        </w:rPr>
        <w:tab/>
        <w:t xml:space="preserve">The matter was set down for a pre-trial conference on 22 October 2013 before the Honourable Justice </w:t>
      </w:r>
      <w:r w:rsidR="00060F73" w:rsidRPr="00060F73">
        <w:rPr>
          <w:rFonts w:ascii="Times New Roman" w:hAnsi="Times New Roman" w:cs="Times New Roman"/>
        </w:rPr>
        <w:t>Takuva. At the pre-trial conference it was pointed out to respondent by the Honourable Judge that it had no defence at law and it was suggested to both parties that they file a Deed of Settlement with the Court. Pursuant to the Honourable Judge’s wise counsel a Deed of Settlement was drafted and furnished to respondent’s legal practitioners who wrote back saying they were awaiting further instructions from the respondent. In the same correspondence dated 27 March 2014 attached hereto as annexure ‘N’ the respondent’s legal practitioners reiterated their client’s commitment to settle the matter.”</w:t>
      </w:r>
      <w:r w:rsidR="00060F73">
        <w:rPr>
          <w:rFonts w:ascii="Times New Roman" w:hAnsi="Times New Roman" w:cs="Times New Roman"/>
          <w:sz w:val="24"/>
          <w:szCs w:val="24"/>
        </w:rPr>
        <w:t xml:space="preserve"> </w:t>
      </w:r>
    </w:p>
    <w:p w:rsidR="00667754" w:rsidRDefault="00060F73" w:rsidP="006677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perusal of the pleadings confirm that the applicant’s averments are true and correct.</w:t>
      </w:r>
      <w:r w:rsidR="00B6313B">
        <w:rPr>
          <w:rFonts w:ascii="Times New Roman" w:hAnsi="Times New Roman" w:cs="Times New Roman"/>
          <w:sz w:val="24"/>
          <w:szCs w:val="24"/>
        </w:rPr>
        <w:t xml:space="preserve"> As late as 27 March 2014 the respondent’s legal practitioners were writing to the applicant’s </w:t>
      </w:r>
      <w:r w:rsidR="00B6313B">
        <w:rPr>
          <w:rFonts w:ascii="Times New Roman" w:hAnsi="Times New Roman" w:cs="Times New Roman"/>
          <w:sz w:val="24"/>
          <w:szCs w:val="24"/>
        </w:rPr>
        <w:lastRenderedPageBreak/>
        <w:t xml:space="preserve">confirming the respondent’s desire and commitment to settling this matter in accordance with a draft Deed of Settlement agreed to between the parties. The respondent only made a volte face after the applicant’s legal practitioners were pressing for a finalisation of the matter. Instructively, as late as July 2014, the respondent’s legal practitioners were writing confirming payment towards the retirement of the debt. </w:t>
      </w:r>
    </w:p>
    <w:p w:rsidR="00B6313B" w:rsidRDefault="00D911F4" w:rsidP="006677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B6313B">
        <w:rPr>
          <w:rFonts w:ascii="Times New Roman" w:hAnsi="Times New Roman" w:cs="Times New Roman"/>
          <w:sz w:val="24"/>
          <w:szCs w:val="24"/>
        </w:rPr>
        <w:t>efendant’s defence is captured in paragraph 3 of its plea in which the following is stated:</w:t>
      </w:r>
    </w:p>
    <w:p w:rsidR="00B9279F" w:rsidRDefault="00B6313B" w:rsidP="00D911F4">
      <w:pPr>
        <w:ind w:left="1440" w:hanging="720"/>
        <w:jc w:val="both"/>
        <w:rPr>
          <w:rFonts w:ascii="Times New Roman" w:hAnsi="Times New Roman" w:cs="Times New Roman"/>
        </w:rPr>
      </w:pPr>
      <w:r w:rsidRPr="00B9279F">
        <w:rPr>
          <w:rFonts w:ascii="Times New Roman" w:hAnsi="Times New Roman" w:cs="Times New Roman"/>
        </w:rPr>
        <w:t>“3.</w:t>
      </w:r>
      <w:r w:rsidRPr="00B9279F">
        <w:rPr>
          <w:rFonts w:ascii="Times New Roman" w:hAnsi="Times New Roman" w:cs="Times New Roman"/>
        </w:rPr>
        <w:tab/>
        <w:t>The parties agreed that the project was self-sustaining and upon completion of the drawings</w:t>
      </w:r>
      <w:r w:rsidR="00B9279F" w:rsidRPr="00B9279F">
        <w:rPr>
          <w:rFonts w:ascii="Times New Roman" w:hAnsi="Times New Roman" w:cs="Times New Roman"/>
        </w:rPr>
        <w:t xml:space="preserve"> by the plaintiff and acceptance by the Department of Physical Planning, defendant would open offices and start selling stands whereupon would be paid 40% of his total invoice.”</w:t>
      </w:r>
      <w:r w:rsidR="00996879">
        <w:rPr>
          <w:rFonts w:ascii="Times New Roman" w:hAnsi="Times New Roman" w:cs="Times New Roman"/>
        </w:rPr>
        <w:t xml:space="preserve"> </w:t>
      </w:r>
    </w:p>
    <w:p w:rsidR="00F811D4" w:rsidRDefault="00F811D4" w:rsidP="00EB5129">
      <w:pPr>
        <w:spacing w:after="0" w:line="360" w:lineRule="auto"/>
        <w:ind w:firstLine="720"/>
        <w:jc w:val="both"/>
        <w:rPr>
          <w:rFonts w:ascii="Times New Roman" w:hAnsi="Times New Roman" w:cs="Times New Roman"/>
          <w:sz w:val="24"/>
          <w:szCs w:val="24"/>
        </w:rPr>
      </w:pPr>
      <w:r w:rsidRPr="00F811D4">
        <w:rPr>
          <w:rFonts w:ascii="Times New Roman" w:hAnsi="Times New Roman" w:cs="Times New Roman"/>
          <w:sz w:val="24"/>
          <w:szCs w:val="24"/>
        </w:rPr>
        <w:t>An application for summary judgment may be made at any time before a trial begins, even after the pleadings have been filed by both sides and the pre-trial conference between the parties has been held.</w:t>
      </w:r>
      <w:r>
        <w:rPr>
          <w:rFonts w:ascii="Times New Roman" w:hAnsi="Times New Roman" w:cs="Times New Roman"/>
          <w:sz w:val="24"/>
          <w:szCs w:val="24"/>
        </w:rPr>
        <w:t xml:space="preserve"> Even under</w:t>
      </w:r>
      <w:r w:rsidRPr="00F811D4">
        <w:rPr>
          <w:rFonts w:ascii="Times New Roman" w:hAnsi="Times New Roman" w:cs="Times New Roman"/>
          <w:sz w:val="24"/>
          <w:szCs w:val="24"/>
        </w:rPr>
        <w:t xml:space="preserve"> the former rules which prescribed a time limit, the court could entertain an application for summary judgment after closure of the pleadings. Further, if after the discovery of documents and the holding of the pre-trial conference, a document revealed that the defendant's defence was a sham, there is every reason why the plaint</w:t>
      </w:r>
      <w:r>
        <w:rPr>
          <w:rFonts w:ascii="Times New Roman" w:hAnsi="Times New Roman" w:cs="Times New Roman"/>
          <w:sz w:val="24"/>
          <w:szCs w:val="24"/>
        </w:rPr>
        <w:t>iff should be allowed to make</w:t>
      </w:r>
      <w:r w:rsidRPr="00F811D4">
        <w:rPr>
          <w:rFonts w:ascii="Times New Roman" w:hAnsi="Times New Roman" w:cs="Times New Roman"/>
          <w:sz w:val="24"/>
          <w:szCs w:val="24"/>
        </w:rPr>
        <w:t xml:space="preserve"> application for summary judgment at that stage.</w:t>
      </w:r>
      <w:r>
        <w:rPr>
          <w:rFonts w:ascii="Times New Roman" w:hAnsi="Times New Roman" w:cs="Times New Roman"/>
          <w:sz w:val="24"/>
          <w:szCs w:val="24"/>
        </w:rPr>
        <w:t xml:space="preserve"> </w:t>
      </w:r>
      <w:r w:rsidRPr="00F811D4">
        <w:rPr>
          <w:rFonts w:ascii="Times New Roman" w:hAnsi="Times New Roman" w:cs="Times New Roman"/>
          <w:i/>
          <w:sz w:val="24"/>
          <w:szCs w:val="24"/>
        </w:rPr>
        <w:t xml:space="preserve">Standard Chartered Bank Zimbabwe Ltd </w:t>
      </w:r>
      <w:r w:rsidRPr="00EB6114">
        <w:rPr>
          <w:rFonts w:ascii="Times New Roman" w:hAnsi="Times New Roman" w:cs="Times New Roman"/>
          <w:sz w:val="24"/>
          <w:szCs w:val="24"/>
        </w:rPr>
        <w:t>v</w:t>
      </w:r>
      <w:r w:rsidRPr="00F811D4">
        <w:rPr>
          <w:rFonts w:ascii="Times New Roman" w:hAnsi="Times New Roman" w:cs="Times New Roman"/>
          <w:i/>
          <w:sz w:val="24"/>
          <w:szCs w:val="24"/>
        </w:rPr>
        <w:t xml:space="preserve"> Matiza</w:t>
      </w:r>
      <w:r>
        <w:rPr>
          <w:rFonts w:ascii="Times New Roman" w:hAnsi="Times New Roman" w:cs="Times New Roman"/>
          <w:sz w:val="24"/>
          <w:szCs w:val="24"/>
        </w:rPr>
        <w:t xml:space="preserve"> 1994 (1) ZLR 186 (H). </w:t>
      </w:r>
      <w:r w:rsidRPr="00F811D4">
        <w:rPr>
          <w:rFonts w:ascii="Times New Roman" w:hAnsi="Times New Roman" w:cs="Times New Roman"/>
          <w:sz w:val="24"/>
          <w:szCs w:val="24"/>
        </w:rPr>
        <w:t>When a plaintiff for summary judgment in his affidavit states that the defendant has ente</w:t>
      </w:r>
      <w:r>
        <w:rPr>
          <w:rFonts w:ascii="Times New Roman" w:hAnsi="Times New Roman" w:cs="Times New Roman"/>
          <w:sz w:val="24"/>
          <w:szCs w:val="24"/>
        </w:rPr>
        <w:t>red appearance solely for the</w:t>
      </w:r>
      <w:r w:rsidRPr="00F811D4">
        <w:rPr>
          <w:rFonts w:ascii="Times New Roman" w:hAnsi="Times New Roman" w:cs="Times New Roman"/>
          <w:sz w:val="24"/>
          <w:szCs w:val="24"/>
        </w:rPr>
        <w:t xml:space="preserve"> purpose of delay he implies that it is his belief that the defendant has no bona fide defence to the action.</w:t>
      </w:r>
      <w:r w:rsidR="00653EEB">
        <w:rPr>
          <w:rFonts w:ascii="Times New Roman" w:hAnsi="Times New Roman" w:cs="Times New Roman"/>
          <w:sz w:val="24"/>
          <w:szCs w:val="24"/>
        </w:rPr>
        <w:t xml:space="preserve"> </w:t>
      </w:r>
      <w:r w:rsidR="00653EEB" w:rsidRPr="00653EEB">
        <w:rPr>
          <w:rFonts w:ascii="Times New Roman" w:hAnsi="Times New Roman" w:cs="Times New Roman"/>
          <w:i/>
          <w:sz w:val="24"/>
          <w:szCs w:val="24"/>
        </w:rPr>
        <w:t xml:space="preserve">Beresford Land Plan (Pvt) Ltd </w:t>
      </w:r>
      <w:r w:rsidR="00653EEB" w:rsidRPr="00EB5129">
        <w:rPr>
          <w:rFonts w:ascii="Times New Roman" w:hAnsi="Times New Roman" w:cs="Times New Roman"/>
          <w:sz w:val="24"/>
          <w:szCs w:val="24"/>
        </w:rPr>
        <w:t>v</w:t>
      </w:r>
      <w:r w:rsidR="00653EEB" w:rsidRPr="00653EEB">
        <w:rPr>
          <w:rFonts w:ascii="Times New Roman" w:hAnsi="Times New Roman" w:cs="Times New Roman"/>
          <w:i/>
          <w:sz w:val="24"/>
          <w:szCs w:val="24"/>
        </w:rPr>
        <w:t xml:space="preserve"> Urquhart</w:t>
      </w:r>
      <w:r w:rsidRPr="00653EEB">
        <w:rPr>
          <w:rFonts w:ascii="Times New Roman" w:hAnsi="Times New Roman" w:cs="Times New Roman"/>
          <w:i/>
          <w:sz w:val="24"/>
          <w:szCs w:val="24"/>
        </w:rPr>
        <w:t xml:space="preserve"> </w:t>
      </w:r>
      <w:r w:rsidRPr="00F811D4">
        <w:rPr>
          <w:rFonts w:ascii="Times New Roman" w:hAnsi="Times New Roman" w:cs="Times New Roman"/>
          <w:sz w:val="24"/>
          <w:szCs w:val="24"/>
        </w:rPr>
        <w:t>1975</w:t>
      </w:r>
      <w:r w:rsidR="00BA1D90">
        <w:rPr>
          <w:rFonts w:ascii="Times New Roman" w:hAnsi="Times New Roman" w:cs="Times New Roman"/>
          <w:sz w:val="24"/>
          <w:szCs w:val="24"/>
        </w:rPr>
        <w:t xml:space="preserve"> (1) ZLR 260 (AD); 1975</w:t>
      </w:r>
      <w:r w:rsidRPr="00F811D4">
        <w:rPr>
          <w:rFonts w:ascii="Times New Roman" w:hAnsi="Times New Roman" w:cs="Times New Roman"/>
          <w:sz w:val="24"/>
          <w:szCs w:val="24"/>
        </w:rPr>
        <w:t xml:space="preserve"> (3) SA 619 (RA)</w:t>
      </w:r>
      <w:r w:rsidR="00BA1D90">
        <w:rPr>
          <w:rFonts w:ascii="Times New Roman" w:hAnsi="Times New Roman" w:cs="Times New Roman"/>
          <w:sz w:val="24"/>
          <w:szCs w:val="24"/>
        </w:rPr>
        <w:t>.</w:t>
      </w:r>
    </w:p>
    <w:p w:rsidR="001A09F7" w:rsidRDefault="00653EEB" w:rsidP="00EB5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1A09F7">
        <w:rPr>
          <w:rFonts w:ascii="Times New Roman" w:hAnsi="Times New Roman" w:cs="Times New Roman"/>
          <w:sz w:val="24"/>
          <w:szCs w:val="24"/>
        </w:rPr>
        <w:t xml:space="preserve"> respondent raised a point </w:t>
      </w:r>
      <w:r w:rsidR="001A09F7" w:rsidRPr="001A09F7">
        <w:rPr>
          <w:rFonts w:ascii="Times New Roman" w:hAnsi="Times New Roman" w:cs="Times New Roman"/>
          <w:i/>
          <w:sz w:val="24"/>
          <w:szCs w:val="24"/>
        </w:rPr>
        <w:t>in limine</w:t>
      </w:r>
      <w:r>
        <w:rPr>
          <w:rFonts w:ascii="Times New Roman" w:hAnsi="Times New Roman" w:cs="Times New Roman"/>
          <w:sz w:val="24"/>
          <w:szCs w:val="24"/>
        </w:rPr>
        <w:t xml:space="preserve"> in its heads of argument. It is that the plaintiff ought to have cited the trustees in the defendant and that failure to do so rendered the summons and declaration fatally defective. </w:t>
      </w:r>
      <w:r w:rsidRPr="00653EEB">
        <w:rPr>
          <w:rFonts w:ascii="Times New Roman" w:hAnsi="Times New Roman" w:cs="Times New Roman"/>
          <w:sz w:val="24"/>
          <w:szCs w:val="24"/>
        </w:rPr>
        <w:t>It is true that summary procedure is the principal means by which unscupulous litigants, seeking only to delay a just claim by entering appearance to defence, are thwarted. It is thus of the greatest importance that the efficacy of the procedure should not be impared by technical formalism. However, this does not mean that one can ignore those requirements of the High Court Rules affecting the basic validity of a summons, which are a prerequisite for the granting of summary judgment, and claim the relief on the basis that too much formalism should not be allowed to defeat a just claim.</w:t>
      </w:r>
      <w:r>
        <w:rPr>
          <w:rFonts w:ascii="Times New Roman" w:hAnsi="Times New Roman" w:cs="Times New Roman"/>
          <w:sz w:val="24"/>
          <w:szCs w:val="24"/>
        </w:rPr>
        <w:t xml:space="preserve"> </w:t>
      </w:r>
      <w:r w:rsidR="001A09F7" w:rsidRPr="001A09F7">
        <w:rPr>
          <w:rFonts w:ascii="Times New Roman" w:hAnsi="Times New Roman" w:cs="Times New Roman"/>
          <w:i/>
          <w:sz w:val="24"/>
          <w:szCs w:val="24"/>
        </w:rPr>
        <w:t>Bank of Credit &amp; Commerce  Zimbabwe Ltd</w:t>
      </w:r>
      <w:r w:rsidR="001A09F7" w:rsidRPr="00EB5129">
        <w:rPr>
          <w:rFonts w:ascii="Times New Roman" w:hAnsi="Times New Roman" w:cs="Times New Roman"/>
          <w:sz w:val="24"/>
          <w:szCs w:val="24"/>
        </w:rPr>
        <w:t xml:space="preserve"> v</w:t>
      </w:r>
      <w:r w:rsidR="001A09F7" w:rsidRPr="001A09F7">
        <w:rPr>
          <w:rFonts w:ascii="Times New Roman" w:hAnsi="Times New Roman" w:cs="Times New Roman"/>
          <w:i/>
          <w:sz w:val="24"/>
          <w:szCs w:val="24"/>
        </w:rPr>
        <w:t xml:space="preserve"> Jani Investments (Pvt) Ltd </w:t>
      </w:r>
      <w:r w:rsidR="001A09F7" w:rsidRPr="001A09F7">
        <w:rPr>
          <w:rFonts w:ascii="Times New Roman" w:hAnsi="Times New Roman" w:cs="Times New Roman"/>
          <w:sz w:val="24"/>
          <w:szCs w:val="24"/>
        </w:rPr>
        <w:t>1983 (2) ZLR 317 (HC)</w:t>
      </w:r>
    </w:p>
    <w:p w:rsidR="00653EEB" w:rsidRDefault="001A09F7" w:rsidP="00C1095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very point was taken in</w:t>
      </w:r>
      <w:r w:rsidR="00C10953">
        <w:rPr>
          <w:rFonts w:ascii="Times New Roman" w:hAnsi="Times New Roman" w:cs="Times New Roman"/>
          <w:sz w:val="24"/>
          <w:szCs w:val="24"/>
        </w:rPr>
        <w:t xml:space="preserve"> </w:t>
      </w:r>
      <w:r w:rsidR="00C10953" w:rsidRPr="001A09F7">
        <w:rPr>
          <w:rFonts w:ascii="Times New Roman" w:hAnsi="Times New Roman" w:cs="Times New Roman"/>
          <w:i/>
          <w:sz w:val="24"/>
          <w:szCs w:val="24"/>
        </w:rPr>
        <w:t xml:space="preserve">Women and Law in Southern African Research and Education Trust &amp; Others </w:t>
      </w:r>
      <w:r w:rsidR="00C10953" w:rsidRPr="00EB5129">
        <w:rPr>
          <w:rFonts w:ascii="Times New Roman" w:hAnsi="Times New Roman" w:cs="Times New Roman"/>
          <w:sz w:val="24"/>
          <w:szCs w:val="24"/>
        </w:rPr>
        <w:t>v</w:t>
      </w:r>
      <w:r w:rsidR="00C10953" w:rsidRPr="001A09F7">
        <w:rPr>
          <w:rFonts w:ascii="Times New Roman" w:hAnsi="Times New Roman" w:cs="Times New Roman"/>
          <w:i/>
          <w:sz w:val="24"/>
          <w:szCs w:val="24"/>
        </w:rPr>
        <w:t xml:space="preserve"> Dinah Mandaza &amp; Others</w:t>
      </w:r>
      <w:r w:rsidR="00C10953">
        <w:rPr>
          <w:rFonts w:ascii="Times New Roman" w:hAnsi="Times New Roman" w:cs="Times New Roman"/>
          <w:sz w:val="24"/>
          <w:szCs w:val="24"/>
        </w:rPr>
        <w:t xml:space="preserve"> HH-202-3 </w:t>
      </w:r>
      <w:r w:rsidR="00BA1D90">
        <w:rPr>
          <w:rFonts w:ascii="Times New Roman" w:hAnsi="Times New Roman" w:cs="Times New Roman"/>
          <w:sz w:val="24"/>
          <w:szCs w:val="24"/>
        </w:rPr>
        <w:t xml:space="preserve">where </w:t>
      </w:r>
      <w:r w:rsidR="00C10953">
        <w:rPr>
          <w:rFonts w:ascii="Times New Roman" w:hAnsi="Times New Roman" w:cs="Times New Roman"/>
          <w:sz w:val="24"/>
          <w:szCs w:val="24"/>
        </w:rPr>
        <w:t>this Court stated:</w:t>
      </w:r>
    </w:p>
    <w:p w:rsidR="001A09F7" w:rsidRDefault="001A09F7" w:rsidP="00BA1D90">
      <w:pPr>
        <w:spacing w:line="240" w:lineRule="auto"/>
        <w:ind w:left="720"/>
        <w:jc w:val="both"/>
        <w:rPr>
          <w:rFonts w:ascii="Times New Roman" w:hAnsi="Times New Roman" w:cs="Times New Roman"/>
        </w:rPr>
      </w:pPr>
      <w:r w:rsidRPr="00BA1D90">
        <w:lastRenderedPageBreak/>
        <w:t>“</w:t>
      </w:r>
      <w:r w:rsidRPr="00BA1D90">
        <w:rPr>
          <w:rFonts w:ascii="Times New Roman" w:hAnsi="Times New Roman" w:cs="Times New Roman"/>
        </w:rPr>
        <w:t xml:space="preserve">Mr </w:t>
      </w:r>
      <w:r w:rsidRPr="00BA1D90">
        <w:rPr>
          <w:rFonts w:ascii="Times New Roman" w:hAnsi="Times New Roman" w:cs="Times New Roman"/>
          <w:i/>
        </w:rPr>
        <w:t>Matinenga</w:t>
      </w:r>
      <w:r w:rsidRPr="00BA1D90">
        <w:rPr>
          <w:rFonts w:ascii="Times New Roman" w:hAnsi="Times New Roman" w:cs="Times New Roman"/>
        </w:rPr>
        <w:t xml:space="preserve"> was correct in his submission that Mandaza's objection to the</w:t>
      </w:r>
      <w:r w:rsidR="00BA1D90">
        <w:rPr>
          <w:rFonts w:ascii="Times New Roman" w:hAnsi="Times New Roman" w:cs="Times New Roman"/>
        </w:rPr>
        <w:t xml:space="preserve"> </w:t>
      </w:r>
      <w:r w:rsidRPr="00BA1D90">
        <w:rPr>
          <w:rFonts w:ascii="Times New Roman" w:hAnsi="Times New Roman" w:cs="Times New Roman"/>
        </w:rPr>
        <w:t xml:space="preserve">institution of the proceedings in the name of WILSA was not well founded. It is true, as the learned judge stated in HH 7/03 at p 8-9 that a trust is not a corporate body and therefore it cannot appear as a party.  He correctly referred, as supportive of this proposition, to the decisions in </w:t>
      </w:r>
      <w:r w:rsidRPr="00BA1D90">
        <w:rPr>
          <w:rFonts w:ascii="Times New Roman" w:hAnsi="Times New Roman" w:cs="Times New Roman"/>
          <w:i/>
        </w:rPr>
        <w:t>Commissioner for Inland Revenue</w:t>
      </w:r>
      <w:r w:rsidRPr="00BA1D90">
        <w:rPr>
          <w:rFonts w:ascii="Times New Roman" w:hAnsi="Times New Roman" w:cs="Times New Roman"/>
        </w:rPr>
        <w:t xml:space="preserve"> v </w:t>
      </w:r>
      <w:r w:rsidRPr="00BA1D90">
        <w:rPr>
          <w:rFonts w:ascii="Times New Roman" w:hAnsi="Times New Roman" w:cs="Times New Roman"/>
          <w:i/>
        </w:rPr>
        <w:t>MacNeillie's Estate</w:t>
      </w:r>
      <w:r w:rsidRPr="00BA1D90">
        <w:rPr>
          <w:rFonts w:ascii="Times New Roman" w:hAnsi="Times New Roman" w:cs="Times New Roman"/>
        </w:rPr>
        <w:t xml:space="preserve"> 1961(3) SA 833(A) and </w:t>
      </w:r>
      <w:r w:rsidRPr="00BA1D90">
        <w:rPr>
          <w:rFonts w:ascii="Times New Roman" w:hAnsi="Times New Roman" w:cs="Times New Roman"/>
          <w:i/>
        </w:rPr>
        <w:t>Crundall Bros (Pvt) Ltd</w:t>
      </w:r>
      <w:r w:rsidRPr="00BA1D90">
        <w:rPr>
          <w:rFonts w:ascii="Times New Roman" w:hAnsi="Times New Roman" w:cs="Times New Roman"/>
        </w:rPr>
        <w:t xml:space="preserve"> v </w:t>
      </w:r>
      <w:r w:rsidRPr="00BA1D90">
        <w:rPr>
          <w:rFonts w:ascii="Times New Roman" w:hAnsi="Times New Roman" w:cs="Times New Roman"/>
          <w:i/>
        </w:rPr>
        <w:t>Lazarus N.O. &amp;v Anor</w:t>
      </w:r>
      <w:r w:rsidRPr="00BA1D90">
        <w:rPr>
          <w:rFonts w:ascii="Times New Roman" w:hAnsi="Times New Roman" w:cs="Times New Roman"/>
        </w:rPr>
        <w:t xml:space="preserve"> </w:t>
      </w:r>
      <w:r w:rsidR="00C02D9B" w:rsidRPr="00BA1D90">
        <w:rPr>
          <w:rFonts w:ascii="Times New Roman" w:hAnsi="Times New Roman" w:cs="Times New Roman"/>
        </w:rPr>
        <w:tab/>
      </w:r>
      <w:r w:rsidRPr="00BA1D90">
        <w:rPr>
          <w:rFonts w:ascii="Times New Roman" w:hAnsi="Times New Roman" w:cs="Times New Roman"/>
        </w:rPr>
        <w:t xml:space="preserve">1990(1) ZLR 290 (H) also reported as an appeal decision in 1991(2) ZLR 125(S).  But the High Court Rules 1971 as amended by the High Court of Zimbabwe (Amendment) Rules 1997 (No. 33), (S.I. 192 of 1997), introduced a procedure where associates may, in terms of r.8, sue or be sued in the name of their association.  In </w:t>
      </w:r>
      <w:r w:rsidR="00C02D9B" w:rsidRPr="00BA1D90">
        <w:rPr>
          <w:rFonts w:ascii="Times New Roman" w:hAnsi="Times New Roman" w:cs="Times New Roman"/>
        </w:rPr>
        <w:tab/>
      </w:r>
      <w:r w:rsidRPr="00BA1D90">
        <w:rPr>
          <w:rFonts w:ascii="Times New Roman" w:hAnsi="Times New Roman" w:cs="Times New Roman"/>
        </w:rPr>
        <w:t xml:space="preserve">terms of r.7 an association includes a trust and an associate, a trustee.  The rules therefore permit a trust to be cited by name as a party to any proceedings.  In this regard, and as submitted by Mr </w:t>
      </w:r>
      <w:r w:rsidRPr="00BA1D90">
        <w:rPr>
          <w:rFonts w:ascii="Times New Roman" w:hAnsi="Times New Roman" w:cs="Times New Roman"/>
          <w:i/>
        </w:rPr>
        <w:t>Matinenga</w:t>
      </w:r>
      <w:r w:rsidRPr="00BA1D90">
        <w:rPr>
          <w:rFonts w:ascii="Times New Roman" w:hAnsi="Times New Roman" w:cs="Times New Roman"/>
        </w:rPr>
        <w:t xml:space="preserve">, the learned judge should not, in my </w:t>
      </w:r>
      <w:r w:rsidR="00C02D9B" w:rsidRPr="00BA1D90">
        <w:rPr>
          <w:rFonts w:ascii="Times New Roman" w:hAnsi="Times New Roman" w:cs="Times New Roman"/>
        </w:rPr>
        <w:tab/>
      </w:r>
      <w:r w:rsidRPr="00BA1D90">
        <w:rPr>
          <w:rFonts w:ascii="Times New Roman" w:hAnsi="Times New Roman" w:cs="Times New Roman"/>
        </w:rPr>
        <w:t>respectable view, have given credit to Mandaza's objection.”</w:t>
      </w:r>
    </w:p>
    <w:p w:rsidR="00BA1D90" w:rsidRPr="00BA1D90" w:rsidRDefault="00BA1D90" w:rsidP="00BA1D90">
      <w:pPr>
        <w:spacing w:line="240" w:lineRule="auto"/>
        <w:ind w:left="720"/>
        <w:jc w:val="both"/>
        <w:rPr>
          <w:rFonts w:ascii="Times New Roman" w:hAnsi="Times New Roman" w:cs="Times New Roman"/>
        </w:rPr>
      </w:pPr>
    </w:p>
    <w:p w:rsidR="001A09F7" w:rsidRDefault="001A09F7" w:rsidP="00F45B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I have no difficulty in dismissing the point </w:t>
      </w:r>
      <w:r w:rsidRPr="00BA1D90">
        <w:rPr>
          <w:rFonts w:ascii="Times New Roman" w:hAnsi="Times New Roman" w:cs="Times New Roman"/>
          <w:i/>
          <w:sz w:val="24"/>
          <w:szCs w:val="24"/>
        </w:rPr>
        <w:t>in limine</w:t>
      </w:r>
      <w:r>
        <w:rPr>
          <w:rFonts w:ascii="Times New Roman" w:hAnsi="Times New Roman" w:cs="Times New Roman"/>
          <w:sz w:val="24"/>
          <w:szCs w:val="24"/>
        </w:rPr>
        <w:t xml:space="preserve"> and proceed to consider whether on these papers the applicant is entitled to succeed. </w:t>
      </w:r>
    </w:p>
    <w:p w:rsidR="001A09F7" w:rsidRDefault="001A09F7" w:rsidP="00F45B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relied on documentation which did not form part of the </w:t>
      </w:r>
      <w:r w:rsidR="00565E8B">
        <w:rPr>
          <w:rFonts w:ascii="Times New Roman" w:hAnsi="Times New Roman" w:cs="Times New Roman"/>
          <w:sz w:val="24"/>
          <w:szCs w:val="24"/>
        </w:rPr>
        <w:t>annexures to the Declaration. These are correspondences in which the respondent unequivocally admitted the debt and made part payments in its satisfaction. In opposition to the summary judgment, the respondent objected to reliance upon such correspondences on the basis that it was privileged. Clearly it was not. In any event, i</w:t>
      </w:r>
      <w:r w:rsidR="00565E8B" w:rsidRPr="00565E8B">
        <w:rPr>
          <w:rFonts w:ascii="Times New Roman" w:hAnsi="Times New Roman" w:cs="Times New Roman"/>
          <w:sz w:val="24"/>
          <w:szCs w:val="24"/>
        </w:rPr>
        <w:t>n an application for summary judgment, the applicant is not limited, in his supporting affidavit, to dealing with the allegations contained in his declaration. Documentary evidence is regarded as one of the best methods of verifying the truth, and there is</w:t>
      </w:r>
      <w:r w:rsidR="00565E8B">
        <w:rPr>
          <w:rFonts w:ascii="Times New Roman" w:hAnsi="Times New Roman" w:cs="Times New Roman"/>
          <w:sz w:val="24"/>
          <w:szCs w:val="24"/>
        </w:rPr>
        <w:t xml:space="preserve"> nothing in the Rules of the</w:t>
      </w:r>
      <w:r w:rsidR="00565E8B" w:rsidRPr="00565E8B">
        <w:rPr>
          <w:rFonts w:ascii="Times New Roman" w:hAnsi="Times New Roman" w:cs="Times New Roman"/>
          <w:sz w:val="24"/>
          <w:szCs w:val="24"/>
        </w:rPr>
        <w:t xml:space="preserve"> High Court which suggests that the best method of verification is prohibited on pain of having the document struck out with costs. It is therefore permissible to attach supporting documents to the affidavit in support of the application for summary judgment, even if such documents were not annexed to the original declaration.</w:t>
      </w:r>
      <w:r w:rsidR="00565E8B">
        <w:rPr>
          <w:rFonts w:ascii="Times New Roman" w:hAnsi="Times New Roman" w:cs="Times New Roman"/>
          <w:sz w:val="24"/>
          <w:szCs w:val="24"/>
        </w:rPr>
        <w:t xml:space="preserve"> </w:t>
      </w:r>
      <w:r w:rsidR="00565E8B" w:rsidRPr="00565E8B">
        <w:rPr>
          <w:rFonts w:ascii="Times New Roman" w:hAnsi="Times New Roman" w:cs="Times New Roman"/>
          <w:i/>
          <w:sz w:val="24"/>
          <w:szCs w:val="24"/>
        </w:rPr>
        <w:t xml:space="preserve">Manica Freight Services Zimbabwe Ltd </w:t>
      </w:r>
      <w:r w:rsidR="00565E8B" w:rsidRPr="008B6C39">
        <w:rPr>
          <w:rFonts w:ascii="Times New Roman" w:hAnsi="Times New Roman" w:cs="Times New Roman"/>
          <w:sz w:val="24"/>
          <w:szCs w:val="24"/>
        </w:rPr>
        <w:t>v</w:t>
      </w:r>
      <w:r w:rsidR="00565E8B" w:rsidRPr="00565E8B">
        <w:rPr>
          <w:rFonts w:ascii="Times New Roman" w:hAnsi="Times New Roman" w:cs="Times New Roman"/>
          <w:i/>
          <w:sz w:val="24"/>
          <w:szCs w:val="24"/>
        </w:rPr>
        <w:t xml:space="preserve"> Zimbabwe Industrial </w:t>
      </w:r>
      <w:r w:rsidR="00565E8B">
        <w:rPr>
          <w:rFonts w:ascii="Times New Roman" w:hAnsi="Times New Roman" w:cs="Times New Roman"/>
          <w:i/>
          <w:sz w:val="24"/>
          <w:szCs w:val="24"/>
        </w:rPr>
        <w:t>C</w:t>
      </w:r>
      <w:r w:rsidR="00565E8B" w:rsidRPr="00565E8B">
        <w:rPr>
          <w:rFonts w:ascii="Times New Roman" w:hAnsi="Times New Roman" w:cs="Times New Roman"/>
          <w:i/>
          <w:sz w:val="24"/>
          <w:szCs w:val="24"/>
        </w:rPr>
        <w:t>onsultancy Co (Pvt) Ltd</w:t>
      </w:r>
      <w:r w:rsidR="00565E8B" w:rsidRPr="00565E8B">
        <w:rPr>
          <w:rFonts w:ascii="Times New Roman" w:hAnsi="Times New Roman" w:cs="Times New Roman"/>
          <w:sz w:val="24"/>
          <w:szCs w:val="24"/>
        </w:rPr>
        <w:t xml:space="preserve"> 1988 (2) ZLR 239 (HC)</w:t>
      </w:r>
      <w:r w:rsidR="00565E8B">
        <w:rPr>
          <w:rFonts w:ascii="Times New Roman" w:hAnsi="Times New Roman" w:cs="Times New Roman"/>
          <w:sz w:val="24"/>
          <w:szCs w:val="24"/>
        </w:rPr>
        <w:t>.</w:t>
      </w:r>
    </w:p>
    <w:p w:rsidR="00E51AF6" w:rsidRDefault="00565E8B" w:rsidP="008B6C39">
      <w:pPr>
        <w:spacing w:after="0" w:line="360" w:lineRule="auto"/>
        <w:ind w:firstLine="720"/>
        <w:jc w:val="both"/>
        <w:rPr>
          <w:rFonts w:ascii="Times New Roman" w:hAnsi="Times New Roman" w:cs="Times New Roman"/>
          <w:sz w:val="24"/>
          <w:szCs w:val="24"/>
        </w:rPr>
      </w:pPr>
      <w:r w:rsidRPr="00565E8B">
        <w:rPr>
          <w:rFonts w:ascii="Times New Roman" w:hAnsi="Times New Roman" w:cs="Times New Roman"/>
          <w:sz w:val="24"/>
          <w:szCs w:val="24"/>
        </w:rPr>
        <w:t xml:space="preserve">In an application for summary judgment the applicant must do more than simply assert that he has a good claim, that he believes that the defendant has no </w:t>
      </w:r>
      <w:r w:rsidRPr="00BA1D90">
        <w:rPr>
          <w:rFonts w:ascii="Times New Roman" w:hAnsi="Times New Roman" w:cs="Times New Roman"/>
          <w:i/>
          <w:sz w:val="24"/>
          <w:szCs w:val="24"/>
        </w:rPr>
        <w:t>bona fide</w:t>
      </w:r>
      <w:r w:rsidRPr="00565E8B">
        <w:rPr>
          <w:rFonts w:ascii="Times New Roman" w:hAnsi="Times New Roman" w:cs="Times New Roman"/>
          <w:sz w:val="24"/>
          <w:szCs w:val="24"/>
        </w:rPr>
        <w:t xml:space="preserve"> defence and that the defendant has entered an appearance to defend </w:t>
      </w:r>
      <w:r w:rsidR="00BA1D90">
        <w:rPr>
          <w:rFonts w:ascii="Times New Roman" w:hAnsi="Times New Roman" w:cs="Times New Roman"/>
          <w:sz w:val="24"/>
          <w:szCs w:val="24"/>
        </w:rPr>
        <w:t xml:space="preserve">solely </w:t>
      </w:r>
      <w:r w:rsidRPr="00565E8B">
        <w:rPr>
          <w:rFonts w:ascii="Times New Roman" w:hAnsi="Times New Roman" w:cs="Times New Roman"/>
          <w:sz w:val="24"/>
          <w:szCs w:val="24"/>
        </w:rPr>
        <w:t>for the purpose of delay. The applicant is obliged by r 67 of the High Court Rules to adduce evidence in substantiation of it</w:t>
      </w:r>
      <w:r w:rsidR="00E51AF6">
        <w:rPr>
          <w:rFonts w:ascii="Times New Roman" w:hAnsi="Times New Roman" w:cs="Times New Roman"/>
          <w:sz w:val="24"/>
          <w:szCs w:val="24"/>
        </w:rPr>
        <w:t>s</w:t>
      </w:r>
      <w:r w:rsidRPr="00565E8B">
        <w:rPr>
          <w:rFonts w:ascii="Times New Roman" w:hAnsi="Times New Roman" w:cs="Times New Roman"/>
          <w:sz w:val="24"/>
          <w:szCs w:val="24"/>
        </w:rPr>
        <w:t xml:space="preserve"> claim to summary judgment. That evidence must establish the facts upon which reliance is placed for the applicant's assertion that the applicant's claim is unimpeachable. The need to </w:t>
      </w:r>
      <w:r w:rsidRPr="00565E8B">
        <w:rPr>
          <w:rFonts w:ascii="Times New Roman" w:hAnsi="Times New Roman" w:cs="Times New Roman"/>
          <w:sz w:val="24"/>
          <w:szCs w:val="24"/>
        </w:rPr>
        <w:lastRenderedPageBreak/>
        <w:t>adduce such evidence is even stronger when the original summons lacks details of the</w:t>
      </w:r>
      <w:r w:rsidR="00E51AF6">
        <w:rPr>
          <w:rFonts w:ascii="Times New Roman" w:hAnsi="Times New Roman" w:cs="Times New Roman"/>
          <w:sz w:val="24"/>
          <w:szCs w:val="24"/>
        </w:rPr>
        <w:t xml:space="preserve"> claim against the defendant. </w:t>
      </w:r>
      <w:r w:rsidR="00E51AF6" w:rsidRPr="00E51AF6">
        <w:rPr>
          <w:rFonts w:ascii="Times New Roman" w:hAnsi="Times New Roman" w:cs="Times New Roman"/>
          <w:sz w:val="24"/>
          <w:szCs w:val="24"/>
        </w:rPr>
        <w:t>A plaintiff seeking summary judgment must bring himself squarely within the ambit of r 64(1)</w:t>
      </w:r>
      <w:r w:rsidR="007E2449">
        <w:rPr>
          <w:rFonts w:ascii="Times New Roman" w:hAnsi="Times New Roman" w:cs="Times New Roman"/>
          <w:sz w:val="24"/>
          <w:szCs w:val="24"/>
        </w:rPr>
        <w:t xml:space="preserve"> of the </w:t>
      </w:r>
      <w:r w:rsidR="00E51AF6" w:rsidRPr="00E51AF6">
        <w:rPr>
          <w:rFonts w:ascii="Times New Roman" w:hAnsi="Times New Roman" w:cs="Times New Roman"/>
          <w:sz w:val="24"/>
          <w:szCs w:val="24"/>
        </w:rPr>
        <w:t>High Court Rules, which requires that the cause of action must be verified. It must be substantiated by proof and the supporting affidavit must contain evidence which establishes the facts upon which reliance is placed for the contention that the claim is unimpeachable.</w:t>
      </w:r>
      <w:r w:rsidR="007E2449">
        <w:rPr>
          <w:rFonts w:ascii="Times New Roman" w:hAnsi="Times New Roman" w:cs="Times New Roman"/>
          <w:sz w:val="24"/>
          <w:szCs w:val="24"/>
        </w:rPr>
        <w:t xml:space="preserve"> </w:t>
      </w:r>
      <w:r w:rsidR="007E2449" w:rsidRPr="007E2449">
        <w:rPr>
          <w:rFonts w:ascii="Times New Roman" w:hAnsi="Times New Roman" w:cs="Times New Roman"/>
          <w:i/>
          <w:sz w:val="24"/>
          <w:szCs w:val="24"/>
        </w:rPr>
        <w:t xml:space="preserve">Scropton Trading (Pvt) Ltd </w:t>
      </w:r>
      <w:r w:rsidR="007E2449" w:rsidRPr="008B6C39">
        <w:rPr>
          <w:rFonts w:ascii="Times New Roman" w:hAnsi="Times New Roman" w:cs="Times New Roman"/>
          <w:sz w:val="24"/>
          <w:szCs w:val="24"/>
        </w:rPr>
        <w:t xml:space="preserve">v </w:t>
      </w:r>
      <w:r w:rsidR="007E2449" w:rsidRPr="007E2449">
        <w:rPr>
          <w:rFonts w:ascii="Times New Roman" w:hAnsi="Times New Roman" w:cs="Times New Roman"/>
          <w:i/>
          <w:sz w:val="24"/>
          <w:szCs w:val="24"/>
        </w:rPr>
        <w:t>Khumalo</w:t>
      </w:r>
      <w:r w:rsidR="007E2449" w:rsidRPr="007E2449">
        <w:rPr>
          <w:rFonts w:ascii="Times New Roman" w:hAnsi="Times New Roman" w:cs="Times New Roman"/>
          <w:sz w:val="24"/>
          <w:szCs w:val="24"/>
        </w:rPr>
        <w:t xml:space="preserve"> 1998 (2) ZLR 313 (SC)</w:t>
      </w:r>
      <w:r w:rsidR="00C255D6">
        <w:rPr>
          <w:rFonts w:ascii="Times New Roman" w:hAnsi="Times New Roman" w:cs="Times New Roman"/>
          <w:sz w:val="24"/>
          <w:szCs w:val="24"/>
        </w:rPr>
        <w:t>.</w:t>
      </w:r>
    </w:p>
    <w:p w:rsidR="00E51AF6" w:rsidRDefault="00E51AF6" w:rsidP="008B6C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w:t>
      </w:r>
      <w:r w:rsidRPr="00E51AF6">
        <w:rPr>
          <w:rFonts w:ascii="Times New Roman" w:hAnsi="Times New Roman" w:cs="Times New Roman"/>
          <w:sz w:val="24"/>
          <w:szCs w:val="24"/>
        </w:rPr>
        <w:t>here</w:t>
      </w:r>
      <w:r>
        <w:rPr>
          <w:rFonts w:ascii="Times New Roman" w:hAnsi="Times New Roman" w:cs="Times New Roman"/>
          <w:sz w:val="24"/>
          <w:szCs w:val="24"/>
        </w:rPr>
        <w:t>, as here,</w:t>
      </w:r>
      <w:r w:rsidRPr="00E51AF6">
        <w:rPr>
          <w:rFonts w:ascii="Times New Roman" w:hAnsi="Times New Roman" w:cs="Times New Roman"/>
          <w:sz w:val="24"/>
          <w:szCs w:val="24"/>
        </w:rPr>
        <w:t xml:space="preserve"> a plaintiff applies for summary judgment against the defendant and the defendant raises a defence, the onus is on the defendant to satisfy the court that he has a good </w:t>
      </w:r>
      <w:r w:rsidRPr="00BA1D90">
        <w:rPr>
          <w:rFonts w:ascii="Times New Roman" w:hAnsi="Times New Roman" w:cs="Times New Roman"/>
          <w:i/>
          <w:sz w:val="24"/>
          <w:szCs w:val="24"/>
        </w:rPr>
        <w:t>prima facie</w:t>
      </w:r>
      <w:r w:rsidRPr="00E51AF6">
        <w:rPr>
          <w:rFonts w:ascii="Times New Roman" w:hAnsi="Times New Roman" w:cs="Times New Roman"/>
          <w:sz w:val="24"/>
          <w:szCs w:val="24"/>
        </w:rPr>
        <w:t xml:space="preserve"> defence. He must allege facts which if proved at the trial would entitle him to succeed in his defence at the trial. He does not have to set out the facts exhaustively but he must set out the material facts upon which he bases his defence with sufficient clarity and in sufficient detail to allow the court to decide whether, if these facts are proved at the trial, this will constitute valid defence to the plaintiff's claim. It is not sufficient for the defendant to make vague generalisations or to provide bald and sketchy facts.</w:t>
      </w:r>
      <w:r>
        <w:rPr>
          <w:rFonts w:ascii="Times New Roman" w:hAnsi="Times New Roman" w:cs="Times New Roman"/>
          <w:sz w:val="24"/>
          <w:szCs w:val="24"/>
        </w:rPr>
        <w:t xml:space="preserve"> </w:t>
      </w:r>
      <w:r w:rsidRPr="00E51AF6">
        <w:rPr>
          <w:rFonts w:ascii="Times New Roman" w:hAnsi="Times New Roman" w:cs="Times New Roman"/>
          <w:i/>
          <w:sz w:val="24"/>
          <w:szCs w:val="24"/>
        </w:rPr>
        <w:t>Hales</w:t>
      </w:r>
      <w:r w:rsidRPr="00A76C88">
        <w:rPr>
          <w:rFonts w:ascii="Times New Roman" w:hAnsi="Times New Roman" w:cs="Times New Roman"/>
          <w:sz w:val="24"/>
          <w:szCs w:val="24"/>
        </w:rPr>
        <w:t xml:space="preserve"> v</w:t>
      </w:r>
      <w:r w:rsidRPr="00E51AF6">
        <w:rPr>
          <w:rFonts w:ascii="Times New Roman" w:hAnsi="Times New Roman" w:cs="Times New Roman"/>
          <w:i/>
          <w:sz w:val="24"/>
          <w:szCs w:val="24"/>
        </w:rPr>
        <w:t xml:space="preserve"> Doverick Investments (Pvt) Ltd</w:t>
      </w:r>
      <w:r w:rsidRPr="00E51AF6">
        <w:rPr>
          <w:rFonts w:ascii="Times New Roman" w:hAnsi="Times New Roman" w:cs="Times New Roman"/>
          <w:sz w:val="24"/>
          <w:szCs w:val="24"/>
        </w:rPr>
        <w:t xml:space="preserve"> 1998 (2) ZLR 235 (HC)</w:t>
      </w:r>
      <w:r w:rsidR="00220951">
        <w:rPr>
          <w:rFonts w:ascii="Times New Roman" w:hAnsi="Times New Roman" w:cs="Times New Roman"/>
          <w:sz w:val="24"/>
          <w:szCs w:val="24"/>
        </w:rPr>
        <w:t>.</w:t>
      </w:r>
      <w:r>
        <w:rPr>
          <w:rFonts w:ascii="Times New Roman" w:hAnsi="Times New Roman" w:cs="Times New Roman"/>
          <w:sz w:val="24"/>
          <w:szCs w:val="24"/>
        </w:rPr>
        <w:t xml:space="preserve"> </w:t>
      </w:r>
    </w:p>
    <w:p w:rsidR="007E2449" w:rsidRDefault="00E51AF6" w:rsidP="00565E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Presently, the respondent makes vague and bald generalizations regarding the terms of payment. It only raises these defences when sued on the debt not when demand is made on it to honour its </w:t>
      </w:r>
      <w:r w:rsidR="007E2449">
        <w:rPr>
          <w:rFonts w:ascii="Times New Roman" w:hAnsi="Times New Roman" w:cs="Times New Roman"/>
          <w:sz w:val="24"/>
          <w:szCs w:val="24"/>
        </w:rPr>
        <w:t>o</w:t>
      </w:r>
      <w:r>
        <w:rPr>
          <w:rFonts w:ascii="Times New Roman" w:hAnsi="Times New Roman" w:cs="Times New Roman"/>
          <w:sz w:val="24"/>
          <w:szCs w:val="24"/>
        </w:rPr>
        <w:t xml:space="preserve">bligations. </w:t>
      </w:r>
      <w:r w:rsidR="00565E8B">
        <w:rPr>
          <w:rFonts w:ascii="Times New Roman" w:hAnsi="Times New Roman" w:cs="Times New Roman"/>
          <w:sz w:val="24"/>
          <w:szCs w:val="24"/>
        </w:rPr>
        <w:t>The applicant has</w:t>
      </w:r>
      <w:r w:rsidR="007E2449">
        <w:rPr>
          <w:rFonts w:ascii="Times New Roman" w:hAnsi="Times New Roman" w:cs="Times New Roman"/>
          <w:sz w:val="24"/>
          <w:szCs w:val="24"/>
        </w:rPr>
        <w:t>,</w:t>
      </w:r>
      <w:r w:rsidR="00565E8B">
        <w:rPr>
          <w:rFonts w:ascii="Times New Roman" w:hAnsi="Times New Roman" w:cs="Times New Roman"/>
          <w:sz w:val="24"/>
          <w:szCs w:val="24"/>
        </w:rPr>
        <w:t xml:space="preserve"> in my </w:t>
      </w:r>
      <w:r w:rsidR="007E2449">
        <w:rPr>
          <w:rFonts w:ascii="Times New Roman" w:hAnsi="Times New Roman" w:cs="Times New Roman"/>
          <w:sz w:val="24"/>
          <w:szCs w:val="24"/>
        </w:rPr>
        <w:t>view,</w:t>
      </w:r>
      <w:r w:rsidR="00565E8B">
        <w:rPr>
          <w:rFonts w:ascii="Times New Roman" w:hAnsi="Times New Roman" w:cs="Times New Roman"/>
          <w:sz w:val="24"/>
          <w:szCs w:val="24"/>
        </w:rPr>
        <w:t xml:space="preserve"> met the requirement for the grant of the</w:t>
      </w:r>
      <w:r w:rsidR="007E2449">
        <w:rPr>
          <w:rFonts w:ascii="Times New Roman" w:hAnsi="Times New Roman" w:cs="Times New Roman"/>
          <w:sz w:val="24"/>
          <w:szCs w:val="24"/>
        </w:rPr>
        <w:t xml:space="preserve"> relief of summary judgment. Consequently, it is ordered as follows:</w:t>
      </w:r>
    </w:p>
    <w:p w:rsidR="007E2449" w:rsidRPr="007E2449" w:rsidRDefault="007E2449" w:rsidP="007E2449">
      <w:pPr>
        <w:ind w:left="1440" w:hanging="720"/>
        <w:jc w:val="both"/>
        <w:rPr>
          <w:rFonts w:ascii="Times New Roman" w:hAnsi="Times New Roman" w:cs="Times New Roman"/>
          <w:sz w:val="24"/>
          <w:szCs w:val="24"/>
        </w:rPr>
      </w:pPr>
      <w:r w:rsidRPr="007E2449">
        <w:rPr>
          <w:rFonts w:ascii="Times New Roman" w:hAnsi="Times New Roman" w:cs="Times New Roman"/>
          <w:sz w:val="24"/>
          <w:szCs w:val="24"/>
        </w:rPr>
        <w:t>(a)</w:t>
      </w:r>
      <w:r w:rsidRPr="007E2449">
        <w:rPr>
          <w:rFonts w:ascii="Times New Roman" w:hAnsi="Times New Roman" w:cs="Times New Roman"/>
          <w:sz w:val="24"/>
          <w:szCs w:val="24"/>
        </w:rPr>
        <w:tab/>
        <w:t>Payment of the sum of US$22 700-00 being outstanding balance in respect of fees for town planning consultancy services rendered to defend at i</w:t>
      </w:r>
      <w:r w:rsidR="00BA1D90">
        <w:rPr>
          <w:rFonts w:ascii="Times New Roman" w:hAnsi="Times New Roman" w:cs="Times New Roman"/>
          <w:sz w:val="24"/>
          <w:szCs w:val="24"/>
        </w:rPr>
        <w:t>ts specific</w:t>
      </w:r>
      <w:r w:rsidR="00BA1D90" w:rsidRPr="007E2449">
        <w:rPr>
          <w:rFonts w:ascii="Times New Roman" w:hAnsi="Times New Roman" w:cs="Times New Roman"/>
          <w:sz w:val="24"/>
          <w:szCs w:val="24"/>
        </w:rPr>
        <w:t xml:space="preserve"> instance </w:t>
      </w:r>
      <w:r w:rsidR="00BA1D90">
        <w:rPr>
          <w:rFonts w:ascii="Times New Roman" w:hAnsi="Times New Roman" w:cs="Times New Roman"/>
          <w:sz w:val="24"/>
          <w:szCs w:val="24"/>
        </w:rPr>
        <w:t xml:space="preserve">and </w:t>
      </w:r>
      <w:r w:rsidRPr="007E2449">
        <w:rPr>
          <w:rFonts w:ascii="Times New Roman" w:hAnsi="Times New Roman" w:cs="Times New Roman"/>
          <w:sz w:val="24"/>
          <w:szCs w:val="24"/>
        </w:rPr>
        <w:t>request;</w:t>
      </w:r>
    </w:p>
    <w:p w:rsidR="007E2449" w:rsidRPr="007E2449" w:rsidRDefault="007E2449" w:rsidP="007E2449">
      <w:pPr>
        <w:ind w:left="1440" w:hanging="720"/>
        <w:jc w:val="both"/>
        <w:rPr>
          <w:rFonts w:ascii="Times New Roman" w:hAnsi="Times New Roman" w:cs="Times New Roman"/>
          <w:sz w:val="24"/>
          <w:szCs w:val="24"/>
        </w:rPr>
      </w:pPr>
      <w:r w:rsidRPr="007E2449">
        <w:rPr>
          <w:rFonts w:ascii="Times New Roman" w:hAnsi="Times New Roman" w:cs="Times New Roman"/>
          <w:sz w:val="24"/>
          <w:szCs w:val="24"/>
        </w:rPr>
        <w:t>(b)</w:t>
      </w:r>
      <w:r w:rsidRPr="007E2449">
        <w:rPr>
          <w:rFonts w:ascii="Times New Roman" w:hAnsi="Times New Roman" w:cs="Times New Roman"/>
          <w:sz w:val="24"/>
          <w:szCs w:val="24"/>
        </w:rPr>
        <w:tab/>
        <w:t>Interest thereon at 5% calculated from 12 September 2012 to date of payment in full;</w:t>
      </w:r>
    </w:p>
    <w:p w:rsidR="007E2449" w:rsidRPr="007E2449" w:rsidRDefault="007E2449" w:rsidP="007E2449">
      <w:pPr>
        <w:ind w:left="1440" w:hanging="720"/>
        <w:jc w:val="both"/>
        <w:rPr>
          <w:rFonts w:ascii="Times New Roman" w:hAnsi="Times New Roman" w:cs="Times New Roman"/>
          <w:sz w:val="24"/>
          <w:szCs w:val="24"/>
        </w:rPr>
      </w:pPr>
      <w:r w:rsidRPr="007E2449">
        <w:rPr>
          <w:rFonts w:ascii="Times New Roman" w:hAnsi="Times New Roman" w:cs="Times New Roman"/>
          <w:sz w:val="24"/>
          <w:szCs w:val="24"/>
        </w:rPr>
        <w:t>(c)</w:t>
      </w:r>
      <w:r w:rsidRPr="007E2449">
        <w:rPr>
          <w:rFonts w:ascii="Times New Roman" w:hAnsi="Times New Roman" w:cs="Times New Roman"/>
          <w:sz w:val="24"/>
          <w:szCs w:val="24"/>
        </w:rPr>
        <w:tab/>
        <w:t>Costs of suit.</w:t>
      </w:r>
    </w:p>
    <w:p w:rsidR="007E2449" w:rsidRDefault="007E2449" w:rsidP="007E2449">
      <w:pPr>
        <w:ind w:left="1440" w:hanging="720"/>
        <w:jc w:val="both"/>
        <w:rPr>
          <w:rFonts w:ascii="Times New Roman" w:hAnsi="Times New Roman" w:cs="Times New Roman"/>
        </w:rPr>
      </w:pPr>
    </w:p>
    <w:p w:rsidR="007E2449" w:rsidRDefault="007E2449" w:rsidP="007E2449">
      <w:pPr>
        <w:ind w:left="1440" w:hanging="720"/>
        <w:jc w:val="both"/>
        <w:rPr>
          <w:rFonts w:ascii="Times New Roman" w:hAnsi="Times New Roman" w:cs="Times New Roman"/>
        </w:rPr>
      </w:pPr>
    </w:p>
    <w:p w:rsidR="007E2449" w:rsidRDefault="007E2449" w:rsidP="007E2449">
      <w:pPr>
        <w:jc w:val="both"/>
        <w:rPr>
          <w:rFonts w:ascii="Times New Roman" w:hAnsi="Times New Roman" w:cs="Times New Roman"/>
        </w:rPr>
      </w:pPr>
    </w:p>
    <w:p w:rsidR="007E2449" w:rsidRDefault="007E2449" w:rsidP="00D34B64">
      <w:pPr>
        <w:spacing w:line="240" w:lineRule="auto"/>
        <w:jc w:val="both"/>
        <w:rPr>
          <w:rFonts w:ascii="Times New Roman" w:hAnsi="Times New Roman" w:cs="Times New Roman"/>
        </w:rPr>
      </w:pPr>
      <w:r w:rsidRPr="007E2449">
        <w:rPr>
          <w:rFonts w:ascii="Times New Roman" w:hAnsi="Times New Roman" w:cs="Times New Roman"/>
          <w:i/>
        </w:rPr>
        <w:t>Matipano &amp; Matimba</w:t>
      </w:r>
      <w:r>
        <w:rPr>
          <w:rFonts w:ascii="Times New Roman" w:hAnsi="Times New Roman" w:cs="Times New Roman"/>
        </w:rPr>
        <w:t>, applicant’s legal practitioners</w:t>
      </w:r>
    </w:p>
    <w:p w:rsidR="007E2449" w:rsidRDefault="007E2449" w:rsidP="00D34B64">
      <w:pPr>
        <w:spacing w:line="240" w:lineRule="auto"/>
        <w:jc w:val="both"/>
        <w:rPr>
          <w:rFonts w:ascii="Times New Roman" w:hAnsi="Times New Roman" w:cs="Times New Roman"/>
        </w:rPr>
      </w:pPr>
      <w:r w:rsidRPr="007E2449">
        <w:rPr>
          <w:rFonts w:ascii="Times New Roman" w:hAnsi="Times New Roman" w:cs="Times New Roman"/>
          <w:i/>
        </w:rPr>
        <w:t>Charamba &amp; Partners</w:t>
      </w:r>
      <w:r>
        <w:rPr>
          <w:rFonts w:ascii="Times New Roman" w:hAnsi="Times New Roman" w:cs="Times New Roman"/>
        </w:rPr>
        <w:t>, respondent’s legal practitioners</w:t>
      </w:r>
    </w:p>
    <w:p w:rsidR="007E2449" w:rsidRPr="00060F73" w:rsidRDefault="007E2449" w:rsidP="00D34B64">
      <w:pPr>
        <w:spacing w:line="240" w:lineRule="auto"/>
        <w:ind w:left="1440" w:hanging="720"/>
        <w:jc w:val="both"/>
        <w:rPr>
          <w:rFonts w:ascii="Times New Roman" w:hAnsi="Times New Roman" w:cs="Times New Roman"/>
        </w:rPr>
      </w:pPr>
    </w:p>
    <w:p w:rsidR="00420D1A" w:rsidRPr="00557FFD" w:rsidRDefault="00420D1A" w:rsidP="007E2449">
      <w:pPr>
        <w:spacing w:line="360" w:lineRule="auto"/>
        <w:ind w:firstLine="720"/>
        <w:jc w:val="both"/>
        <w:rPr>
          <w:rFonts w:ascii="Times New Roman" w:hAnsi="Times New Roman" w:cs="Times New Roman"/>
          <w:sz w:val="24"/>
          <w:szCs w:val="24"/>
        </w:rPr>
      </w:pPr>
    </w:p>
    <w:sectPr w:rsidR="00420D1A" w:rsidRPr="00557FF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9EF" w:rsidRDefault="00C739EF" w:rsidP="008937A9">
      <w:pPr>
        <w:spacing w:after="0" w:line="240" w:lineRule="auto"/>
      </w:pPr>
      <w:r>
        <w:separator/>
      </w:r>
    </w:p>
  </w:endnote>
  <w:endnote w:type="continuationSeparator" w:id="0">
    <w:p w:rsidR="00C739EF" w:rsidRDefault="00C739EF" w:rsidP="0089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9EF" w:rsidRDefault="00C739EF" w:rsidP="008937A9">
      <w:pPr>
        <w:spacing w:after="0" w:line="240" w:lineRule="auto"/>
      </w:pPr>
      <w:r>
        <w:separator/>
      </w:r>
    </w:p>
  </w:footnote>
  <w:footnote w:type="continuationSeparator" w:id="0">
    <w:p w:rsidR="00C739EF" w:rsidRDefault="00C739EF" w:rsidP="0089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452502"/>
      <w:docPartObj>
        <w:docPartGallery w:val="Page Numbers (Top of Page)"/>
        <w:docPartUnique/>
      </w:docPartObj>
    </w:sdtPr>
    <w:sdtEndPr>
      <w:rPr>
        <w:noProof/>
      </w:rPr>
    </w:sdtEndPr>
    <w:sdtContent>
      <w:p w:rsidR="008937A9" w:rsidRDefault="008937A9">
        <w:pPr>
          <w:pStyle w:val="Header"/>
          <w:jc w:val="right"/>
          <w:rPr>
            <w:noProof/>
          </w:rPr>
        </w:pPr>
        <w:r>
          <w:fldChar w:fldCharType="begin"/>
        </w:r>
        <w:r>
          <w:instrText xml:space="preserve"> PAGE   \* MERGEFORMAT </w:instrText>
        </w:r>
        <w:r>
          <w:fldChar w:fldCharType="separate"/>
        </w:r>
        <w:r w:rsidR="00E342BB">
          <w:rPr>
            <w:noProof/>
          </w:rPr>
          <w:t>1</w:t>
        </w:r>
        <w:r>
          <w:rPr>
            <w:noProof/>
          </w:rPr>
          <w:fldChar w:fldCharType="end"/>
        </w:r>
      </w:p>
      <w:p w:rsidR="008937A9" w:rsidRDefault="008937A9">
        <w:pPr>
          <w:pStyle w:val="Header"/>
          <w:jc w:val="right"/>
          <w:rPr>
            <w:noProof/>
          </w:rPr>
        </w:pPr>
        <w:r>
          <w:rPr>
            <w:noProof/>
          </w:rPr>
          <w:t>HH</w:t>
        </w:r>
        <w:r w:rsidR="007A5011">
          <w:rPr>
            <w:noProof/>
          </w:rPr>
          <w:t xml:space="preserve"> 24-18</w:t>
        </w:r>
      </w:p>
      <w:p w:rsidR="008937A9" w:rsidRDefault="008937A9">
        <w:pPr>
          <w:pStyle w:val="Header"/>
          <w:jc w:val="right"/>
        </w:pPr>
        <w:r>
          <w:rPr>
            <w:noProof/>
          </w:rPr>
          <w:t>HC 1995/13</w:t>
        </w:r>
      </w:p>
    </w:sdtContent>
  </w:sdt>
  <w:p w:rsidR="008937A9" w:rsidRDefault="008937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AF"/>
    <w:rsid w:val="00053351"/>
    <w:rsid w:val="00060F73"/>
    <w:rsid w:val="000B2A03"/>
    <w:rsid w:val="000B2C70"/>
    <w:rsid w:val="000C0216"/>
    <w:rsid w:val="00164108"/>
    <w:rsid w:val="001A09F7"/>
    <w:rsid w:val="00220951"/>
    <w:rsid w:val="002353E8"/>
    <w:rsid w:val="002739AF"/>
    <w:rsid w:val="003E6298"/>
    <w:rsid w:val="00420D1A"/>
    <w:rsid w:val="004B51B9"/>
    <w:rsid w:val="00557FFD"/>
    <w:rsid w:val="00565E8B"/>
    <w:rsid w:val="00653EEB"/>
    <w:rsid w:val="00667754"/>
    <w:rsid w:val="007A5011"/>
    <w:rsid w:val="007E2449"/>
    <w:rsid w:val="008937A9"/>
    <w:rsid w:val="008B6C39"/>
    <w:rsid w:val="008D1741"/>
    <w:rsid w:val="00924676"/>
    <w:rsid w:val="00996879"/>
    <w:rsid w:val="00A037E3"/>
    <w:rsid w:val="00A2116E"/>
    <w:rsid w:val="00A76C88"/>
    <w:rsid w:val="00B6313B"/>
    <w:rsid w:val="00B9279F"/>
    <w:rsid w:val="00BA1D90"/>
    <w:rsid w:val="00BE46BA"/>
    <w:rsid w:val="00C02D9B"/>
    <w:rsid w:val="00C10953"/>
    <w:rsid w:val="00C255D6"/>
    <w:rsid w:val="00C26403"/>
    <w:rsid w:val="00C739EF"/>
    <w:rsid w:val="00CF0FEE"/>
    <w:rsid w:val="00D34B64"/>
    <w:rsid w:val="00D65800"/>
    <w:rsid w:val="00D911F4"/>
    <w:rsid w:val="00DC55A0"/>
    <w:rsid w:val="00DD5E1A"/>
    <w:rsid w:val="00E342BB"/>
    <w:rsid w:val="00E51AF6"/>
    <w:rsid w:val="00E97C6F"/>
    <w:rsid w:val="00EB5129"/>
    <w:rsid w:val="00EB6114"/>
    <w:rsid w:val="00EC1F00"/>
    <w:rsid w:val="00EC21D3"/>
    <w:rsid w:val="00F45B4D"/>
    <w:rsid w:val="00F811D4"/>
    <w:rsid w:val="00FD4E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2C218-C415-4B1A-9F56-148D3611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7A9"/>
  </w:style>
  <w:style w:type="paragraph" w:styleId="Footer">
    <w:name w:val="footer"/>
    <w:basedOn w:val="Normal"/>
    <w:link w:val="FooterChar"/>
    <w:uiPriority w:val="99"/>
    <w:unhideWhenUsed/>
    <w:rsid w:val="00893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7A9"/>
  </w:style>
  <w:style w:type="paragraph" w:styleId="BalloonText">
    <w:name w:val="Balloon Text"/>
    <w:basedOn w:val="Normal"/>
    <w:link w:val="BalloonTextChar"/>
    <w:uiPriority w:val="99"/>
    <w:semiHidden/>
    <w:unhideWhenUsed/>
    <w:rsid w:val="00A03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Hungwe</dc:creator>
  <cp:lastModifiedBy>JSC</cp:lastModifiedBy>
  <cp:revision>2</cp:revision>
  <cp:lastPrinted>2018-01-23T06:56:00Z</cp:lastPrinted>
  <dcterms:created xsi:type="dcterms:W3CDTF">2018-01-26T13:11:00Z</dcterms:created>
  <dcterms:modified xsi:type="dcterms:W3CDTF">2018-01-26T13:11:00Z</dcterms:modified>
</cp:coreProperties>
</file>