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7F4" w:rsidRPr="00D04D8C" w:rsidRDefault="00D04D8C" w:rsidP="004157F4">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(39)</w:t>
      </w:r>
    </w:p>
    <w:p w:rsidR="004157F4" w:rsidRPr="008F198C" w:rsidRDefault="004157F4" w:rsidP="004157F4">
      <w:pPr>
        <w:spacing w:after="0"/>
        <w:rPr>
          <w:rFonts w:ascii="Times New Roman" w:hAnsi="Times New Roman" w:cs="Times New Roman"/>
          <w:sz w:val="24"/>
          <w:szCs w:val="24"/>
        </w:rPr>
      </w:pPr>
    </w:p>
    <w:p w:rsidR="004157F4" w:rsidRPr="008F198C" w:rsidRDefault="004157F4" w:rsidP="004157F4">
      <w:pPr>
        <w:spacing w:after="0"/>
        <w:rPr>
          <w:rFonts w:ascii="Times New Roman" w:hAnsi="Times New Roman" w:cs="Times New Roman"/>
          <w:sz w:val="24"/>
          <w:szCs w:val="24"/>
        </w:rPr>
      </w:pPr>
    </w:p>
    <w:p w:rsidR="004157F4" w:rsidRPr="008F198C" w:rsidRDefault="004157F4" w:rsidP="004157F4">
      <w:pPr>
        <w:spacing w:after="0"/>
        <w:rPr>
          <w:rFonts w:ascii="Times New Roman" w:hAnsi="Times New Roman" w:cs="Times New Roman"/>
          <w:sz w:val="24"/>
          <w:szCs w:val="24"/>
        </w:rPr>
      </w:pPr>
    </w:p>
    <w:p w:rsidR="008427C7" w:rsidRPr="008F198C" w:rsidRDefault="008427C7" w:rsidP="004157F4">
      <w:pPr>
        <w:spacing w:after="0" w:line="240" w:lineRule="auto"/>
        <w:jc w:val="center"/>
        <w:rPr>
          <w:rFonts w:ascii="Times New Roman" w:hAnsi="Times New Roman" w:cs="Times New Roman"/>
          <w:b/>
          <w:sz w:val="24"/>
          <w:szCs w:val="24"/>
        </w:rPr>
      </w:pPr>
      <w:r w:rsidRPr="008F198C">
        <w:rPr>
          <w:rFonts w:ascii="Times New Roman" w:hAnsi="Times New Roman" w:cs="Times New Roman"/>
          <w:b/>
          <w:sz w:val="24"/>
          <w:szCs w:val="24"/>
        </w:rPr>
        <w:t xml:space="preserve">(1)  </w:t>
      </w:r>
      <w:r w:rsidR="004157F4" w:rsidRPr="008F198C">
        <w:rPr>
          <w:rFonts w:ascii="Times New Roman" w:hAnsi="Times New Roman" w:cs="Times New Roman"/>
          <w:b/>
          <w:sz w:val="24"/>
          <w:szCs w:val="24"/>
        </w:rPr>
        <w:t xml:space="preserve">    </w:t>
      </w:r>
      <w:r w:rsidRPr="008F198C">
        <w:rPr>
          <w:rFonts w:ascii="Times New Roman" w:hAnsi="Times New Roman" w:cs="Times New Roman"/>
          <w:b/>
          <w:sz w:val="24"/>
          <w:szCs w:val="24"/>
        </w:rPr>
        <w:t xml:space="preserve">WILLARD </w:t>
      </w:r>
      <w:r w:rsidR="004157F4" w:rsidRPr="008F198C">
        <w:rPr>
          <w:rFonts w:ascii="Times New Roman" w:hAnsi="Times New Roman" w:cs="Times New Roman"/>
          <w:b/>
          <w:sz w:val="24"/>
          <w:szCs w:val="24"/>
        </w:rPr>
        <w:t xml:space="preserve">    </w:t>
      </w:r>
      <w:r w:rsidRPr="008F198C">
        <w:rPr>
          <w:rFonts w:ascii="Times New Roman" w:hAnsi="Times New Roman" w:cs="Times New Roman"/>
          <w:b/>
          <w:sz w:val="24"/>
          <w:szCs w:val="24"/>
        </w:rPr>
        <w:t xml:space="preserve">CHIDAMBO </w:t>
      </w:r>
      <w:r w:rsidR="004157F4" w:rsidRPr="008F198C">
        <w:rPr>
          <w:rFonts w:ascii="Times New Roman" w:hAnsi="Times New Roman" w:cs="Times New Roman"/>
          <w:b/>
          <w:sz w:val="24"/>
          <w:szCs w:val="24"/>
        </w:rPr>
        <w:t xml:space="preserve">    </w:t>
      </w:r>
      <w:r w:rsidRPr="008F198C">
        <w:rPr>
          <w:rFonts w:ascii="Times New Roman" w:hAnsi="Times New Roman" w:cs="Times New Roman"/>
          <w:b/>
          <w:sz w:val="24"/>
          <w:szCs w:val="24"/>
        </w:rPr>
        <w:t xml:space="preserve">MASEKO </w:t>
      </w:r>
      <w:r w:rsidR="004157F4" w:rsidRPr="008F198C">
        <w:rPr>
          <w:rFonts w:ascii="Times New Roman" w:hAnsi="Times New Roman" w:cs="Times New Roman"/>
          <w:b/>
          <w:sz w:val="24"/>
          <w:szCs w:val="24"/>
        </w:rPr>
        <w:t xml:space="preserve">    </w:t>
      </w:r>
      <w:r w:rsidRPr="008F198C">
        <w:rPr>
          <w:rFonts w:ascii="Times New Roman" w:hAnsi="Times New Roman" w:cs="Times New Roman"/>
          <w:b/>
          <w:sz w:val="24"/>
          <w:szCs w:val="24"/>
        </w:rPr>
        <w:t>(2)</w:t>
      </w:r>
      <w:r w:rsidR="004157F4" w:rsidRPr="008F198C">
        <w:rPr>
          <w:rFonts w:ascii="Times New Roman" w:hAnsi="Times New Roman" w:cs="Times New Roman"/>
          <w:b/>
          <w:sz w:val="24"/>
          <w:szCs w:val="24"/>
        </w:rPr>
        <w:t xml:space="preserve">    </w:t>
      </w:r>
      <w:r w:rsidRPr="008F198C">
        <w:rPr>
          <w:rFonts w:ascii="Times New Roman" w:hAnsi="Times New Roman" w:cs="Times New Roman"/>
          <w:b/>
          <w:sz w:val="24"/>
          <w:szCs w:val="24"/>
        </w:rPr>
        <w:t xml:space="preserve"> DONNA </w:t>
      </w:r>
      <w:r w:rsidR="004157F4" w:rsidRPr="008F198C">
        <w:rPr>
          <w:rFonts w:ascii="Times New Roman" w:hAnsi="Times New Roman" w:cs="Times New Roman"/>
          <w:b/>
          <w:sz w:val="24"/>
          <w:szCs w:val="24"/>
        </w:rPr>
        <w:t xml:space="preserve">    </w:t>
      </w:r>
      <w:r w:rsidRPr="008F198C">
        <w:rPr>
          <w:rFonts w:ascii="Times New Roman" w:hAnsi="Times New Roman" w:cs="Times New Roman"/>
          <w:b/>
          <w:sz w:val="24"/>
          <w:szCs w:val="24"/>
        </w:rPr>
        <w:t>MTENJWA</w:t>
      </w:r>
      <w:r w:rsidR="004157F4" w:rsidRPr="008F198C">
        <w:rPr>
          <w:rFonts w:ascii="Times New Roman" w:hAnsi="Times New Roman" w:cs="Times New Roman"/>
          <w:b/>
          <w:sz w:val="24"/>
          <w:szCs w:val="24"/>
        </w:rPr>
        <w:t xml:space="preserve">    </w:t>
      </w:r>
      <w:r w:rsidRPr="008F198C">
        <w:rPr>
          <w:rFonts w:ascii="Times New Roman" w:hAnsi="Times New Roman" w:cs="Times New Roman"/>
          <w:b/>
          <w:sz w:val="24"/>
          <w:szCs w:val="24"/>
        </w:rPr>
        <w:t xml:space="preserve"> MASEKO</w:t>
      </w:r>
    </w:p>
    <w:p w:rsidR="008427C7" w:rsidRPr="008F198C" w:rsidRDefault="004157F4" w:rsidP="004157F4">
      <w:pPr>
        <w:spacing w:after="0" w:line="240" w:lineRule="auto"/>
        <w:jc w:val="center"/>
        <w:rPr>
          <w:rFonts w:ascii="Times New Roman" w:hAnsi="Times New Roman" w:cs="Times New Roman"/>
          <w:b/>
          <w:sz w:val="24"/>
          <w:szCs w:val="24"/>
        </w:rPr>
      </w:pPr>
      <w:r w:rsidRPr="008F198C">
        <w:rPr>
          <w:rFonts w:ascii="Times New Roman" w:hAnsi="Times New Roman" w:cs="Times New Roman"/>
          <w:b/>
          <w:sz w:val="24"/>
          <w:szCs w:val="24"/>
        </w:rPr>
        <w:t>v</w:t>
      </w:r>
    </w:p>
    <w:p w:rsidR="007F61E0" w:rsidRPr="008F198C" w:rsidRDefault="008427C7" w:rsidP="004157F4">
      <w:pPr>
        <w:spacing w:after="0"/>
        <w:jc w:val="center"/>
        <w:rPr>
          <w:rFonts w:ascii="Times New Roman" w:hAnsi="Times New Roman" w:cs="Times New Roman"/>
          <w:b/>
          <w:sz w:val="24"/>
          <w:szCs w:val="24"/>
        </w:rPr>
      </w:pPr>
      <w:r w:rsidRPr="008F198C">
        <w:rPr>
          <w:rFonts w:ascii="Times New Roman" w:hAnsi="Times New Roman" w:cs="Times New Roman"/>
          <w:b/>
          <w:sz w:val="24"/>
          <w:szCs w:val="24"/>
        </w:rPr>
        <w:t xml:space="preserve">THE </w:t>
      </w:r>
      <w:r w:rsidR="004157F4" w:rsidRPr="008F198C">
        <w:rPr>
          <w:rFonts w:ascii="Times New Roman" w:hAnsi="Times New Roman" w:cs="Times New Roman"/>
          <w:b/>
          <w:sz w:val="24"/>
          <w:szCs w:val="24"/>
        </w:rPr>
        <w:t xml:space="preserve">    </w:t>
      </w:r>
      <w:r w:rsidRPr="008F198C">
        <w:rPr>
          <w:rFonts w:ascii="Times New Roman" w:hAnsi="Times New Roman" w:cs="Times New Roman"/>
          <w:b/>
          <w:sz w:val="24"/>
          <w:szCs w:val="24"/>
        </w:rPr>
        <w:t>STATE</w:t>
      </w:r>
    </w:p>
    <w:p w:rsidR="008427C7" w:rsidRPr="008F198C" w:rsidRDefault="008427C7" w:rsidP="004157F4">
      <w:pPr>
        <w:spacing w:after="0"/>
        <w:rPr>
          <w:rFonts w:ascii="Times New Roman" w:hAnsi="Times New Roman" w:cs="Times New Roman"/>
          <w:sz w:val="24"/>
          <w:szCs w:val="24"/>
        </w:rPr>
      </w:pPr>
    </w:p>
    <w:p w:rsidR="008427C7" w:rsidRPr="008F198C" w:rsidRDefault="008427C7" w:rsidP="004157F4">
      <w:pPr>
        <w:spacing w:after="0"/>
        <w:rPr>
          <w:rFonts w:ascii="Times New Roman" w:hAnsi="Times New Roman" w:cs="Times New Roman"/>
          <w:sz w:val="24"/>
          <w:szCs w:val="24"/>
        </w:rPr>
      </w:pPr>
    </w:p>
    <w:p w:rsidR="004157F4" w:rsidRPr="008F198C" w:rsidRDefault="004157F4" w:rsidP="004157F4">
      <w:pPr>
        <w:spacing w:after="0"/>
        <w:rPr>
          <w:rFonts w:ascii="Times New Roman" w:hAnsi="Times New Roman" w:cs="Times New Roman"/>
          <w:sz w:val="24"/>
          <w:szCs w:val="24"/>
        </w:rPr>
      </w:pPr>
    </w:p>
    <w:p w:rsidR="008427C7" w:rsidRPr="008F198C" w:rsidRDefault="008427C7" w:rsidP="004157F4">
      <w:pPr>
        <w:spacing w:after="0"/>
        <w:rPr>
          <w:rFonts w:ascii="Times New Roman" w:hAnsi="Times New Roman" w:cs="Times New Roman"/>
          <w:b/>
          <w:sz w:val="24"/>
          <w:szCs w:val="24"/>
        </w:rPr>
      </w:pPr>
      <w:r w:rsidRPr="008F198C">
        <w:rPr>
          <w:rFonts w:ascii="Times New Roman" w:hAnsi="Times New Roman" w:cs="Times New Roman"/>
          <w:b/>
          <w:sz w:val="24"/>
          <w:szCs w:val="24"/>
        </w:rPr>
        <w:t>SUPREME COURT OF ZIMBABWE</w:t>
      </w:r>
    </w:p>
    <w:p w:rsidR="008427C7" w:rsidRPr="008F198C" w:rsidRDefault="008427C7" w:rsidP="004157F4">
      <w:pPr>
        <w:spacing w:after="0"/>
        <w:rPr>
          <w:rFonts w:ascii="Times New Roman" w:hAnsi="Times New Roman" w:cs="Times New Roman"/>
          <w:b/>
          <w:sz w:val="24"/>
          <w:szCs w:val="24"/>
        </w:rPr>
      </w:pPr>
      <w:r w:rsidRPr="008F198C">
        <w:rPr>
          <w:rFonts w:ascii="Times New Roman" w:hAnsi="Times New Roman" w:cs="Times New Roman"/>
          <w:b/>
          <w:sz w:val="24"/>
          <w:szCs w:val="24"/>
        </w:rPr>
        <w:t>GWAUNZA DCJ, GOWORA JA &amp; MAKONI JA</w:t>
      </w:r>
    </w:p>
    <w:p w:rsidR="008427C7" w:rsidRPr="008F198C" w:rsidRDefault="004157F4" w:rsidP="004157F4">
      <w:pPr>
        <w:spacing w:after="0"/>
        <w:rPr>
          <w:rFonts w:ascii="Times New Roman" w:hAnsi="Times New Roman" w:cs="Times New Roman"/>
          <w:b/>
          <w:sz w:val="24"/>
          <w:szCs w:val="24"/>
        </w:rPr>
      </w:pPr>
      <w:r w:rsidRPr="008F198C">
        <w:rPr>
          <w:rFonts w:ascii="Times New Roman" w:hAnsi="Times New Roman" w:cs="Times New Roman"/>
          <w:b/>
          <w:sz w:val="24"/>
          <w:szCs w:val="24"/>
        </w:rPr>
        <w:t>HARARE, SEPTEMBER 13, 2018</w:t>
      </w:r>
    </w:p>
    <w:p w:rsidR="008427C7" w:rsidRPr="008F198C" w:rsidRDefault="008427C7" w:rsidP="004157F4">
      <w:pPr>
        <w:spacing w:after="0"/>
        <w:rPr>
          <w:rFonts w:ascii="Times New Roman" w:hAnsi="Times New Roman" w:cs="Times New Roman"/>
          <w:sz w:val="24"/>
          <w:szCs w:val="24"/>
        </w:rPr>
      </w:pPr>
    </w:p>
    <w:p w:rsidR="004157F4" w:rsidRPr="008F198C" w:rsidRDefault="004157F4" w:rsidP="004157F4">
      <w:pPr>
        <w:spacing w:after="0"/>
        <w:rPr>
          <w:rFonts w:ascii="Times New Roman" w:hAnsi="Times New Roman" w:cs="Times New Roman"/>
          <w:sz w:val="24"/>
          <w:szCs w:val="24"/>
        </w:rPr>
      </w:pPr>
    </w:p>
    <w:p w:rsidR="004157F4" w:rsidRPr="008F198C" w:rsidRDefault="004157F4" w:rsidP="004157F4">
      <w:pPr>
        <w:spacing w:after="0"/>
        <w:rPr>
          <w:rFonts w:ascii="Times New Roman" w:hAnsi="Times New Roman" w:cs="Times New Roman"/>
          <w:sz w:val="24"/>
          <w:szCs w:val="24"/>
        </w:rPr>
      </w:pPr>
    </w:p>
    <w:p w:rsidR="008427C7" w:rsidRPr="008F198C" w:rsidRDefault="008427C7" w:rsidP="004157F4">
      <w:pPr>
        <w:spacing w:after="0" w:line="480" w:lineRule="auto"/>
        <w:rPr>
          <w:rFonts w:ascii="Times New Roman" w:hAnsi="Times New Roman" w:cs="Times New Roman"/>
          <w:sz w:val="24"/>
          <w:szCs w:val="24"/>
        </w:rPr>
      </w:pPr>
      <w:r w:rsidRPr="008F198C">
        <w:rPr>
          <w:rFonts w:ascii="Times New Roman" w:hAnsi="Times New Roman" w:cs="Times New Roman"/>
          <w:i/>
          <w:sz w:val="24"/>
          <w:szCs w:val="24"/>
        </w:rPr>
        <w:t>T</w:t>
      </w:r>
      <w:r w:rsidR="004157F4" w:rsidRPr="008F198C">
        <w:rPr>
          <w:rFonts w:ascii="Times New Roman" w:hAnsi="Times New Roman" w:cs="Times New Roman"/>
          <w:i/>
          <w:sz w:val="24"/>
          <w:szCs w:val="24"/>
        </w:rPr>
        <w:t>.</w:t>
      </w:r>
      <w:r w:rsidRPr="008F198C">
        <w:rPr>
          <w:rFonts w:ascii="Times New Roman" w:hAnsi="Times New Roman" w:cs="Times New Roman"/>
          <w:i/>
          <w:sz w:val="24"/>
          <w:szCs w:val="24"/>
        </w:rPr>
        <w:t xml:space="preserve"> T</w:t>
      </w:r>
      <w:r w:rsidR="004157F4" w:rsidRPr="008F198C">
        <w:rPr>
          <w:rFonts w:ascii="Times New Roman" w:hAnsi="Times New Roman" w:cs="Times New Roman"/>
          <w:i/>
          <w:sz w:val="24"/>
          <w:szCs w:val="24"/>
        </w:rPr>
        <w:t>.</w:t>
      </w:r>
      <w:r w:rsidRPr="008F198C">
        <w:rPr>
          <w:rFonts w:ascii="Times New Roman" w:hAnsi="Times New Roman" w:cs="Times New Roman"/>
          <w:i/>
          <w:sz w:val="24"/>
          <w:szCs w:val="24"/>
        </w:rPr>
        <w:t xml:space="preserve"> G</w:t>
      </w:r>
      <w:r w:rsidR="004157F4" w:rsidRPr="008F198C">
        <w:rPr>
          <w:rFonts w:ascii="Times New Roman" w:hAnsi="Times New Roman" w:cs="Times New Roman"/>
          <w:i/>
          <w:sz w:val="24"/>
          <w:szCs w:val="24"/>
        </w:rPr>
        <w:t>.</w:t>
      </w:r>
      <w:r w:rsidRPr="008F198C">
        <w:rPr>
          <w:rFonts w:ascii="Times New Roman" w:hAnsi="Times New Roman" w:cs="Times New Roman"/>
          <w:i/>
          <w:sz w:val="24"/>
          <w:szCs w:val="24"/>
        </w:rPr>
        <w:t xml:space="preserve"> Musarurwa</w:t>
      </w:r>
      <w:r w:rsidR="004157F4" w:rsidRPr="008F198C">
        <w:rPr>
          <w:rFonts w:ascii="Times New Roman" w:hAnsi="Times New Roman" w:cs="Times New Roman"/>
          <w:sz w:val="24"/>
          <w:szCs w:val="24"/>
        </w:rPr>
        <w:t>,</w:t>
      </w:r>
      <w:r w:rsidRPr="008F198C">
        <w:rPr>
          <w:rFonts w:ascii="Times New Roman" w:hAnsi="Times New Roman" w:cs="Times New Roman"/>
          <w:sz w:val="24"/>
          <w:szCs w:val="24"/>
        </w:rPr>
        <w:t xml:space="preserve"> for the appellants </w:t>
      </w:r>
    </w:p>
    <w:p w:rsidR="009F4D79" w:rsidRPr="008F198C" w:rsidRDefault="009F4D79" w:rsidP="004157F4">
      <w:pPr>
        <w:spacing w:after="0"/>
        <w:rPr>
          <w:rFonts w:ascii="Times New Roman" w:hAnsi="Times New Roman" w:cs="Times New Roman"/>
          <w:sz w:val="24"/>
          <w:szCs w:val="24"/>
        </w:rPr>
      </w:pPr>
      <w:r w:rsidRPr="008F198C">
        <w:rPr>
          <w:rFonts w:ascii="Times New Roman" w:hAnsi="Times New Roman" w:cs="Times New Roman"/>
          <w:i/>
          <w:sz w:val="24"/>
          <w:szCs w:val="24"/>
        </w:rPr>
        <w:t>T</w:t>
      </w:r>
      <w:r w:rsidR="004157F4" w:rsidRPr="008F198C">
        <w:rPr>
          <w:rFonts w:ascii="Times New Roman" w:hAnsi="Times New Roman" w:cs="Times New Roman"/>
          <w:i/>
          <w:sz w:val="24"/>
          <w:szCs w:val="24"/>
        </w:rPr>
        <w:t>.</w:t>
      </w:r>
      <w:r w:rsidRPr="008F198C">
        <w:rPr>
          <w:rFonts w:ascii="Times New Roman" w:hAnsi="Times New Roman" w:cs="Times New Roman"/>
          <w:i/>
          <w:sz w:val="24"/>
          <w:szCs w:val="24"/>
        </w:rPr>
        <w:t xml:space="preserve"> Mapfuwa</w:t>
      </w:r>
      <w:r w:rsidR="004157F4" w:rsidRPr="008F198C">
        <w:rPr>
          <w:rFonts w:ascii="Times New Roman" w:hAnsi="Times New Roman" w:cs="Times New Roman"/>
          <w:sz w:val="24"/>
          <w:szCs w:val="24"/>
        </w:rPr>
        <w:t>,</w:t>
      </w:r>
      <w:r w:rsidRPr="008F198C">
        <w:rPr>
          <w:rFonts w:ascii="Times New Roman" w:hAnsi="Times New Roman" w:cs="Times New Roman"/>
          <w:sz w:val="24"/>
          <w:szCs w:val="24"/>
        </w:rPr>
        <w:t xml:space="preserve"> for the State</w:t>
      </w:r>
    </w:p>
    <w:p w:rsidR="009F4D79" w:rsidRPr="008F198C" w:rsidRDefault="009F4D79" w:rsidP="004157F4">
      <w:pPr>
        <w:spacing w:after="0"/>
        <w:rPr>
          <w:rFonts w:ascii="Times New Roman" w:hAnsi="Times New Roman" w:cs="Times New Roman"/>
          <w:sz w:val="24"/>
          <w:szCs w:val="24"/>
        </w:rPr>
      </w:pPr>
    </w:p>
    <w:p w:rsidR="004157F4" w:rsidRPr="008F198C" w:rsidRDefault="004157F4" w:rsidP="004157F4">
      <w:pPr>
        <w:spacing w:after="0"/>
        <w:rPr>
          <w:rFonts w:ascii="Times New Roman" w:hAnsi="Times New Roman" w:cs="Times New Roman"/>
          <w:sz w:val="24"/>
          <w:szCs w:val="24"/>
        </w:rPr>
      </w:pPr>
    </w:p>
    <w:p w:rsidR="004157F4" w:rsidRPr="008F198C" w:rsidRDefault="004157F4" w:rsidP="004157F4">
      <w:pPr>
        <w:spacing w:after="0"/>
        <w:rPr>
          <w:rFonts w:ascii="Times New Roman" w:hAnsi="Times New Roman" w:cs="Times New Roman"/>
          <w:sz w:val="24"/>
          <w:szCs w:val="24"/>
        </w:rPr>
      </w:pPr>
    </w:p>
    <w:p w:rsidR="009F4D79" w:rsidRPr="008F198C" w:rsidRDefault="009F4D79" w:rsidP="004157F4">
      <w:pPr>
        <w:spacing w:after="0"/>
        <w:rPr>
          <w:rFonts w:ascii="Times New Roman" w:hAnsi="Times New Roman" w:cs="Times New Roman"/>
          <w:b/>
          <w:sz w:val="24"/>
          <w:szCs w:val="24"/>
        </w:rPr>
      </w:pPr>
      <w:r w:rsidRPr="008F198C">
        <w:rPr>
          <w:rFonts w:ascii="Times New Roman" w:hAnsi="Times New Roman" w:cs="Times New Roman"/>
          <w:b/>
          <w:sz w:val="24"/>
          <w:szCs w:val="24"/>
        </w:rPr>
        <w:t>GOWORA</w:t>
      </w:r>
      <w:r w:rsidR="00AE1011" w:rsidRPr="008F198C">
        <w:rPr>
          <w:rFonts w:ascii="Times New Roman" w:hAnsi="Times New Roman" w:cs="Times New Roman"/>
          <w:b/>
          <w:sz w:val="24"/>
          <w:szCs w:val="24"/>
        </w:rPr>
        <w:t xml:space="preserve"> JA</w:t>
      </w:r>
    </w:p>
    <w:p w:rsidR="009F4D79" w:rsidRPr="008F198C" w:rsidRDefault="009F4D79" w:rsidP="004157F4">
      <w:pPr>
        <w:spacing w:after="0"/>
        <w:rPr>
          <w:rFonts w:ascii="Times New Roman" w:hAnsi="Times New Roman" w:cs="Times New Roman"/>
          <w:sz w:val="24"/>
          <w:szCs w:val="24"/>
        </w:rPr>
      </w:pPr>
    </w:p>
    <w:p w:rsidR="00387A89"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[1]</w:t>
      </w:r>
      <w:r w:rsidRPr="008F198C">
        <w:rPr>
          <w:rFonts w:ascii="Times New Roman" w:hAnsi="Times New Roman" w:cs="Times New Roman"/>
          <w:sz w:val="24"/>
          <w:szCs w:val="24"/>
        </w:rPr>
        <w:tab/>
      </w:r>
      <w:r w:rsidR="009F4D79" w:rsidRPr="008F198C">
        <w:rPr>
          <w:rFonts w:ascii="Times New Roman" w:hAnsi="Times New Roman" w:cs="Times New Roman"/>
          <w:sz w:val="24"/>
          <w:szCs w:val="24"/>
        </w:rPr>
        <w:t xml:space="preserve">This is an appeal against a judgment of the High Court which dismissed an appeal </w:t>
      </w:r>
      <w:r w:rsidR="00387A89" w:rsidRPr="008F198C">
        <w:rPr>
          <w:rFonts w:ascii="Times New Roman" w:hAnsi="Times New Roman" w:cs="Times New Roman"/>
          <w:sz w:val="24"/>
          <w:szCs w:val="24"/>
        </w:rPr>
        <w:t>mounted by the appellants after their conviction by the magistrates cour</w:t>
      </w:r>
      <w:r w:rsidR="004157F4" w:rsidRPr="008F198C">
        <w:rPr>
          <w:rFonts w:ascii="Times New Roman" w:hAnsi="Times New Roman" w:cs="Times New Roman"/>
          <w:sz w:val="24"/>
          <w:szCs w:val="24"/>
        </w:rPr>
        <w:t>t on a charge of contravening s </w:t>
      </w:r>
      <w:r w:rsidR="00387A89" w:rsidRPr="008F198C">
        <w:rPr>
          <w:rFonts w:ascii="Times New Roman" w:hAnsi="Times New Roman" w:cs="Times New Roman"/>
          <w:sz w:val="24"/>
          <w:szCs w:val="24"/>
        </w:rPr>
        <w:t>136 of the Criminal Law</w:t>
      </w:r>
      <w:r w:rsidR="004157F4" w:rsidRPr="008F198C">
        <w:rPr>
          <w:rFonts w:ascii="Times New Roman" w:hAnsi="Times New Roman" w:cs="Times New Roman"/>
          <w:sz w:val="24"/>
          <w:szCs w:val="24"/>
        </w:rPr>
        <w:t xml:space="preserve"> </w:t>
      </w:r>
      <w:r w:rsidR="00387A89" w:rsidRPr="008F198C">
        <w:rPr>
          <w:rFonts w:ascii="Times New Roman" w:hAnsi="Times New Roman" w:cs="Times New Roman"/>
          <w:sz w:val="24"/>
          <w:szCs w:val="24"/>
        </w:rPr>
        <w:t>(Codification and Reform) Act, [</w:t>
      </w:r>
      <w:r w:rsidR="00387A89" w:rsidRPr="008F198C">
        <w:rPr>
          <w:rFonts w:ascii="Times New Roman" w:hAnsi="Times New Roman" w:cs="Times New Roman"/>
          <w:i/>
          <w:sz w:val="24"/>
          <w:szCs w:val="24"/>
        </w:rPr>
        <w:t>Chapt</w:t>
      </w:r>
      <w:r w:rsidR="004157F4" w:rsidRPr="008F198C">
        <w:rPr>
          <w:rFonts w:ascii="Times New Roman" w:hAnsi="Times New Roman" w:cs="Times New Roman"/>
          <w:i/>
          <w:sz w:val="24"/>
          <w:szCs w:val="24"/>
        </w:rPr>
        <w:t>er </w:t>
      </w:r>
      <w:r w:rsidR="00387A89" w:rsidRPr="008F198C">
        <w:rPr>
          <w:rFonts w:ascii="Times New Roman" w:hAnsi="Times New Roman" w:cs="Times New Roman"/>
          <w:i/>
          <w:sz w:val="24"/>
          <w:szCs w:val="24"/>
        </w:rPr>
        <w:t>9:23</w:t>
      </w:r>
      <w:r w:rsidR="00387A89" w:rsidRPr="008F198C">
        <w:rPr>
          <w:rFonts w:ascii="Times New Roman" w:hAnsi="Times New Roman" w:cs="Times New Roman"/>
          <w:sz w:val="24"/>
          <w:szCs w:val="24"/>
        </w:rPr>
        <w:t>]</w:t>
      </w:r>
      <w:r w:rsidR="0084542D" w:rsidRPr="008F198C">
        <w:rPr>
          <w:rFonts w:ascii="Times New Roman" w:hAnsi="Times New Roman" w:cs="Times New Roman"/>
          <w:sz w:val="24"/>
          <w:szCs w:val="24"/>
        </w:rPr>
        <w:t>, (the “Criminal Code”)</w:t>
      </w:r>
      <w:r w:rsidR="00387A89" w:rsidRPr="008F198C">
        <w:rPr>
          <w:rFonts w:ascii="Times New Roman" w:hAnsi="Times New Roman" w:cs="Times New Roman"/>
          <w:sz w:val="24"/>
          <w:szCs w:val="24"/>
        </w:rPr>
        <w:t>. Pursuant to the conviction, each of the appellants was sentenced to a term of 24 months imprisonment with six months being suspended on conditions of good behavior.</w:t>
      </w:r>
    </w:p>
    <w:p w:rsidR="004157F4" w:rsidRPr="008F198C" w:rsidRDefault="004157F4" w:rsidP="004157F4">
      <w:pPr>
        <w:spacing w:after="0" w:line="480" w:lineRule="auto"/>
        <w:ind w:firstLine="1134"/>
        <w:jc w:val="both"/>
        <w:rPr>
          <w:rFonts w:ascii="Times New Roman" w:hAnsi="Times New Roman" w:cs="Times New Roman"/>
          <w:sz w:val="24"/>
          <w:szCs w:val="24"/>
        </w:rPr>
      </w:pPr>
    </w:p>
    <w:p w:rsidR="00CF2B64"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[2]</w:t>
      </w:r>
      <w:r w:rsidRPr="008F198C">
        <w:rPr>
          <w:rFonts w:ascii="Times New Roman" w:hAnsi="Times New Roman" w:cs="Times New Roman"/>
          <w:sz w:val="24"/>
          <w:szCs w:val="24"/>
        </w:rPr>
        <w:tab/>
      </w:r>
      <w:r w:rsidR="00387A89" w:rsidRPr="008F198C">
        <w:rPr>
          <w:rFonts w:ascii="Times New Roman" w:hAnsi="Times New Roman" w:cs="Times New Roman"/>
          <w:sz w:val="24"/>
          <w:szCs w:val="24"/>
        </w:rPr>
        <w:t xml:space="preserve">After hearing the parties, the </w:t>
      </w:r>
      <w:r w:rsidR="00CF2B64" w:rsidRPr="008F198C">
        <w:rPr>
          <w:rFonts w:ascii="Times New Roman" w:hAnsi="Times New Roman" w:cs="Times New Roman"/>
          <w:sz w:val="24"/>
          <w:szCs w:val="24"/>
        </w:rPr>
        <w:t>court dismissed the appeal in its entirety and indicated that our reasons would follow. These are they.</w:t>
      </w:r>
    </w:p>
    <w:p w:rsidR="004157F4" w:rsidRPr="008F198C" w:rsidRDefault="004157F4" w:rsidP="004157F4">
      <w:pPr>
        <w:spacing w:after="0" w:line="480" w:lineRule="auto"/>
        <w:ind w:firstLine="1134"/>
        <w:jc w:val="both"/>
        <w:rPr>
          <w:rFonts w:ascii="Times New Roman" w:hAnsi="Times New Roman" w:cs="Times New Roman"/>
          <w:sz w:val="24"/>
          <w:szCs w:val="24"/>
        </w:rPr>
      </w:pPr>
    </w:p>
    <w:p w:rsidR="00CF2B64"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[3]</w:t>
      </w:r>
      <w:r w:rsidRPr="008F198C">
        <w:rPr>
          <w:rFonts w:ascii="Times New Roman" w:hAnsi="Times New Roman" w:cs="Times New Roman"/>
          <w:sz w:val="24"/>
          <w:szCs w:val="24"/>
        </w:rPr>
        <w:tab/>
      </w:r>
      <w:r w:rsidR="00CF2B64" w:rsidRPr="008F198C">
        <w:rPr>
          <w:rFonts w:ascii="Times New Roman" w:hAnsi="Times New Roman" w:cs="Times New Roman"/>
          <w:sz w:val="24"/>
          <w:szCs w:val="24"/>
        </w:rPr>
        <w:t xml:space="preserve">The common cause facts which are </w:t>
      </w:r>
      <w:r w:rsidR="00A37C66">
        <w:rPr>
          <w:rFonts w:ascii="Times New Roman" w:hAnsi="Times New Roman" w:cs="Times New Roman"/>
          <w:sz w:val="24"/>
          <w:szCs w:val="24"/>
        </w:rPr>
        <w:t>the following</w:t>
      </w:r>
      <w:r w:rsidR="004157F4" w:rsidRPr="008F198C">
        <w:rPr>
          <w:rFonts w:ascii="Times New Roman" w:hAnsi="Times New Roman" w:cs="Times New Roman"/>
          <w:sz w:val="24"/>
          <w:szCs w:val="24"/>
        </w:rPr>
        <w:t>:</w:t>
      </w:r>
      <w:r w:rsidR="00CF2B64" w:rsidRPr="008F198C">
        <w:rPr>
          <w:rFonts w:ascii="Times New Roman" w:hAnsi="Times New Roman" w:cs="Times New Roman"/>
          <w:sz w:val="24"/>
          <w:szCs w:val="24"/>
        </w:rPr>
        <w:t xml:space="preserve"> </w:t>
      </w:r>
    </w:p>
    <w:p w:rsidR="00CF2B64" w:rsidRPr="008F198C" w:rsidRDefault="00CF2B64" w:rsidP="0026634F">
      <w:pPr>
        <w:spacing w:after="0" w:line="480" w:lineRule="auto"/>
        <w:ind w:left="720" w:firstLine="414"/>
        <w:jc w:val="both"/>
        <w:rPr>
          <w:rFonts w:ascii="Times New Roman" w:hAnsi="Times New Roman" w:cs="Times New Roman"/>
          <w:sz w:val="24"/>
          <w:szCs w:val="24"/>
        </w:rPr>
      </w:pPr>
      <w:r w:rsidRPr="008F198C">
        <w:rPr>
          <w:rFonts w:ascii="Times New Roman" w:hAnsi="Times New Roman" w:cs="Times New Roman"/>
          <w:sz w:val="24"/>
          <w:szCs w:val="24"/>
        </w:rPr>
        <w:lastRenderedPageBreak/>
        <w:t>The appellants are husband and wife. Sometime in 2009, the appellants and one Effie Zituta (the complainant) entered into an agreement in terms of which the latter leased her residential property to the appellants. The appellants were</w:t>
      </w:r>
      <w:r w:rsidR="000F5CEA" w:rsidRPr="008F198C">
        <w:rPr>
          <w:rFonts w:ascii="Times New Roman" w:hAnsi="Times New Roman" w:cs="Times New Roman"/>
          <w:sz w:val="24"/>
          <w:szCs w:val="24"/>
        </w:rPr>
        <w:t>,</w:t>
      </w:r>
      <w:r w:rsidRPr="008F198C">
        <w:rPr>
          <w:rFonts w:ascii="Times New Roman" w:hAnsi="Times New Roman" w:cs="Times New Roman"/>
          <w:sz w:val="24"/>
          <w:szCs w:val="24"/>
        </w:rPr>
        <w:t xml:space="preserve"> apart from paying rentals for the property, required to look after and secure the contents of container</w:t>
      </w:r>
      <w:r w:rsidR="000F5CEA" w:rsidRPr="008F198C">
        <w:rPr>
          <w:rFonts w:ascii="Times New Roman" w:hAnsi="Times New Roman" w:cs="Times New Roman"/>
          <w:sz w:val="24"/>
          <w:szCs w:val="24"/>
        </w:rPr>
        <w:t>s which were</w:t>
      </w:r>
      <w:r w:rsidRPr="008F198C">
        <w:rPr>
          <w:rFonts w:ascii="Times New Roman" w:hAnsi="Times New Roman" w:cs="Times New Roman"/>
          <w:sz w:val="24"/>
          <w:szCs w:val="24"/>
        </w:rPr>
        <w:t xml:space="preserve"> kept at the property in question. It is common cause that the complainant was residing in Namibia where she was employed. </w:t>
      </w:r>
    </w:p>
    <w:p w:rsidR="004157F4" w:rsidRPr="008F198C" w:rsidRDefault="004157F4" w:rsidP="004157F4">
      <w:pPr>
        <w:spacing w:after="0" w:line="480" w:lineRule="auto"/>
        <w:ind w:firstLine="1134"/>
        <w:jc w:val="both"/>
        <w:rPr>
          <w:rFonts w:ascii="Times New Roman" w:hAnsi="Times New Roman" w:cs="Times New Roman"/>
          <w:sz w:val="24"/>
          <w:szCs w:val="24"/>
        </w:rPr>
      </w:pPr>
    </w:p>
    <w:p w:rsid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[4]</w:t>
      </w:r>
      <w:r w:rsidRPr="008F198C">
        <w:rPr>
          <w:rFonts w:ascii="Times New Roman" w:hAnsi="Times New Roman" w:cs="Times New Roman"/>
          <w:sz w:val="24"/>
          <w:szCs w:val="24"/>
        </w:rPr>
        <w:tab/>
      </w:r>
      <w:r w:rsidR="00CF2B64" w:rsidRPr="008F198C">
        <w:rPr>
          <w:rFonts w:ascii="Times New Roman" w:hAnsi="Times New Roman" w:cs="Times New Roman"/>
          <w:sz w:val="24"/>
          <w:szCs w:val="24"/>
        </w:rPr>
        <w:t xml:space="preserve">In June of the same year, the complainant’s sister discovered that the appellants had stolen hardware material that had been stored in </w:t>
      </w:r>
      <w:r w:rsidR="00BA1EE9" w:rsidRPr="008F198C">
        <w:rPr>
          <w:rFonts w:ascii="Times New Roman" w:hAnsi="Times New Roman" w:cs="Times New Roman"/>
          <w:sz w:val="24"/>
          <w:szCs w:val="24"/>
        </w:rPr>
        <w:t>the containers. On 25 June 2009 both were arrested on allegations of theft. They admitted that they had stolen the property in question and offered to settle the matter with the complainant. They then suggested that a property registered in the name of Zancomm Services (Pvt) Ltd in which they were directors and had beneficial interests be pledged a</w:t>
      </w:r>
      <w:r w:rsidR="000F5CEA" w:rsidRPr="008F198C">
        <w:rPr>
          <w:rFonts w:ascii="Times New Roman" w:hAnsi="Times New Roman" w:cs="Times New Roman"/>
          <w:sz w:val="24"/>
          <w:szCs w:val="24"/>
        </w:rPr>
        <w:t>s</w:t>
      </w:r>
      <w:r w:rsidR="00BA1EE9" w:rsidRPr="008F198C">
        <w:rPr>
          <w:rFonts w:ascii="Times New Roman" w:hAnsi="Times New Roman" w:cs="Times New Roman"/>
          <w:sz w:val="24"/>
          <w:szCs w:val="24"/>
        </w:rPr>
        <w:t xml:space="preserve"> security for the due payment of the debt by them.</w:t>
      </w:r>
    </w:p>
    <w:p w:rsidR="00BA1EE9" w:rsidRPr="008F198C" w:rsidRDefault="00BA1EE9"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 xml:space="preserve"> </w:t>
      </w:r>
    </w:p>
    <w:p w:rsidR="004C7EA4"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[5]</w:t>
      </w:r>
      <w:r w:rsidRPr="008F198C">
        <w:rPr>
          <w:rFonts w:ascii="Times New Roman" w:hAnsi="Times New Roman" w:cs="Times New Roman"/>
          <w:sz w:val="24"/>
          <w:szCs w:val="24"/>
        </w:rPr>
        <w:tab/>
      </w:r>
      <w:r w:rsidR="00BA1EE9" w:rsidRPr="008F198C">
        <w:rPr>
          <w:rFonts w:ascii="Times New Roman" w:hAnsi="Times New Roman" w:cs="Times New Roman"/>
          <w:sz w:val="24"/>
          <w:szCs w:val="24"/>
        </w:rPr>
        <w:t xml:space="preserve">Following upon the offer the appellants were released from custody. A memorandum of </w:t>
      </w:r>
      <w:r w:rsidR="00FB6B71" w:rsidRPr="008F198C">
        <w:rPr>
          <w:rFonts w:ascii="Times New Roman" w:hAnsi="Times New Roman" w:cs="Times New Roman"/>
          <w:sz w:val="24"/>
          <w:szCs w:val="24"/>
        </w:rPr>
        <w:t>understanding</w:t>
      </w:r>
      <w:r w:rsidR="00BA1EE9" w:rsidRPr="008F198C">
        <w:rPr>
          <w:rFonts w:ascii="Times New Roman" w:hAnsi="Times New Roman" w:cs="Times New Roman"/>
          <w:sz w:val="24"/>
          <w:szCs w:val="24"/>
        </w:rPr>
        <w:t xml:space="preserve"> was executed recording their agreement and the immovable property was duly pledged as security for payment by the appellants of an amount of </w:t>
      </w:r>
      <w:r w:rsidR="00852518" w:rsidRPr="008F198C">
        <w:rPr>
          <w:rFonts w:ascii="Times New Roman" w:hAnsi="Times New Roman" w:cs="Times New Roman"/>
          <w:sz w:val="24"/>
          <w:szCs w:val="24"/>
        </w:rPr>
        <w:t xml:space="preserve">US27 473. It was a term of the agreement that if the appellants failed to pay the amount in question within a stipulated period the complainant could take transfer of the immovable property. The original deeds of title were handed over to the complainant’s duly appointed representative. </w:t>
      </w:r>
      <w:r w:rsidR="00BA1EE9" w:rsidRPr="008F198C">
        <w:rPr>
          <w:rFonts w:ascii="Times New Roman" w:hAnsi="Times New Roman" w:cs="Times New Roman"/>
          <w:sz w:val="24"/>
          <w:szCs w:val="24"/>
        </w:rPr>
        <w:t xml:space="preserve"> </w:t>
      </w:r>
    </w:p>
    <w:p w:rsidR="00FB6B71" w:rsidRPr="008F198C" w:rsidRDefault="00BA1EE9" w:rsidP="004157F4">
      <w:pPr>
        <w:spacing w:after="0" w:line="480" w:lineRule="auto"/>
        <w:ind w:firstLine="1134"/>
        <w:jc w:val="both"/>
        <w:rPr>
          <w:rFonts w:ascii="Times New Roman" w:hAnsi="Times New Roman" w:cs="Times New Roman"/>
          <w:sz w:val="24"/>
          <w:szCs w:val="24"/>
        </w:rPr>
      </w:pPr>
      <w:r w:rsidRPr="008F198C">
        <w:rPr>
          <w:rFonts w:ascii="Times New Roman" w:hAnsi="Times New Roman" w:cs="Times New Roman"/>
          <w:sz w:val="24"/>
          <w:szCs w:val="24"/>
        </w:rPr>
        <w:tab/>
      </w:r>
      <w:r w:rsidR="00CF2B64" w:rsidRPr="008F198C">
        <w:rPr>
          <w:rFonts w:ascii="Times New Roman" w:hAnsi="Times New Roman" w:cs="Times New Roman"/>
          <w:sz w:val="24"/>
          <w:szCs w:val="24"/>
        </w:rPr>
        <w:t xml:space="preserve">    </w:t>
      </w:r>
    </w:p>
    <w:p w:rsidR="004C7EA4"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[6]</w:t>
      </w:r>
      <w:r w:rsidRPr="008F198C">
        <w:rPr>
          <w:rFonts w:ascii="Times New Roman" w:hAnsi="Times New Roman" w:cs="Times New Roman"/>
          <w:sz w:val="24"/>
          <w:szCs w:val="24"/>
        </w:rPr>
        <w:tab/>
      </w:r>
      <w:r w:rsidR="00FB6B71" w:rsidRPr="008F198C">
        <w:rPr>
          <w:rFonts w:ascii="Times New Roman" w:hAnsi="Times New Roman" w:cs="Times New Roman"/>
          <w:sz w:val="24"/>
          <w:szCs w:val="24"/>
        </w:rPr>
        <w:t xml:space="preserve">It is common cause that the appellants did not pay the debt. </w:t>
      </w:r>
      <w:r w:rsidR="004A7D0C" w:rsidRPr="008F198C">
        <w:rPr>
          <w:rFonts w:ascii="Times New Roman" w:hAnsi="Times New Roman" w:cs="Times New Roman"/>
          <w:sz w:val="24"/>
          <w:szCs w:val="24"/>
        </w:rPr>
        <w:t>Despite the pledge and the memorandum of understanding</w:t>
      </w:r>
      <w:r w:rsidR="000F5CEA" w:rsidRPr="008F198C">
        <w:rPr>
          <w:rFonts w:ascii="Times New Roman" w:hAnsi="Times New Roman" w:cs="Times New Roman"/>
          <w:sz w:val="24"/>
          <w:szCs w:val="24"/>
        </w:rPr>
        <w:t>,</w:t>
      </w:r>
      <w:r w:rsidR="004A7D0C" w:rsidRPr="008F198C">
        <w:rPr>
          <w:rFonts w:ascii="Times New Roman" w:hAnsi="Times New Roman" w:cs="Times New Roman"/>
          <w:sz w:val="24"/>
          <w:szCs w:val="24"/>
        </w:rPr>
        <w:t xml:space="preserve"> the appellants sold the property</w:t>
      </w:r>
      <w:r w:rsidR="00FB6B71" w:rsidRPr="008F198C">
        <w:rPr>
          <w:rFonts w:ascii="Times New Roman" w:hAnsi="Times New Roman" w:cs="Times New Roman"/>
          <w:sz w:val="24"/>
          <w:szCs w:val="24"/>
        </w:rPr>
        <w:t xml:space="preserve"> to one Freddy </w:t>
      </w:r>
      <w:r w:rsidR="00FB6B71" w:rsidRPr="008F198C">
        <w:rPr>
          <w:rFonts w:ascii="Times New Roman" w:hAnsi="Times New Roman" w:cs="Times New Roman"/>
          <w:sz w:val="24"/>
          <w:szCs w:val="24"/>
        </w:rPr>
        <w:lastRenderedPageBreak/>
        <w:t>Matukanzvimbo who took transfer in 2012. In order to cause transfer to be effected the appellants made an application to the Registrar of Deeds alleging that they had lost or misplaced the original title deeds. A replacement deed of title was issued to them and they were able to transfer the property to the purchaser</w:t>
      </w:r>
      <w:r w:rsidR="00BE4778" w:rsidRPr="008F198C">
        <w:rPr>
          <w:rFonts w:ascii="Times New Roman" w:hAnsi="Times New Roman" w:cs="Times New Roman"/>
          <w:sz w:val="24"/>
          <w:szCs w:val="24"/>
        </w:rPr>
        <w:t xml:space="preserve">. This process enabled them to </w:t>
      </w:r>
      <w:r w:rsidR="00FB6B71" w:rsidRPr="008F198C">
        <w:rPr>
          <w:rFonts w:ascii="Times New Roman" w:hAnsi="Times New Roman" w:cs="Times New Roman"/>
          <w:sz w:val="24"/>
          <w:szCs w:val="24"/>
        </w:rPr>
        <w:t xml:space="preserve">bypass the memorandum of understanding without recourse to the original title deeds </w:t>
      </w:r>
      <w:r w:rsidR="00BE4778" w:rsidRPr="008F198C">
        <w:rPr>
          <w:rFonts w:ascii="Times New Roman" w:hAnsi="Times New Roman" w:cs="Times New Roman"/>
          <w:sz w:val="24"/>
          <w:szCs w:val="24"/>
        </w:rPr>
        <w:t xml:space="preserve">which were </w:t>
      </w:r>
      <w:r w:rsidR="00FB6B71" w:rsidRPr="008F198C">
        <w:rPr>
          <w:rFonts w:ascii="Times New Roman" w:hAnsi="Times New Roman" w:cs="Times New Roman"/>
          <w:sz w:val="24"/>
          <w:szCs w:val="24"/>
        </w:rPr>
        <w:t xml:space="preserve">held by the complainant as security under the memorandum of understanding. </w:t>
      </w:r>
      <w:r w:rsidR="007933B5" w:rsidRPr="008F198C">
        <w:rPr>
          <w:rFonts w:ascii="Times New Roman" w:hAnsi="Times New Roman" w:cs="Times New Roman"/>
          <w:sz w:val="24"/>
          <w:szCs w:val="24"/>
        </w:rPr>
        <w:t xml:space="preserve">These actions led to their arrest and subsequent conviction for fraud. </w:t>
      </w:r>
    </w:p>
    <w:p w:rsidR="009F4D79" w:rsidRPr="008F198C" w:rsidRDefault="009F4D79" w:rsidP="004C7EA4">
      <w:pPr>
        <w:spacing w:after="0" w:line="480" w:lineRule="auto"/>
        <w:ind w:firstLine="1134"/>
        <w:jc w:val="both"/>
        <w:rPr>
          <w:rFonts w:ascii="Times New Roman" w:hAnsi="Times New Roman" w:cs="Times New Roman"/>
          <w:sz w:val="24"/>
          <w:szCs w:val="24"/>
        </w:rPr>
      </w:pPr>
      <w:r w:rsidRPr="008F198C">
        <w:rPr>
          <w:rFonts w:ascii="Times New Roman" w:hAnsi="Times New Roman" w:cs="Times New Roman"/>
          <w:sz w:val="24"/>
          <w:szCs w:val="24"/>
        </w:rPr>
        <w:t xml:space="preserve"> </w:t>
      </w:r>
    </w:p>
    <w:p w:rsidR="0084542D"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[7]</w:t>
      </w:r>
      <w:r w:rsidRPr="008F198C">
        <w:rPr>
          <w:rFonts w:ascii="Times New Roman" w:hAnsi="Times New Roman" w:cs="Times New Roman"/>
          <w:sz w:val="24"/>
          <w:szCs w:val="24"/>
        </w:rPr>
        <w:tab/>
      </w:r>
      <w:r w:rsidR="007933B5" w:rsidRPr="008F198C">
        <w:rPr>
          <w:rFonts w:ascii="Times New Roman" w:hAnsi="Times New Roman" w:cs="Times New Roman"/>
          <w:sz w:val="24"/>
          <w:szCs w:val="24"/>
        </w:rPr>
        <w:t>Although before the High Court they sought to challeng</w:t>
      </w:r>
      <w:r w:rsidR="0084542D" w:rsidRPr="008F198C">
        <w:rPr>
          <w:rFonts w:ascii="Times New Roman" w:hAnsi="Times New Roman" w:cs="Times New Roman"/>
          <w:sz w:val="24"/>
          <w:szCs w:val="24"/>
        </w:rPr>
        <w:t>e</w:t>
      </w:r>
      <w:r w:rsidR="007933B5" w:rsidRPr="008F198C">
        <w:rPr>
          <w:rFonts w:ascii="Times New Roman" w:hAnsi="Times New Roman" w:cs="Times New Roman"/>
          <w:sz w:val="24"/>
          <w:szCs w:val="24"/>
        </w:rPr>
        <w:t xml:space="preserve"> the facts upon which the conviction was premised, before us, Mr</w:t>
      </w:r>
      <w:r w:rsidR="004C7EA4" w:rsidRPr="008F198C">
        <w:rPr>
          <w:rFonts w:ascii="Times New Roman" w:hAnsi="Times New Roman" w:cs="Times New Roman"/>
          <w:sz w:val="24"/>
          <w:szCs w:val="24"/>
        </w:rPr>
        <w:t> </w:t>
      </w:r>
      <w:r w:rsidR="007933B5" w:rsidRPr="008F198C">
        <w:rPr>
          <w:rFonts w:ascii="Times New Roman" w:hAnsi="Times New Roman" w:cs="Times New Roman"/>
          <w:i/>
          <w:sz w:val="24"/>
          <w:szCs w:val="24"/>
        </w:rPr>
        <w:t>Musarurwa</w:t>
      </w:r>
      <w:r w:rsidR="007933B5" w:rsidRPr="008F198C">
        <w:rPr>
          <w:rFonts w:ascii="Times New Roman" w:hAnsi="Times New Roman" w:cs="Times New Roman"/>
          <w:sz w:val="24"/>
          <w:szCs w:val="24"/>
        </w:rPr>
        <w:t xml:space="preserve"> accepted that the findings of fact by the magistrates court and confirmed on appeal by the High Court could not be assailed. </w:t>
      </w:r>
      <w:r w:rsidR="00E76EAC" w:rsidRPr="008F198C">
        <w:rPr>
          <w:rFonts w:ascii="Times New Roman" w:hAnsi="Times New Roman" w:cs="Times New Roman"/>
          <w:sz w:val="24"/>
          <w:szCs w:val="24"/>
        </w:rPr>
        <w:t>In my view this concession is proper.</w:t>
      </w:r>
      <w:r w:rsidR="007933B5" w:rsidRPr="008F198C">
        <w:rPr>
          <w:rFonts w:ascii="Times New Roman" w:hAnsi="Times New Roman" w:cs="Times New Roman"/>
          <w:sz w:val="24"/>
          <w:szCs w:val="24"/>
        </w:rPr>
        <w:t xml:space="preserve"> </w:t>
      </w:r>
    </w:p>
    <w:p w:rsidR="004C7EA4" w:rsidRPr="008F198C" w:rsidRDefault="004C7EA4" w:rsidP="004C7EA4">
      <w:pPr>
        <w:spacing w:after="0" w:line="480" w:lineRule="auto"/>
        <w:ind w:firstLine="1134"/>
        <w:jc w:val="both"/>
        <w:rPr>
          <w:rFonts w:ascii="Times New Roman" w:hAnsi="Times New Roman" w:cs="Times New Roman"/>
          <w:sz w:val="24"/>
          <w:szCs w:val="24"/>
        </w:rPr>
      </w:pPr>
    </w:p>
    <w:p w:rsidR="007933B5"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[8]</w:t>
      </w:r>
      <w:r w:rsidRPr="008F198C">
        <w:rPr>
          <w:rFonts w:ascii="Times New Roman" w:hAnsi="Times New Roman" w:cs="Times New Roman"/>
          <w:sz w:val="24"/>
          <w:szCs w:val="24"/>
        </w:rPr>
        <w:tab/>
      </w:r>
      <w:r w:rsidR="0084542D" w:rsidRPr="008F198C">
        <w:rPr>
          <w:rFonts w:ascii="Times New Roman" w:hAnsi="Times New Roman" w:cs="Times New Roman"/>
          <w:sz w:val="24"/>
          <w:szCs w:val="24"/>
        </w:rPr>
        <w:t xml:space="preserve">According to Mr </w:t>
      </w:r>
      <w:r w:rsidR="0084542D" w:rsidRPr="008F198C">
        <w:rPr>
          <w:rFonts w:ascii="Times New Roman" w:hAnsi="Times New Roman" w:cs="Times New Roman"/>
          <w:i/>
          <w:sz w:val="24"/>
          <w:szCs w:val="24"/>
        </w:rPr>
        <w:t>Musarurwa</w:t>
      </w:r>
      <w:r w:rsidR="0084542D" w:rsidRPr="008F198C">
        <w:rPr>
          <w:rFonts w:ascii="Times New Roman" w:hAnsi="Times New Roman" w:cs="Times New Roman"/>
          <w:sz w:val="24"/>
          <w:szCs w:val="24"/>
        </w:rPr>
        <w:t>, the appellants take issue with the reasoning by the court in rela</w:t>
      </w:r>
      <w:r w:rsidR="004C7EA4" w:rsidRPr="008F198C">
        <w:rPr>
          <w:rFonts w:ascii="Times New Roman" w:hAnsi="Times New Roman" w:cs="Times New Roman"/>
          <w:sz w:val="24"/>
          <w:szCs w:val="24"/>
        </w:rPr>
        <w:t>tion to its interpretation of s </w:t>
      </w:r>
      <w:r w:rsidR="0084542D" w:rsidRPr="008F198C">
        <w:rPr>
          <w:rFonts w:ascii="Times New Roman" w:hAnsi="Times New Roman" w:cs="Times New Roman"/>
          <w:sz w:val="24"/>
          <w:szCs w:val="24"/>
        </w:rPr>
        <w:t>157 of the Criminal Code.</w:t>
      </w:r>
      <w:r w:rsidR="004713DE" w:rsidRPr="008F198C">
        <w:rPr>
          <w:rFonts w:ascii="Times New Roman" w:hAnsi="Times New Roman" w:cs="Times New Roman"/>
          <w:sz w:val="24"/>
          <w:szCs w:val="24"/>
        </w:rPr>
        <w:t xml:space="preserve"> The sole ground of appeal upon which</w:t>
      </w:r>
      <w:r w:rsidR="004C7EA4" w:rsidRPr="008F198C">
        <w:rPr>
          <w:rFonts w:ascii="Times New Roman" w:hAnsi="Times New Roman" w:cs="Times New Roman"/>
          <w:sz w:val="24"/>
          <w:szCs w:val="24"/>
        </w:rPr>
        <w:t xml:space="preserve"> the appellant approached this C</w:t>
      </w:r>
      <w:r w:rsidR="004713DE" w:rsidRPr="008F198C">
        <w:rPr>
          <w:rFonts w:ascii="Times New Roman" w:hAnsi="Times New Roman" w:cs="Times New Roman"/>
          <w:sz w:val="24"/>
          <w:szCs w:val="24"/>
        </w:rPr>
        <w:t>ourt is couched as follows:</w:t>
      </w:r>
    </w:p>
    <w:p w:rsidR="004713DE" w:rsidRPr="008F198C" w:rsidRDefault="004713DE" w:rsidP="000F5CEA">
      <w:pPr>
        <w:pStyle w:val="ListParagraph"/>
        <w:spacing w:after="0" w:line="480" w:lineRule="auto"/>
        <w:ind w:left="1440"/>
        <w:jc w:val="both"/>
        <w:rPr>
          <w:rFonts w:ascii="Times New Roman" w:hAnsi="Times New Roman" w:cs="Times New Roman"/>
          <w:sz w:val="24"/>
          <w:szCs w:val="24"/>
        </w:rPr>
      </w:pPr>
      <w:r w:rsidRPr="008F198C">
        <w:rPr>
          <w:rFonts w:ascii="Times New Roman" w:hAnsi="Times New Roman" w:cs="Times New Roman"/>
          <w:sz w:val="24"/>
          <w:szCs w:val="24"/>
        </w:rPr>
        <w:t xml:space="preserve">The court </w:t>
      </w:r>
      <w:r w:rsidRPr="008F198C">
        <w:rPr>
          <w:rFonts w:ascii="Times New Roman" w:hAnsi="Times New Roman" w:cs="Times New Roman"/>
          <w:i/>
          <w:sz w:val="24"/>
          <w:szCs w:val="24"/>
        </w:rPr>
        <w:t>a quo</w:t>
      </w:r>
      <w:r w:rsidRPr="008F198C">
        <w:rPr>
          <w:rFonts w:ascii="Times New Roman" w:hAnsi="Times New Roman" w:cs="Times New Roman"/>
          <w:sz w:val="24"/>
          <w:szCs w:val="24"/>
        </w:rPr>
        <w:t xml:space="preserve"> erred and seriously misdirected itself in confirming a conviction on fraud of a </w:t>
      </w:r>
      <w:r w:rsidR="004C7EA4" w:rsidRPr="008F198C">
        <w:rPr>
          <w:rFonts w:ascii="Times New Roman" w:hAnsi="Times New Roman" w:cs="Times New Roman"/>
          <w:sz w:val="24"/>
          <w:szCs w:val="24"/>
        </w:rPr>
        <w:t>residential stand valued at USD</w:t>
      </w:r>
      <w:r w:rsidRPr="008F198C">
        <w:rPr>
          <w:rFonts w:ascii="Times New Roman" w:hAnsi="Times New Roman" w:cs="Times New Roman"/>
          <w:sz w:val="24"/>
          <w:szCs w:val="24"/>
        </w:rPr>
        <w:t>27 473.00 when the evidence that was led at the trial clearly showed that the residential stand did not belong to the complainant but to the appellants and thus she could not have been prejudiced of a stand that did not belong to her. The facts as proven did not, at law, satisfy the element of actual prejudice, as alleged, thus warranting the conviction of fraud to be set aside.</w:t>
      </w:r>
    </w:p>
    <w:p w:rsidR="0009147E"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lastRenderedPageBreak/>
        <w:t>[9]</w:t>
      </w:r>
      <w:r w:rsidRPr="008F198C">
        <w:rPr>
          <w:rFonts w:ascii="Times New Roman" w:hAnsi="Times New Roman" w:cs="Times New Roman"/>
          <w:sz w:val="24"/>
          <w:szCs w:val="24"/>
        </w:rPr>
        <w:tab/>
      </w:r>
      <w:r w:rsidR="00837719" w:rsidRPr="008F198C">
        <w:rPr>
          <w:rFonts w:ascii="Times New Roman" w:hAnsi="Times New Roman" w:cs="Times New Roman"/>
          <w:sz w:val="24"/>
          <w:szCs w:val="24"/>
        </w:rPr>
        <w:t>The ow</w:t>
      </w:r>
      <w:r w:rsidR="004C7EA4" w:rsidRPr="008F198C">
        <w:rPr>
          <w:rFonts w:ascii="Times New Roman" w:hAnsi="Times New Roman" w:cs="Times New Roman"/>
          <w:sz w:val="24"/>
          <w:szCs w:val="24"/>
        </w:rPr>
        <w:t>nership of the stand was never a</w:t>
      </w:r>
      <w:r w:rsidR="00837719" w:rsidRPr="008F198C">
        <w:rPr>
          <w:rFonts w:ascii="Times New Roman" w:hAnsi="Times New Roman" w:cs="Times New Roman"/>
          <w:sz w:val="24"/>
          <w:szCs w:val="24"/>
        </w:rPr>
        <w:t xml:space="preserve">n issue. The premise upon which the appellants were charged with fraud was that they had misrepresented to the Registrar of Deeds that they had mislaid the title deeds and yet they were well aware that they had deposited the same with the complainant’s representative in terms of a memorandum of understanding. </w:t>
      </w:r>
      <w:r w:rsidR="009E7A67" w:rsidRPr="008F198C">
        <w:rPr>
          <w:rFonts w:ascii="Times New Roman" w:hAnsi="Times New Roman" w:cs="Times New Roman"/>
          <w:sz w:val="24"/>
          <w:szCs w:val="24"/>
        </w:rPr>
        <w:t>As part of the state case presented at the trial was an affidavit depos</w:t>
      </w:r>
      <w:r w:rsidR="004C7EA4" w:rsidRPr="008F198C">
        <w:rPr>
          <w:rFonts w:ascii="Times New Roman" w:hAnsi="Times New Roman" w:cs="Times New Roman"/>
          <w:sz w:val="24"/>
          <w:szCs w:val="24"/>
        </w:rPr>
        <w:t>ed to by the second appellant. I</w:t>
      </w:r>
      <w:r w:rsidR="009E7A67" w:rsidRPr="008F198C">
        <w:rPr>
          <w:rFonts w:ascii="Times New Roman" w:hAnsi="Times New Roman" w:cs="Times New Roman"/>
          <w:sz w:val="24"/>
          <w:szCs w:val="24"/>
        </w:rPr>
        <w:t>n it she stated that</w:t>
      </w:r>
      <w:r w:rsidR="000F5CEA" w:rsidRPr="008F198C">
        <w:rPr>
          <w:rFonts w:ascii="Times New Roman" w:hAnsi="Times New Roman" w:cs="Times New Roman"/>
          <w:sz w:val="24"/>
          <w:szCs w:val="24"/>
        </w:rPr>
        <w:t>:</w:t>
      </w:r>
      <w:r w:rsidR="009E7A67" w:rsidRPr="008F198C">
        <w:rPr>
          <w:rFonts w:ascii="Times New Roman" w:hAnsi="Times New Roman" w:cs="Times New Roman"/>
          <w:sz w:val="24"/>
          <w:szCs w:val="24"/>
        </w:rPr>
        <w:t xml:space="preserve"> </w:t>
      </w:r>
    </w:p>
    <w:p w:rsidR="009E7A67" w:rsidRPr="008F198C" w:rsidRDefault="009E7A67" w:rsidP="00AE1011">
      <w:pPr>
        <w:spacing w:after="0" w:line="240" w:lineRule="auto"/>
        <w:ind w:left="1134"/>
        <w:jc w:val="both"/>
        <w:rPr>
          <w:rFonts w:ascii="Times New Roman" w:hAnsi="Times New Roman" w:cs="Times New Roman"/>
          <w:sz w:val="24"/>
          <w:szCs w:val="24"/>
        </w:rPr>
      </w:pPr>
      <w:r w:rsidRPr="008F198C">
        <w:rPr>
          <w:rFonts w:ascii="Times New Roman" w:hAnsi="Times New Roman" w:cs="Times New Roman"/>
          <w:sz w:val="24"/>
          <w:szCs w:val="24"/>
        </w:rPr>
        <w:t>“the deed of transfer No 0003621/2003 was stolen/lost or destroyed and all efforts to locate it have been fruitless.</w:t>
      </w:r>
    </w:p>
    <w:p w:rsidR="000F5CEA" w:rsidRPr="008F198C" w:rsidRDefault="000F5CEA" w:rsidP="00AE1011">
      <w:pPr>
        <w:spacing w:after="0" w:line="240" w:lineRule="auto"/>
        <w:ind w:left="1134"/>
        <w:jc w:val="both"/>
        <w:rPr>
          <w:rFonts w:ascii="Times New Roman" w:hAnsi="Times New Roman" w:cs="Times New Roman"/>
          <w:sz w:val="24"/>
          <w:szCs w:val="24"/>
        </w:rPr>
      </w:pPr>
    </w:p>
    <w:p w:rsidR="009E7A67" w:rsidRPr="008F198C" w:rsidRDefault="009E7A67" w:rsidP="00AE1011">
      <w:pPr>
        <w:spacing w:after="0" w:line="240" w:lineRule="auto"/>
        <w:ind w:left="414" w:firstLine="720"/>
        <w:jc w:val="both"/>
        <w:rPr>
          <w:rFonts w:ascii="Times New Roman" w:hAnsi="Times New Roman" w:cs="Times New Roman"/>
          <w:sz w:val="24"/>
          <w:szCs w:val="24"/>
        </w:rPr>
      </w:pPr>
      <w:r w:rsidRPr="008F198C">
        <w:rPr>
          <w:rFonts w:ascii="Times New Roman" w:hAnsi="Times New Roman" w:cs="Times New Roman"/>
          <w:sz w:val="24"/>
          <w:szCs w:val="24"/>
        </w:rPr>
        <w:t>…………………………………………………………..</w:t>
      </w:r>
    </w:p>
    <w:p w:rsidR="000F5CEA" w:rsidRPr="008F198C" w:rsidRDefault="000F5CEA" w:rsidP="00AE1011">
      <w:pPr>
        <w:spacing w:after="0" w:line="240" w:lineRule="auto"/>
        <w:ind w:left="414" w:firstLine="720"/>
        <w:jc w:val="both"/>
        <w:rPr>
          <w:rFonts w:ascii="Times New Roman" w:hAnsi="Times New Roman" w:cs="Times New Roman"/>
          <w:sz w:val="24"/>
          <w:szCs w:val="24"/>
        </w:rPr>
      </w:pPr>
    </w:p>
    <w:p w:rsidR="00837719" w:rsidRPr="008F198C" w:rsidRDefault="009E7A67" w:rsidP="00AE1011">
      <w:pPr>
        <w:spacing w:after="0" w:line="240" w:lineRule="auto"/>
        <w:ind w:left="1134"/>
        <w:jc w:val="both"/>
        <w:rPr>
          <w:rFonts w:ascii="Times New Roman" w:hAnsi="Times New Roman" w:cs="Times New Roman"/>
          <w:sz w:val="24"/>
          <w:szCs w:val="24"/>
        </w:rPr>
      </w:pPr>
      <w:r w:rsidRPr="008F198C">
        <w:rPr>
          <w:rFonts w:ascii="Times New Roman" w:hAnsi="Times New Roman" w:cs="Times New Roman"/>
          <w:sz w:val="24"/>
          <w:szCs w:val="24"/>
        </w:rPr>
        <w:t xml:space="preserve">Further to the best of my knowledge, at the time it was stolen/lost or destroyed the Deed was not pledged or ceded to any person or otherwise detained as security for a debt or otherwise and should it be found, we undertake to surrender it to the Registrar.”  </w:t>
      </w:r>
      <w:r w:rsidR="00837719" w:rsidRPr="008F198C">
        <w:rPr>
          <w:rFonts w:ascii="Times New Roman" w:hAnsi="Times New Roman" w:cs="Times New Roman"/>
          <w:sz w:val="24"/>
          <w:szCs w:val="24"/>
        </w:rPr>
        <w:t xml:space="preserve"> </w:t>
      </w:r>
    </w:p>
    <w:p w:rsidR="004C7EA4" w:rsidRPr="008F198C" w:rsidRDefault="004C7EA4" w:rsidP="0026634F">
      <w:pPr>
        <w:spacing w:after="0" w:line="240" w:lineRule="auto"/>
        <w:jc w:val="both"/>
        <w:rPr>
          <w:rFonts w:ascii="Times New Roman" w:hAnsi="Times New Roman" w:cs="Times New Roman"/>
          <w:sz w:val="24"/>
          <w:szCs w:val="24"/>
        </w:rPr>
      </w:pPr>
    </w:p>
    <w:p w:rsidR="0026634F" w:rsidRPr="008F198C" w:rsidRDefault="0026634F" w:rsidP="0026634F">
      <w:pPr>
        <w:spacing w:after="0" w:line="480" w:lineRule="auto"/>
        <w:jc w:val="both"/>
        <w:rPr>
          <w:rFonts w:ascii="Times New Roman" w:hAnsi="Times New Roman" w:cs="Times New Roman"/>
          <w:sz w:val="24"/>
          <w:szCs w:val="24"/>
        </w:rPr>
      </w:pPr>
    </w:p>
    <w:p w:rsidR="004362F8"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[10]</w:t>
      </w:r>
      <w:r w:rsidRPr="008F198C">
        <w:rPr>
          <w:rFonts w:ascii="Times New Roman" w:hAnsi="Times New Roman" w:cs="Times New Roman"/>
          <w:sz w:val="24"/>
          <w:szCs w:val="24"/>
        </w:rPr>
        <w:tab/>
      </w:r>
      <w:r w:rsidR="004362F8" w:rsidRPr="008F198C">
        <w:rPr>
          <w:rFonts w:ascii="Times New Roman" w:hAnsi="Times New Roman" w:cs="Times New Roman"/>
          <w:sz w:val="24"/>
          <w:szCs w:val="24"/>
        </w:rPr>
        <w:t>Clearly on the facts the averments contained in the affidavit were outright lies. They were intended to induce the Registrar to issue a duplicate deed. Had the registrar known that the deed had been pledged as security for the due payment of a debt he would not have issued a duplicate deed and</w:t>
      </w:r>
      <w:r w:rsidR="000F5CEA" w:rsidRPr="008F198C">
        <w:rPr>
          <w:rFonts w:ascii="Times New Roman" w:hAnsi="Times New Roman" w:cs="Times New Roman"/>
          <w:sz w:val="24"/>
          <w:szCs w:val="24"/>
        </w:rPr>
        <w:t>,</w:t>
      </w:r>
      <w:r w:rsidR="004362F8" w:rsidRPr="008F198C">
        <w:rPr>
          <w:rFonts w:ascii="Times New Roman" w:hAnsi="Times New Roman" w:cs="Times New Roman"/>
          <w:sz w:val="24"/>
          <w:szCs w:val="24"/>
        </w:rPr>
        <w:t xml:space="preserve"> without this deed</w:t>
      </w:r>
      <w:r w:rsidR="000F5CEA" w:rsidRPr="008F198C">
        <w:rPr>
          <w:rFonts w:ascii="Times New Roman" w:hAnsi="Times New Roman" w:cs="Times New Roman"/>
          <w:sz w:val="24"/>
          <w:szCs w:val="24"/>
        </w:rPr>
        <w:t>,</w:t>
      </w:r>
      <w:r w:rsidR="004362F8" w:rsidRPr="008F198C">
        <w:rPr>
          <w:rFonts w:ascii="Times New Roman" w:hAnsi="Times New Roman" w:cs="Times New Roman"/>
          <w:sz w:val="24"/>
          <w:szCs w:val="24"/>
        </w:rPr>
        <w:t xml:space="preserve"> the appellants would not have been able to successfully conclude the agreement to sel</w:t>
      </w:r>
      <w:r w:rsidR="0009147E" w:rsidRPr="008F198C">
        <w:rPr>
          <w:rFonts w:ascii="Times New Roman" w:hAnsi="Times New Roman" w:cs="Times New Roman"/>
          <w:sz w:val="24"/>
          <w:szCs w:val="24"/>
        </w:rPr>
        <w:t>l the property to Matukanzvimbo.</w:t>
      </w:r>
      <w:r w:rsidR="004362F8" w:rsidRPr="008F198C">
        <w:rPr>
          <w:rFonts w:ascii="Times New Roman" w:hAnsi="Times New Roman" w:cs="Times New Roman"/>
          <w:sz w:val="24"/>
          <w:szCs w:val="24"/>
        </w:rPr>
        <w:t xml:space="preserve"> </w:t>
      </w:r>
    </w:p>
    <w:p w:rsidR="004C7EA4" w:rsidRPr="008F198C" w:rsidRDefault="004C7EA4" w:rsidP="004C7EA4">
      <w:pPr>
        <w:spacing w:after="0" w:line="480" w:lineRule="auto"/>
        <w:ind w:firstLine="1134"/>
        <w:jc w:val="both"/>
        <w:rPr>
          <w:rFonts w:ascii="Times New Roman" w:hAnsi="Times New Roman" w:cs="Times New Roman"/>
          <w:sz w:val="24"/>
          <w:szCs w:val="24"/>
        </w:rPr>
      </w:pPr>
    </w:p>
    <w:p w:rsidR="004362F8"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[11]</w:t>
      </w:r>
      <w:r w:rsidRPr="008F198C">
        <w:rPr>
          <w:rFonts w:ascii="Times New Roman" w:hAnsi="Times New Roman" w:cs="Times New Roman"/>
          <w:sz w:val="24"/>
          <w:szCs w:val="24"/>
        </w:rPr>
        <w:tab/>
      </w:r>
      <w:r w:rsidR="004362F8" w:rsidRPr="008F198C">
        <w:rPr>
          <w:rFonts w:ascii="Times New Roman" w:hAnsi="Times New Roman" w:cs="Times New Roman"/>
          <w:sz w:val="24"/>
          <w:szCs w:val="24"/>
        </w:rPr>
        <w:t xml:space="preserve">In any event, the charge of fraud was to the effect that they had misrepresented to the Registrar of Deeds that the title deeds to the stand had been lost or misplaced well knowing that they had pledged the same to the complainant. The court </w:t>
      </w:r>
      <w:r w:rsidR="004362F8" w:rsidRPr="008F198C">
        <w:rPr>
          <w:rFonts w:ascii="Times New Roman" w:hAnsi="Times New Roman" w:cs="Times New Roman"/>
          <w:i/>
          <w:sz w:val="24"/>
          <w:szCs w:val="24"/>
        </w:rPr>
        <w:t>a quo</w:t>
      </w:r>
      <w:r w:rsidR="004362F8" w:rsidRPr="008F198C">
        <w:rPr>
          <w:rFonts w:ascii="Times New Roman" w:hAnsi="Times New Roman" w:cs="Times New Roman"/>
          <w:sz w:val="24"/>
          <w:szCs w:val="24"/>
        </w:rPr>
        <w:t xml:space="preserve"> found tha</w:t>
      </w:r>
      <w:r w:rsidR="000F5CEA" w:rsidRPr="008F198C">
        <w:rPr>
          <w:rFonts w:ascii="Times New Roman" w:hAnsi="Times New Roman" w:cs="Times New Roman"/>
          <w:sz w:val="24"/>
          <w:szCs w:val="24"/>
        </w:rPr>
        <w:t>t the misrepresentation to the R</w:t>
      </w:r>
      <w:r w:rsidR="004362F8" w:rsidRPr="008F198C">
        <w:rPr>
          <w:rFonts w:ascii="Times New Roman" w:hAnsi="Times New Roman" w:cs="Times New Roman"/>
          <w:sz w:val="24"/>
          <w:szCs w:val="24"/>
        </w:rPr>
        <w:t>egistrar</w:t>
      </w:r>
      <w:r w:rsidR="000F5CEA" w:rsidRPr="008F198C">
        <w:rPr>
          <w:rFonts w:ascii="Times New Roman" w:hAnsi="Times New Roman" w:cs="Times New Roman"/>
          <w:sz w:val="24"/>
          <w:szCs w:val="24"/>
        </w:rPr>
        <w:t xml:space="preserve"> of Deeds</w:t>
      </w:r>
      <w:r w:rsidR="004362F8" w:rsidRPr="008F198C">
        <w:rPr>
          <w:rFonts w:ascii="Times New Roman" w:hAnsi="Times New Roman" w:cs="Times New Roman"/>
          <w:sz w:val="24"/>
          <w:szCs w:val="24"/>
        </w:rPr>
        <w:t xml:space="preserve"> had resulted in actual prejudice to the complainant, and that it was not necessary that the prejudice be felt by the actual person to whom the misrepresentation was made. In making this finding the court </w:t>
      </w:r>
      <w:r w:rsidR="004362F8" w:rsidRPr="008F198C">
        <w:rPr>
          <w:rFonts w:ascii="Times New Roman" w:hAnsi="Times New Roman" w:cs="Times New Roman"/>
          <w:i/>
          <w:sz w:val="24"/>
          <w:szCs w:val="24"/>
        </w:rPr>
        <w:t>a quo</w:t>
      </w:r>
      <w:r w:rsidR="004362F8" w:rsidRPr="008F198C">
        <w:rPr>
          <w:rFonts w:ascii="Times New Roman" w:hAnsi="Times New Roman" w:cs="Times New Roman"/>
          <w:sz w:val="24"/>
          <w:szCs w:val="24"/>
        </w:rPr>
        <w:t xml:space="preserve"> placed </w:t>
      </w:r>
      <w:r w:rsidR="004362F8" w:rsidRPr="008F198C">
        <w:rPr>
          <w:rFonts w:ascii="Times New Roman" w:hAnsi="Times New Roman" w:cs="Times New Roman"/>
          <w:sz w:val="24"/>
          <w:szCs w:val="24"/>
        </w:rPr>
        <w:lastRenderedPageBreak/>
        <w:t>reliance on s 157 of the Criminal Procedure and Evidence Act [</w:t>
      </w:r>
      <w:r w:rsidR="004362F8" w:rsidRPr="008F198C">
        <w:rPr>
          <w:rFonts w:ascii="Times New Roman" w:hAnsi="Times New Roman" w:cs="Times New Roman"/>
          <w:i/>
          <w:sz w:val="24"/>
          <w:szCs w:val="24"/>
        </w:rPr>
        <w:t>Chapter 9:07</w:t>
      </w:r>
      <w:r w:rsidR="004362F8" w:rsidRPr="008F198C">
        <w:rPr>
          <w:rFonts w:ascii="Times New Roman" w:hAnsi="Times New Roman" w:cs="Times New Roman"/>
          <w:sz w:val="24"/>
          <w:szCs w:val="24"/>
        </w:rPr>
        <w:t>], commonly referred to as the C P &amp; E Act. Section 157 is to the following effect:</w:t>
      </w:r>
    </w:p>
    <w:p w:rsidR="003370EB" w:rsidRPr="008F198C" w:rsidRDefault="003370EB" w:rsidP="0026634F">
      <w:pPr>
        <w:spacing w:after="0" w:line="480" w:lineRule="auto"/>
        <w:ind w:left="720"/>
        <w:jc w:val="both"/>
        <w:rPr>
          <w:rFonts w:ascii="Times New Roman" w:hAnsi="Times New Roman" w:cs="Times New Roman"/>
          <w:b/>
          <w:bCs/>
          <w:sz w:val="24"/>
          <w:szCs w:val="24"/>
        </w:rPr>
      </w:pPr>
      <w:r w:rsidRPr="008F198C">
        <w:rPr>
          <w:rFonts w:ascii="Times New Roman" w:hAnsi="Times New Roman" w:cs="Times New Roman"/>
          <w:b/>
          <w:bCs/>
          <w:sz w:val="24"/>
          <w:szCs w:val="24"/>
        </w:rPr>
        <w:t>157 Allegation of intent to defraud sufficient without alleging whom it is intended to defraud</w:t>
      </w:r>
    </w:p>
    <w:p w:rsidR="003370EB" w:rsidRPr="008F198C" w:rsidRDefault="003370EB" w:rsidP="0026634F">
      <w:pPr>
        <w:spacing w:after="0" w:line="276" w:lineRule="auto"/>
        <w:ind w:left="720"/>
        <w:jc w:val="both"/>
        <w:rPr>
          <w:rFonts w:ascii="Times New Roman" w:hAnsi="Times New Roman" w:cs="Times New Roman"/>
          <w:sz w:val="24"/>
          <w:szCs w:val="24"/>
        </w:rPr>
      </w:pPr>
      <w:r w:rsidRPr="008F198C">
        <w:rPr>
          <w:rFonts w:ascii="Times New Roman" w:hAnsi="Times New Roman" w:cs="Times New Roman"/>
          <w:sz w:val="24"/>
          <w:szCs w:val="24"/>
        </w:rPr>
        <w:t>(1) It shall be sufficient in any indictment, summons or charge in respect of—</w:t>
      </w:r>
    </w:p>
    <w:p w:rsidR="003370EB" w:rsidRPr="008F198C" w:rsidRDefault="003370EB" w:rsidP="0026634F">
      <w:pPr>
        <w:spacing w:after="0" w:line="276" w:lineRule="auto"/>
        <w:ind w:left="720"/>
        <w:jc w:val="both"/>
        <w:rPr>
          <w:rFonts w:ascii="Times New Roman" w:hAnsi="Times New Roman" w:cs="Times New Roman"/>
          <w:sz w:val="24"/>
          <w:szCs w:val="24"/>
        </w:rPr>
      </w:pPr>
      <w:r w:rsidRPr="008F198C">
        <w:rPr>
          <w:rFonts w:ascii="Times New Roman" w:hAnsi="Times New Roman" w:cs="Times New Roman"/>
          <w:sz w:val="24"/>
          <w:szCs w:val="24"/>
        </w:rPr>
        <w:t>(</w:t>
      </w:r>
      <w:r w:rsidRPr="008F198C">
        <w:rPr>
          <w:rFonts w:ascii="Times New Roman" w:hAnsi="Times New Roman" w:cs="Times New Roman"/>
          <w:i/>
          <w:iCs/>
          <w:sz w:val="24"/>
          <w:szCs w:val="24"/>
        </w:rPr>
        <w:t>a</w:t>
      </w:r>
      <w:r w:rsidRPr="008F198C">
        <w:rPr>
          <w:rFonts w:ascii="Times New Roman" w:hAnsi="Times New Roman" w:cs="Times New Roman"/>
          <w:sz w:val="24"/>
          <w:szCs w:val="24"/>
        </w:rPr>
        <w:t>) forgery or fraud; or</w:t>
      </w:r>
    </w:p>
    <w:p w:rsidR="003370EB" w:rsidRPr="008F198C" w:rsidRDefault="003370EB" w:rsidP="0026634F">
      <w:pPr>
        <w:spacing w:after="0" w:line="276" w:lineRule="auto"/>
        <w:ind w:left="720"/>
        <w:jc w:val="both"/>
        <w:rPr>
          <w:rFonts w:ascii="Times New Roman" w:hAnsi="Times New Roman" w:cs="Times New Roman"/>
          <w:sz w:val="24"/>
          <w:szCs w:val="24"/>
        </w:rPr>
      </w:pPr>
      <w:r w:rsidRPr="008F198C">
        <w:rPr>
          <w:rFonts w:ascii="Times New Roman" w:hAnsi="Times New Roman" w:cs="Times New Roman"/>
          <w:sz w:val="24"/>
          <w:szCs w:val="24"/>
        </w:rPr>
        <w:t>(</w:t>
      </w:r>
      <w:r w:rsidRPr="008F198C">
        <w:rPr>
          <w:rFonts w:ascii="Times New Roman" w:hAnsi="Times New Roman" w:cs="Times New Roman"/>
          <w:i/>
          <w:iCs/>
          <w:sz w:val="24"/>
          <w:szCs w:val="24"/>
        </w:rPr>
        <w:t>b</w:t>
      </w:r>
      <w:r w:rsidRPr="008F198C">
        <w:rPr>
          <w:rFonts w:ascii="Times New Roman" w:hAnsi="Times New Roman" w:cs="Times New Roman"/>
          <w:sz w:val="24"/>
          <w:szCs w:val="24"/>
        </w:rPr>
        <w:t>) ......</w:t>
      </w:r>
    </w:p>
    <w:p w:rsidR="003370EB" w:rsidRPr="008F198C" w:rsidRDefault="003370EB" w:rsidP="0026634F">
      <w:pPr>
        <w:spacing w:after="0" w:line="276" w:lineRule="auto"/>
        <w:ind w:left="720"/>
        <w:jc w:val="both"/>
        <w:rPr>
          <w:rFonts w:ascii="Times New Roman" w:hAnsi="Times New Roman" w:cs="Times New Roman"/>
          <w:sz w:val="24"/>
          <w:szCs w:val="24"/>
        </w:rPr>
      </w:pPr>
      <w:r w:rsidRPr="008F198C">
        <w:rPr>
          <w:rFonts w:ascii="Times New Roman" w:hAnsi="Times New Roman" w:cs="Times New Roman"/>
          <w:sz w:val="24"/>
          <w:szCs w:val="24"/>
        </w:rPr>
        <w:t>(</w:t>
      </w:r>
      <w:r w:rsidRPr="008F198C">
        <w:rPr>
          <w:rFonts w:ascii="Times New Roman" w:hAnsi="Times New Roman" w:cs="Times New Roman"/>
          <w:i/>
          <w:iCs/>
          <w:sz w:val="24"/>
          <w:szCs w:val="24"/>
        </w:rPr>
        <w:t>c</w:t>
      </w:r>
      <w:r w:rsidRPr="008F198C">
        <w:rPr>
          <w:rFonts w:ascii="Times New Roman" w:hAnsi="Times New Roman" w:cs="Times New Roman"/>
          <w:sz w:val="24"/>
          <w:szCs w:val="24"/>
        </w:rPr>
        <w:t>) obtaining anything by means of a fraudulent trick or device or any other fraudulent means; or</w:t>
      </w:r>
    </w:p>
    <w:p w:rsidR="003370EB" w:rsidRPr="008F198C" w:rsidRDefault="003370EB" w:rsidP="0026634F">
      <w:pPr>
        <w:spacing w:after="0" w:line="276" w:lineRule="auto"/>
        <w:ind w:left="720"/>
        <w:jc w:val="both"/>
        <w:rPr>
          <w:rFonts w:ascii="Times New Roman" w:hAnsi="Times New Roman" w:cs="Times New Roman"/>
          <w:sz w:val="24"/>
          <w:szCs w:val="24"/>
        </w:rPr>
      </w:pPr>
      <w:r w:rsidRPr="008F198C">
        <w:rPr>
          <w:rFonts w:ascii="Times New Roman" w:hAnsi="Times New Roman" w:cs="Times New Roman"/>
          <w:sz w:val="24"/>
          <w:szCs w:val="24"/>
        </w:rPr>
        <w:t>(</w:t>
      </w:r>
      <w:r w:rsidRPr="008F198C">
        <w:rPr>
          <w:rFonts w:ascii="Times New Roman" w:hAnsi="Times New Roman" w:cs="Times New Roman"/>
          <w:i/>
          <w:iCs/>
          <w:sz w:val="24"/>
          <w:szCs w:val="24"/>
        </w:rPr>
        <w:t>d</w:t>
      </w:r>
      <w:r w:rsidRPr="008F198C">
        <w:rPr>
          <w:rFonts w:ascii="Times New Roman" w:hAnsi="Times New Roman" w:cs="Times New Roman"/>
          <w:sz w:val="24"/>
          <w:szCs w:val="24"/>
        </w:rPr>
        <w:t>) inducing, by means of any such trick or device or fraudulent means, the payment or delivery of any</w:t>
      </w:r>
    </w:p>
    <w:p w:rsidR="003370EB" w:rsidRPr="008F198C" w:rsidRDefault="003370EB" w:rsidP="0026634F">
      <w:pPr>
        <w:spacing w:after="0" w:line="276" w:lineRule="auto"/>
        <w:ind w:left="720"/>
        <w:jc w:val="both"/>
        <w:rPr>
          <w:rFonts w:ascii="Times New Roman" w:hAnsi="Times New Roman" w:cs="Times New Roman"/>
          <w:sz w:val="24"/>
          <w:szCs w:val="24"/>
        </w:rPr>
      </w:pPr>
      <w:r w:rsidRPr="008F198C">
        <w:rPr>
          <w:rFonts w:ascii="Times New Roman" w:hAnsi="Times New Roman" w:cs="Times New Roman"/>
          <w:sz w:val="24"/>
          <w:szCs w:val="24"/>
        </w:rPr>
        <w:t>money or thing; or</w:t>
      </w:r>
    </w:p>
    <w:p w:rsidR="003370EB" w:rsidRPr="008F198C" w:rsidRDefault="003370EB" w:rsidP="0026634F">
      <w:pPr>
        <w:spacing w:after="0" w:line="276" w:lineRule="auto"/>
        <w:ind w:left="720"/>
        <w:jc w:val="both"/>
        <w:rPr>
          <w:rFonts w:ascii="Times New Roman" w:hAnsi="Times New Roman" w:cs="Times New Roman"/>
          <w:sz w:val="24"/>
          <w:szCs w:val="24"/>
        </w:rPr>
      </w:pPr>
      <w:r w:rsidRPr="008F198C">
        <w:rPr>
          <w:rFonts w:ascii="Times New Roman" w:hAnsi="Times New Roman" w:cs="Times New Roman"/>
          <w:sz w:val="24"/>
          <w:szCs w:val="24"/>
        </w:rPr>
        <w:t>(</w:t>
      </w:r>
      <w:r w:rsidRPr="008F198C">
        <w:rPr>
          <w:rFonts w:ascii="Times New Roman" w:hAnsi="Times New Roman" w:cs="Times New Roman"/>
          <w:i/>
          <w:iCs/>
          <w:sz w:val="24"/>
          <w:szCs w:val="24"/>
        </w:rPr>
        <w:t>e</w:t>
      </w:r>
      <w:r w:rsidRPr="008F198C">
        <w:rPr>
          <w:rFonts w:ascii="Times New Roman" w:hAnsi="Times New Roman" w:cs="Times New Roman"/>
          <w:sz w:val="24"/>
          <w:szCs w:val="24"/>
        </w:rPr>
        <w:t>) attempting to commit or to procure the commission of any such offence;</w:t>
      </w:r>
    </w:p>
    <w:p w:rsidR="004362F8" w:rsidRPr="008F198C" w:rsidRDefault="003370EB" w:rsidP="0026634F">
      <w:pPr>
        <w:spacing w:after="0" w:line="276" w:lineRule="auto"/>
        <w:ind w:left="720"/>
        <w:jc w:val="both"/>
        <w:rPr>
          <w:rFonts w:ascii="Times New Roman" w:hAnsi="Times New Roman" w:cs="Times New Roman"/>
          <w:sz w:val="24"/>
          <w:szCs w:val="24"/>
        </w:rPr>
      </w:pPr>
      <w:r w:rsidRPr="008F198C">
        <w:rPr>
          <w:rFonts w:ascii="Times New Roman" w:hAnsi="Times New Roman" w:cs="Times New Roman"/>
          <w:sz w:val="24"/>
          <w:szCs w:val="24"/>
        </w:rPr>
        <w:t>to allege that the accused did the act with intent to defraud, without alleging the intent of the accused to be to</w:t>
      </w:r>
      <w:r w:rsidR="00491C2B" w:rsidRPr="008F198C">
        <w:rPr>
          <w:rFonts w:ascii="Times New Roman" w:hAnsi="Times New Roman" w:cs="Times New Roman"/>
          <w:sz w:val="24"/>
          <w:szCs w:val="24"/>
        </w:rPr>
        <w:t xml:space="preserve"> </w:t>
      </w:r>
      <w:r w:rsidRPr="008F198C">
        <w:rPr>
          <w:rFonts w:ascii="Times New Roman" w:hAnsi="Times New Roman" w:cs="Times New Roman"/>
          <w:sz w:val="24"/>
          <w:szCs w:val="24"/>
        </w:rPr>
        <w:t>defraud any particular person.</w:t>
      </w:r>
      <w:r w:rsidR="004362F8" w:rsidRPr="008F198C">
        <w:rPr>
          <w:rFonts w:ascii="Times New Roman" w:hAnsi="Times New Roman" w:cs="Times New Roman"/>
          <w:sz w:val="24"/>
          <w:szCs w:val="24"/>
        </w:rPr>
        <w:t xml:space="preserve"> </w:t>
      </w:r>
    </w:p>
    <w:p w:rsidR="004C7EA4" w:rsidRPr="008F198C" w:rsidRDefault="004C7EA4" w:rsidP="004C7EA4">
      <w:pPr>
        <w:spacing w:after="0" w:line="240" w:lineRule="auto"/>
        <w:jc w:val="both"/>
        <w:rPr>
          <w:rFonts w:ascii="Times New Roman" w:hAnsi="Times New Roman" w:cs="Times New Roman"/>
          <w:sz w:val="24"/>
          <w:szCs w:val="24"/>
        </w:rPr>
      </w:pPr>
    </w:p>
    <w:p w:rsidR="004C7EA4" w:rsidRPr="008F198C" w:rsidRDefault="004C7EA4" w:rsidP="004C7EA4">
      <w:pPr>
        <w:spacing w:after="0" w:line="240" w:lineRule="auto"/>
        <w:jc w:val="both"/>
        <w:rPr>
          <w:rFonts w:ascii="Times New Roman" w:hAnsi="Times New Roman" w:cs="Times New Roman"/>
          <w:sz w:val="24"/>
          <w:szCs w:val="24"/>
        </w:rPr>
      </w:pPr>
    </w:p>
    <w:p w:rsidR="00491C2B" w:rsidRPr="008F198C" w:rsidRDefault="0026634F" w:rsidP="0026634F">
      <w:pPr>
        <w:spacing w:after="0" w:line="480" w:lineRule="auto"/>
        <w:jc w:val="both"/>
        <w:rPr>
          <w:rFonts w:ascii="Times New Roman" w:hAnsi="Times New Roman" w:cs="Times New Roman"/>
          <w:sz w:val="24"/>
          <w:szCs w:val="24"/>
        </w:rPr>
      </w:pPr>
      <w:r w:rsidRPr="008F198C">
        <w:rPr>
          <w:rFonts w:ascii="Times New Roman" w:hAnsi="Times New Roman" w:cs="Times New Roman"/>
          <w:sz w:val="24"/>
          <w:szCs w:val="24"/>
        </w:rPr>
        <w:t>[12]</w:t>
      </w:r>
      <w:r w:rsidRPr="008F198C">
        <w:rPr>
          <w:rFonts w:ascii="Times New Roman" w:hAnsi="Times New Roman" w:cs="Times New Roman"/>
          <w:sz w:val="24"/>
          <w:szCs w:val="24"/>
        </w:rPr>
        <w:tab/>
      </w:r>
      <w:r w:rsidR="00491C2B" w:rsidRPr="008F198C">
        <w:rPr>
          <w:rFonts w:ascii="Times New Roman" w:hAnsi="Times New Roman" w:cs="Times New Roman"/>
          <w:sz w:val="24"/>
          <w:szCs w:val="24"/>
        </w:rPr>
        <w:t xml:space="preserve">In construing the above provision the court </w:t>
      </w:r>
      <w:r w:rsidR="00491C2B" w:rsidRPr="008F198C">
        <w:rPr>
          <w:rFonts w:ascii="Times New Roman" w:hAnsi="Times New Roman" w:cs="Times New Roman"/>
          <w:i/>
          <w:sz w:val="24"/>
          <w:szCs w:val="24"/>
        </w:rPr>
        <w:t>a quo</w:t>
      </w:r>
      <w:r w:rsidR="00491C2B" w:rsidRPr="008F198C">
        <w:rPr>
          <w:rFonts w:ascii="Times New Roman" w:hAnsi="Times New Roman" w:cs="Times New Roman"/>
          <w:sz w:val="24"/>
          <w:szCs w:val="24"/>
        </w:rPr>
        <w:t xml:space="preserve"> stated:</w:t>
      </w:r>
    </w:p>
    <w:p w:rsidR="00491C2B" w:rsidRPr="008F198C" w:rsidRDefault="00491C2B" w:rsidP="0026634F">
      <w:pPr>
        <w:spacing w:after="0" w:line="240" w:lineRule="auto"/>
        <w:ind w:left="1134"/>
        <w:jc w:val="both"/>
        <w:rPr>
          <w:rFonts w:ascii="Times New Roman" w:hAnsi="Times New Roman" w:cs="Times New Roman"/>
          <w:sz w:val="24"/>
          <w:szCs w:val="24"/>
        </w:rPr>
      </w:pPr>
      <w:r w:rsidRPr="008F198C">
        <w:rPr>
          <w:rFonts w:ascii="Times New Roman" w:hAnsi="Times New Roman" w:cs="Times New Roman"/>
          <w:sz w:val="24"/>
          <w:szCs w:val="24"/>
        </w:rPr>
        <w:t>“The import of s 157 is therefore that it is not necessary to identify the person whom the appellants intended to defraud in order for them to be found guilty. As it happened in the present case, although the misrepresentation was directed at the Registrar of Deeds the person intended to be defrauded was the complainant.”</w:t>
      </w:r>
    </w:p>
    <w:p w:rsidR="004C7EA4" w:rsidRPr="008F198C" w:rsidRDefault="004C7EA4" w:rsidP="004C7EA4">
      <w:pPr>
        <w:spacing w:after="0" w:line="240" w:lineRule="auto"/>
        <w:ind w:left="567"/>
        <w:jc w:val="both"/>
        <w:rPr>
          <w:rFonts w:ascii="Times New Roman" w:hAnsi="Times New Roman" w:cs="Times New Roman"/>
          <w:sz w:val="24"/>
          <w:szCs w:val="24"/>
        </w:rPr>
      </w:pPr>
    </w:p>
    <w:p w:rsidR="006919CC" w:rsidRPr="008F198C" w:rsidRDefault="006919CC" w:rsidP="004C7EA4">
      <w:pPr>
        <w:spacing w:after="0" w:line="240" w:lineRule="auto"/>
        <w:ind w:left="567"/>
        <w:jc w:val="both"/>
        <w:rPr>
          <w:rFonts w:ascii="Times New Roman" w:hAnsi="Times New Roman" w:cs="Times New Roman"/>
          <w:sz w:val="24"/>
          <w:szCs w:val="24"/>
        </w:rPr>
      </w:pPr>
    </w:p>
    <w:p w:rsidR="00934693" w:rsidRPr="008F198C" w:rsidRDefault="0026634F" w:rsidP="0026634F">
      <w:pPr>
        <w:spacing w:after="0" w:line="480" w:lineRule="auto"/>
        <w:ind w:left="567" w:hanging="567"/>
        <w:jc w:val="both"/>
        <w:rPr>
          <w:rFonts w:ascii="Times New Roman" w:hAnsi="Times New Roman" w:cs="Times New Roman"/>
          <w:sz w:val="24"/>
          <w:szCs w:val="24"/>
        </w:rPr>
      </w:pPr>
      <w:r w:rsidRPr="008F198C">
        <w:rPr>
          <w:rFonts w:ascii="Times New Roman" w:hAnsi="Times New Roman" w:cs="Times New Roman"/>
          <w:sz w:val="24"/>
          <w:szCs w:val="24"/>
        </w:rPr>
        <w:t>[13]</w:t>
      </w:r>
      <w:r w:rsidRPr="008F198C">
        <w:rPr>
          <w:rFonts w:ascii="Times New Roman" w:hAnsi="Times New Roman" w:cs="Times New Roman"/>
          <w:sz w:val="24"/>
          <w:szCs w:val="24"/>
        </w:rPr>
        <w:tab/>
      </w:r>
      <w:r w:rsidR="00491C2B" w:rsidRPr="008F198C">
        <w:rPr>
          <w:rFonts w:ascii="Times New Roman" w:hAnsi="Times New Roman" w:cs="Times New Roman"/>
          <w:sz w:val="24"/>
          <w:szCs w:val="24"/>
        </w:rPr>
        <w:t xml:space="preserve">In his submission before the court, Mr </w:t>
      </w:r>
      <w:r w:rsidR="00491C2B" w:rsidRPr="008F198C">
        <w:rPr>
          <w:rFonts w:ascii="Times New Roman" w:hAnsi="Times New Roman" w:cs="Times New Roman"/>
          <w:i/>
          <w:sz w:val="24"/>
          <w:szCs w:val="24"/>
        </w:rPr>
        <w:t>Musarurwa</w:t>
      </w:r>
      <w:r w:rsidR="00491C2B" w:rsidRPr="008F198C">
        <w:rPr>
          <w:rFonts w:ascii="Times New Roman" w:hAnsi="Times New Roman" w:cs="Times New Roman"/>
          <w:sz w:val="24"/>
          <w:szCs w:val="24"/>
        </w:rPr>
        <w:t xml:space="preserve"> contended </w:t>
      </w:r>
      <w:r w:rsidR="00934693" w:rsidRPr="008F198C">
        <w:rPr>
          <w:rFonts w:ascii="Times New Roman" w:hAnsi="Times New Roman" w:cs="Times New Roman"/>
          <w:sz w:val="24"/>
          <w:szCs w:val="24"/>
        </w:rPr>
        <w:t xml:space="preserve">that the conviction for fraud was unsustainable in the absence of a </w:t>
      </w:r>
      <w:r w:rsidR="00934693" w:rsidRPr="008F198C">
        <w:rPr>
          <w:rFonts w:ascii="Times New Roman" w:hAnsi="Times New Roman" w:cs="Times New Roman"/>
          <w:i/>
          <w:sz w:val="24"/>
          <w:szCs w:val="24"/>
        </w:rPr>
        <w:t>nexus</w:t>
      </w:r>
      <w:r w:rsidR="00934693" w:rsidRPr="008F198C">
        <w:rPr>
          <w:rFonts w:ascii="Times New Roman" w:hAnsi="Times New Roman" w:cs="Times New Roman"/>
          <w:sz w:val="24"/>
          <w:szCs w:val="24"/>
        </w:rPr>
        <w:t xml:space="preserve"> between the misrepresentation and the person </w:t>
      </w:r>
      <w:r w:rsidR="004A7D0C" w:rsidRPr="008F198C">
        <w:rPr>
          <w:rFonts w:ascii="Times New Roman" w:hAnsi="Times New Roman" w:cs="Times New Roman"/>
          <w:sz w:val="24"/>
          <w:szCs w:val="24"/>
        </w:rPr>
        <w:t xml:space="preserve">intended to be </w:t>
      </w:r>
      <w:r w:rsidR="00934693" w:rsidRPr="008F198C">
        <w:rPr>
          <w:rFonts w:ascii="Times New Roman" w:hAnsi="Times New Roman" w:cs="Times New Roman"/>
          <w:sz w:val="24"/>
          <w:szCs w:val="24"/>
        </w:rPr>
        <w:t>prejudiced by it. He sought reliance</w:t>
      </w:r>
      <w:r w:rsidR="000F5CEA" w:rsidRPr="008F198C">
        <w:rPr>
          <w:rFonts w:ascii="Times New Roman" w:hAnsi="Times New Roman" w:cs="Times New Roman"/>
          <w:sz w:val="24"/>
          <w:szCs w:val="24"/>
        </w:rPr>
        <w:t xml:space="preserve"> for this proposition</w:t>
      </w:r>
      <w:r w:rsidR="00934693" w:rsidRPr="008F198C">
        <w:rPr>
          <w:rFonts w:ascii="Times New Roman" w:hAnsi="Times New Roman" w:cs="Times New Roman"/>
          <w:sz w:val="24"/>
          <w:szCs w:val="24"/>
        </w:rPr>
        <w:t xml:space="preserve"> on </w:t>
      </w:r>
      <w:r w:rsidR="00934693" w:rsidRPr="008F198C">
        <w:rPr>
          <w:rFonts w:ascii="Times New Roman" w:hAnsi="Times New Roman" w:cs="Times New Roman"/>
          <w:i/>
          <w:sz w:val="24"/>
          <w:szCs w:val="24"/>
        </w:rPr>
        <w:t>S v Ostilly &amp; Others</w:t>
      </w:r>
      <w:r w:rsidR="00934693" w:rsidRPr="008F198C">
        <w:rPr>
          <w:rFonts w:ascii="Times New Roman" w:hAnsi="Times New Roman" w:cs="Times New Roman"/>
          <w:sz w:val="24"/>
          <w:szCs w:val="24"/>
        </w:rPr>
        <w:t xml:space="preserve"> 1977(2) 104.  A perusal of that authority will tend to confirm that the interpretation of s 157 of the C P &amp;</w:t>
      </w:r>
      <w:r w:rsidR="00BE4778" w:rsidRPr="008F198C">
        <w:rPr>
          <w:rFonts w:ascii="Times New Roman" w:hAnsi="Times New Roman" w:cs="Times New Roman"/>
          <w:sz w:val="24"/>
          <w:szCs w:val="24"/>
        </w:rPr>
        <w:t xml:space="preserve"> </w:t>
      </w:r>
      <w:r w:rsidR="00934693" w:rsidRPr="008F198C">
        <w:rPr>
          <w:rFonts w:ascii="Times New Roman" w:hAnsi="Times New Roman" w:cs="Times New Roman"/>
          <w:sz w:val="24"/>
          <w:szCs w:val="24"/>
        </w:rPr>
        <w:t xml:space="preserve">E Act by the learned judge in the court </w:t>
      </w:r>
      <w:r w:rsidR="00934693" w:rsidRPr="008F198C">
        <w:rPr>
          <w:rFonts w:ascii="Times New Roman" w:hAnsi="Times New Roman" w:cs="Times New Roman"/>
          <w:i/>
          <w:sz w:val="24"/>
          <w:szCs w:val="24"/>
        </w:rPr>
        <w:t>a quo</w:t>
      </w:r>
      <w:r w:rsidR="00934693" w:rsidRPr="008F198C">
        <w:rPr>
          <w:rFonts w:ascii="Times New Roman" w:hAnsi="Times New Roman" w:cs="Times New Roman"/>
          <w:sz w:val="24"/>
          <w:szCs w:val="24"/>
        </w:rPr>
        <w:t xml:space="preserve"> was actually premised on common law principles on fraud and that the interpretation of the provision was correct. At p115F-</w:t>
      </w:r>
      <w:r w:rsidR="00C1228B" w:rsidRPr="008F198C">
        <w:rPr>
          <w:rFonts w:ascii="Times New Roman" w:hAnsi="Times New Roman" w:cs="Times New Roman"/>
          <w:sz w:val="24"/>
          <w:szCs w:val="24"/>
        </w:rPr>
        <w:t>116F</w:t>
      </w:r>
      <w:r w:rsidR="00934693" w:rsidRPr="008F198C">
        <w:rPr>
          <w:rFonts w:ascii="Times New Roman" w:hAnsi="Times New Roman" w:cs="Times New Roman"/>
          <w:sz w:val="24"/>
          <w:szCs w:val="24"/>
        </w:rPr>
        <w:t xml:space="preserve"> of the judgment in </w:t>
      </w:r>
      <w:r w:rsidR="00934693" w:rsidRPr="008F198C">
        <w:rPr>
          <w:rFonts w:ascii="Times New Roman" w:hAnsi="Times New Roman" w:cs="Times New Roman"/>
          <w:i/>
          <w:sz w:val="24"/>
          <w:szCs w:val="24"/>
        </w:rPr>
        <w:t>S v Ostilly &amp; Others</w:t>
      </w:r>
      <w:r w:rsidR="00934693" w:rsidRPr="008F198C">
        <w:rPr>
          <w:rFonts w:ascii="Times New Roman" w:hAnsi="Times New Roman" w:cs="Times New Roman"/>
          <w:sz w:val="24"/>
          <w:szCs w:val="24"/>
        </w:rPr>
        <w:t xml:space="preserve"> (</w:t>
      </w:r>
      <w:r w:rsidR="00934693" w:rsidRPr="008F198C">
        <w:rPr>
          <w:rFonts w:ascii="Times New Roman" w:hAnsi="Times New Roman" w:cs="Times New Roman"/>
          <w:i/>
          <w:sz w:val="24"/>
          <w:szCs w:val="24"/>
        </w:rPr>
        <w:t>supra</w:t>
      </w:r>
      <w:r w:rsidR="00934693" w:rsidRPr="008F198C">
        <w:rPr>
          <w:rFonts w:ascii="Times New Roman" w:hAnsi="Times New Roman" w:cs="Times New Roman"/>
          <w:sz w:val="24"/>
          <w:szCs w:val="24"/>
        </w:rPr>
        <w:t>), the court stated:</w:t>
      </w:r>
    </w:p>
    <w:p w:rsidR="00C1228B" w:rsidRPr="008F198C" w:rsidRDefault="00934693" w:rsidP="0026634F">
      <w:pPr>
        <w:spacing w:after="0" w:line="240" w:lineRule="auto"/>
        <w:ind w:left="1701"/>
        <w:jc w:val="both"/>
        <w:rPr>
          <w:rFonts w:ascii="Times New Roman" w:hAnsi="Times New Roman" w:cs="Times New Roman"/>
          <w:sz w:val="24"/>
          <w:szCs w:val="24"/>
        </w:rPr>
      </w:pPr>
      <w:r w:rsidRPr="008F198C">
        <w:rPr>
          <w:rFonts w:ascii="Times New Roman" w:hAnsi="Times New Roman" w:cs="Times New Roman"/>
          <w:sz w:val="24"/>
          <w:szCs w:val="24"/>
        </w:rPr>
        <w:t>“</w:t>
      </w:r>
      <w:r w:rsidR="00C1228B" w:rsidRPr="008F198C">
        <w:rPr>
          <w:rFonts w:ascii="Times New Roman" w:hAnsi="Times New Roman" w:cs="Times New Roman"/>
          <w:sz w:val="24"/>
          <w:szCs w:val="24"/>
        </w:rPr>
        <w:t>’To constitute the crime of fraud there must be a willful pervasion of the truth with the intent to defraud, and to the prejudice of another.’</w:t>
      </w:r>
    </w:p>
    <w:p w:rsidR="00C1228B" w:rsidRPr="008F198C" w:rsidRDefault="00C1228B" w:rsidP="0026634F">
      <w:pPr>
        <w:spacing w:after="0" w:line="240" w:lineRule="auto"/>
        <w:ind w:left="1701"/>
        <w:jc w:val="both"/>
        <w:rPr>
          <w:rFonts w:ascii="Times New Roman" w:hAnsi="Times New Roman" w:cs="Times New Roman"/>
          <w:sz w:val="24"/>
          <w:szCs w:val="24"/>
        </w:rPr>
      </w:pPr>
      <w:r w:rsidRPr="008F198C">
        <w:rPr>
          <w:rFonts w:ascii="Times New Roman" w:hAnsi="Times New Roman" w:cs="Times New Roman"/>
          <w:sz w:val="24"/>
          <w:szCs w:val="24"/>
        </w:rPr>
        <w:lastRenderedPageBreak/>
        <w:t>(R v Jones and More, 1926 A.D. 350 at p352). See too Mattheus, De Criminbus, 48.7.11; Voet, 48.10.1; Van der Linden, Koopmans-handboek, 2.6.4.</w:t>
      </w:r>
      <w:r w:rsidR="00D17470" w:rsidRPr="008F198C">
        <w:rPr>
          <w:rFonts w:ascii="Times New Roman" w:hAnsi="Times New Roman" w:cs="Times New Roman"/>
          <w:sz w:val="24"/>
          <w:szCs w:val="24"/>
        </w:rPr>
        <w:t>”</w:t>
      </w:r>
    </w:p>
    <w:p w:rsidR="00D17470" w:rsidRPr="008F198C" w:rsidRDefault="00D17470" w:rsidP="00D17470">
      <w:pPr>
        <w:spacing w:after="0" w:line="240" w:lineRule="auto"/>
        <w:jc w:val="both"/>
        <w:rPr>
          <w:rFonts w:ascii="Times New Roman" w:hAnsi="Times New Roman" w:cs="Times New Roman"/>
          <w:sz w:val="24"/>
          <w:szCs w:val="24"/>
        </w:rPr>
      </w:pPr>
    </w:p>
    <w:p w:rsidR="007E5937" w:rsidRPr="008F198C" w:rsidRDefault="006919CC" w:rsidP="006919CC">
      <w:pPr>
        <w:spacing w:after="0" w:line="276" w:lineRule="auto"/>
        <w:ind w:left="1134"/>
        <w:jc w:val="both"/>
        <w:rPr>
          <w:rFonts w:ascii="Times New Roman" w:hAnsi="Times New Roman" w:cs="Times New Roman"/>
          <w:sz w:val="24"/>
          <w:szCs w:val="24"/>
        </w:rPr>
      </w:pPr>
      <w:r w:rsidRPr="008F198C">
        <w:rPr>
          <w:rFonts w:ascii="Times New Roman" w:hAnsi="Times New Roman" w:cs="Times New Roman"/>
          <w:sz w:val="24"/>
          <w:szCs w:val="24"/>
        </w:rPr>
        <w:t>“</w:t>
      </w:r>
      <w:r w:rsidR="00C1228B" w:rsidRPr="008F198C">
        <w:rPr>
          <w:rFonts w:ascii="Times New Roman" w:hAnsi="Times New Roman" w:cs="Times New Roman"/>
          <w:sz w:val="24"/>
          <w:szCs w:val="24"/>
        </w:rPr>
        <w:t>The concept of potential prejudice in this generally accepted definition of fraud has proved to be the controversial one. It is, however, settled law that a wide inter</w:t>
      </w:r>
      <w:r w:rsidR="00D17470" w:rsidRPr="008F198C">
        <w:rPr>
          <w:rFonts w:ascii="Times New Roman" w:hAnsi="Times New Roman" w:cs="Times New Roman"/>
          <w:sz w:val="24"/>
          <w:szCs w:val="24"/>
        </w:rPr>
        <w:t>pretation is to be given to it.</w:t>
      </w:r>
      <w:r w:rsidR="00D17470" w:rsidRPr="008F198C">
        <w:rPr>
          <w:rFonts w:ascii="Times New Roman" w:hAnsi="Times New Roman" w:cs="Times New Roman"/>
        </w:rPr>
        <w:t> </w:t>
      </w:r>
      <w:r w:rsidR="00C1228B" w:rsidRPr="008F198C">
        <w:rPr>
          <w:rFonts w:ascii="Times New Roman" w:hAnsi="Times New Roman" w:cs="Times New Roman"/>
          <w:sz w:val="24"/>
          <w:szCs w:val="24"/>
        </w:rPr>
        <w:t>It need not relate to a</w:t>
      </w:r>
      <w:r w:rsidRPr="008F198C">
        <w:rPr>
          <w:rFonts w:ascii="Times New Roman" w:hAnsi="Times New Roman" w:cs="Times New Roman"/>
          <w:sz w:val="24"/>
          <w:szCs w:val="24"/>
        </w:rPr>
        <w:t> </w:t>
      </w:r>
      <w:r w:rsidR="00C1228B" w:rsidRPr="008F198C">
        <w:rPr>
          <w:rFonts w:ascii="Times New Roman" w:hAnsi="Times New Roman" w:cs="Times New Roman"/>
          <w:sz w:val="24"/>
          <w:szCs w:val="24"/>
        </w:rPr>
        <w:t>financial</w:t>
      </w:r>
      <w:r w:rsidRPr="008F198C">
        <w:rPr>
          <w:rFonts w:ascii="Times New Roman" w:hAnsi="Times New Roman" w:cs="Times New Roman"/>
          <w:sz w:val="24"/>
          <w:szCs w:val="24"/>
        </w:rPr>
        <w:t> </w:t>
      </w:r>
      <w:r w:rsidR="00C1228B" w:rsidRPr="008F198C">
        <w:rPr>
          <w:rFonts w:ascii="Times New Roman" w:hAnsi="Times New Roman" w:cs="Times New Roman"/>
          <w:sz w:val="24"/>
          <w:szCs w:val="24"/>
        </w:rPr>
        <w:t>o</w:t>
      </w:r>
      <w:r w:rsidR="00D17470" w:rsidRPr="008F198C">
        <w:rPr>
          <w:rFonts w:ascii="Times New Roman" w:hAnsi="Times New Roman" w:cs="Times New Roman"/>
          <w:sz w:val="24"/>
          <w:szCs w:val="24"/>
        </w:rPr>
        <w:t>r</w:t>
      </w:r>
      <w:r w:rsidRPr="008F198C">
        <w:rPr>
          <w:rFonts w:ascii="Times New Roman" w:hAnsi="Times New Roman" w:cs="Times New Roman"/>
          <w:sz w:val="24"/>
          <w:szCs w:val="24"/>
        </w:rPr>
        <w:t> </w:t>
      </w:r>
      <w:r w:rsidR="00D17470" w:rsidRPr="008F198C">
        <w:rPr>
          <w:rFonts w:ascii="Times New Roman" w:hAnsi="Times New Roman" w:cs="Times New Roman"/>
          <w:sz w:val="24"/>
          <w:szCs w:val="24"/>
        </w:rPr>
        <w:t>proprietary</w:t>
      </w:r>
      <w:r w:rsidRPr="008F198C">
        <w:rPr>
          <w:rFonts w:ascii="Times New Roman" w:hAnsi="Times New Roman" w:cs="Times New Roman"/>
          <w:sz w:val="24"/>
          <w:szCs w:val="24"/>
        </w:rPr>
        <w:t> </w:t>
      </w:r>
      <w:r w:rsidR="00D17470" w:rsidRPr="008F198C">
        <w:rPr>
          <w:rFonts w:ascii="Times New Roman" w:hAnsi="Times New Roman" w:cs="Times New Roman"/>
          <w:sz w:val="24"/>
          <w:szCs w:val="24"/>
        </w:rPr>
        <w:t>interest.</w:t>
      </w:r>
      <w:r w:rsidRPr="008F198C">
        <w:rPr>
          <w:rFonts w:ascii="Times New Roman" w:hAnsi="Times New Roman" w:cs="Times New Roman"/>
          <w:sz w:val="24"/>
          <w:szCs w:val="24"/>
        </w:rPr>
        <w:t>  </w:t>
      </w:r>
      <w:r w:rsidR="00C1228B" w:rsidRPr="008F198C">
        <w:rPr>
          <w:rFonts w:ascii="Times New Roman" w:hAnsi="Times New Roman" w:cs="Times New Roman"/>
          <w:sz w:val="24"/>
          <w:szCs w:val="24"/>
        </w:rPr>
        <w:t>A</w:t>
      </w:r>
      <w:r w:rsidR="00D17470" w:rsidRPr="008F198C">
        <w:rPr>
          <w:rFonts w:ascii="Times New Roman" w:hAnsi="Times New Roman" w:cs="Times New Roman"/>
          <w:sz w:val="24"/>
          <w:szCs w:val="24"/>
        </w:rPr>
        <w:t> </w:t>
      </w:r>
      <w:r w:rsidRPr="008F198C">
        <w:rPr>
          <w:rFonts w:ascii="Times New Roman" w:hAnsi="Times New Roman" w:cs="Times New Roman"/>
          <w:sz w:val="24"/>
          <w:szCs w:val="24"/>
        </w:rPr>
        <w:t>misrepresentation calculated</w:t>
      </w:r>
      <w:r w:rsidR="00D17470" w:rsidRPr="008F198C">
        <w:rPr>
          <w:rFonts w:ascii="Times New Roman" w:hAnsi="Times New Roman" w:cs="Times New Roman"/>
          <w:sz w:val="24"/>
          <w:szCs w:val="24"/>
        </w:rPr>
        <w:t> </w:t>
      </w:r>
      <w:r w:rsidR="00C1228B" w:rsidRPr="008F198C">
        <w:rPr>
          <w:rFonts w:ascii="Times New Roman" w:hAnsi="Times New Roman" w:cs="Times New Roman"/>
          <w:sz w:val="24"/>
          <w:szCs w:val="24"/>
        </w:rPr>
        <w:t>to</w:t>
      </w:r>
      <w:r w:rsidR="00D17470" w:rsidRPr="008F198C">
        <w:rPr>
          <w:rFonts w:ascii="Times New Roman" w:hAnsi="Times New Roman" w:cs="Times New Roman"/>
          <w:sz w:val="24"/>
          <w:szCs w:val="24"/>
        </w:rPr>
        <w:t> </w:t>
      </w:r>
      <w:r w:rsidR="00C1228B" w:rsidRPr="008F198C">
        <w:rPr>
          <w:rFonts w:ascii="Times New Roman" w:hAnsi="Times New Roman" w:cs="Times New Roman"/>
          <w:sz w:val="24"/>
          <w:szCs w:val="24"/>
        </w:rPr>
        <w:t>disrupt,</w:t>
      </w:r>
      <w:r w:rsidR="00D17470" w:rsidRPr="008F198C">
        <w:rPr>
          <w:rFonts w:ascii="Times New Roman" w:hAnsi="Times New Roman" w:cs="Times New Roman"/>
          <w:sz w:val="24"/>
          <w:szCs w:val="24"/>
        </w:rPr>
        <w:t xml:space="preserve"> </w:t>
      </w:r>
      <w:r w:rsidR="00C1228B" w:rsidRPr="008F198C">
        <w:rPr>
          <w:rFonts w:ascii="Times New Roman" w:hAnsi="Times New Roman" w:cs="Times New Roman"/>
          <w:sz w:val="24"/>
          <w:szCs w:val="24"/>
        </w:rPr>
        <w:t>inconvenienc</w:t>
      </w:r>
      <w:r w:rsidR="00D17470" w:rsidRPr="008F198C">
        <w:rPr>
          <w:rFonts w:ascii="Times New Roman" w:hAnsi="Times New Roman" w:cs="Times New Roman"/>
          <w:sz w:val="24"/>
          <w:szCs w:val="24"/>
        </w:rPr>
        <w:t>e </w:t>
      </w:r>
      <w:r w:rsidR="00C1228B" w:rsidRPr="008F198C">
        <w:rPr>
          <w:rFonts w:ascii="Times New Roman" w:hAnsi="Times New Roman" w:cs="Times New Roman"/>
          <w:sz w:val="24"/>
          <w:szCs w:val="24"/>
        </w:rPr>
        <w:t xml:space="preserve">or frustrate an aspect of public administration, would amount to potential prejudice (cf. </w:t>
      </w:r>
      <w:r w:rsidR="00C1228B" w:rsidRPr="008F198C">
        <w:rPr>
          <w:rFonts w:ascii="Times New Roman" w:hAnsi="Times New Roman" w:cs="Times New Roman"/>
          <w:i/>
          <w:sz w:val="24"/>
          <w:szCs w:val="24"/>
        </w:rPr>
        <w:t>R v Ressel</w:t>
      </w:r>
      <w:r w:rsidR="00C1228B" w:rsidRPr="008F198C">
        <w:rPr>
          <w:rFonts w:ascii="Times New Roman" w:hAnsi="Times New Roman" w:cs="Times New Roman"/>
          <w:sz w:val="24"/>
          <w:szCs w:val="24"/>
        </w:rPr>
        <w:t>, 1968 (4) S.A.</w:t>
      </w:r>
      <w:r w:rsidR="007E5937" w:rsidRPr="008F198C">
        <w:rPr>
          <w:rFonts w:ascii="Times New Roman" w:hAnsi="Times New Roman" w:cs="Times New Roman"/>
          <w:sz w:val="24"/>
          <w:szCs w:val="24"/>
        </w:rPr>
        <w:t xml:space="preserve">224 (A.D.) at p 232). Such prejudice need not relate to the person to whom the misrepresentation is made. Thus in </w:t>
      </w:r>
      <w:r w:rsidR="007E5937" w:rsidRPr="008F198C">
        <w:rPr>
          <w:rFonts w:ascii="Times New Roman" w:hAnsi="Times New Roman" w:cs="Times New Roman"/>
          <w:i/>
          <w:sz w:val="24"/>
          <w:szCs w:val="24"/>
        </w:rPr>
        <w:t>R v Nel</w:t>
      </w:r>
      <w:r w:rsidR="007E5937" w:rsidRPr="008F198C">
        <w:rPr>
          <w:rFonts w:ascii="Times New Roman" w:hAnsi="Times New Roman" w:cs="Times New Roman"/>
          <w:sz w:val="24"/>
          <w:szCs w:val="24"/>
        </w:rPr>
        <w:t>, 1952 (4) S.A. 535 (T), CLAYDEN, J as he then was, said:</w:t>
      </w:r>
    </w:p>
    <w:p w:rsidR="0009147E" w:rsidRPr="008F198C" w:rsidRDefault="0009147E" w:rsidP="006919CC">
      <w:pPr>
        <w:spacing w:after="0" w:line="276" w:lineRule="auto"/>
        <w:ind w:left="1134"/>
        <w:jc w:val="both"/>
        <w:rPr>
          <w:rFonts w:ascii="Times New Roman" w:hAnsi="Times New Roman" w:cs="Times New Roman"/>
          <w:sz w:val="24"/>
          <w:szCs w:val="24"/>
        </w:rPr>
      </w:pPr>
    </w:p>
    <w:p w:rsidR="007E5937" w:rsidRPr="008F198C" w:rsidRDefault="007E5937" w:rsidP="006919CC">
      <w:pPr>
        <w:spacing w:after="0" w:line="240" w:lineRule="auto"/>
        <w:ind w:left="1701"/>
        <w:jc w:val="both"/>
        <w:rPr>
          <w:rFonts w:ascii="Times New Roman" w:hAnsi="Times New Roman" w:cs="Times New Roman"/>
          <w:sz w:val="24"/>
          <w:szCs w:val="24"/>
        </w:rPr>
      </w:pPr>
      <w:r w:rsidRPr="008F198C">
        <w:rPr>
          <w:rFonts w:ascii="Times New Roman" w:hAnsi="Times New Roman" w:cs="Times New Roman"/>
          <w:sz w:val="24"/>
          <w:szCs w:val="24"/>
        </w:rPr>
        <w:t>“But fraud can, I think, be committed though the statement is made to a person other than an agent. It seems to me that whatever the relationship between the person to whom the misrepresentation is made and the person who is prejudiced, if it can be proved that the prejudice was designed in the statement which was made, and came about or was likely to come about, then there is fraud.”</w:t>
      </w:r>
    </w:p>
    <w:p w:rsidR="0009147E" w:rsidRPr="008F198C" w:rsidRDefault="0009147E" w:rsidP="006919CC">
      <w:pPr>
        <w:spacing w:after="0" w:line="240" w:lineRule="auto"/>
        <w:ind w:left="1701"/>
        <w:jc w:val="both"/>
        <w:rPr>
          <w:rFonts w:ascii="Times New Roman" w:hAnsi="Times New Roman" w:cs="Times New Roman"/>
          <w:sz w:val="24"/>
          <w:szCs w:val="24"/>
        </w:rPr>
      </w:pPr>
    </w:p>
    <w:p w:rsidR="007E5937" w:rsidRPr="008F198C" w:rsidRDefault="006919CC" w:rsidP="006919CC">
      <w:pPr>
        <w:spacing w:after="0" w:line="276" w:lineRule="auto"/>
        <w:ind w:left="1134"/>
        <w:jc w:val="both"/>
        <w:rPr>
          <w:rFonts w:ascii="Times New Roman" w:hAnsi="Times New Roman" w:cs="Times New Roman"/>
          <w:sz w:val="24"/>
          <w:szCs w:val="24"/>
        </w:rPr>
      </w:pPr>
      <w:r w:rsidRPr="008F198C">
        <w:rPr>
          <w:rFonts w:ascii="Times New Roman" w:hAnsi="Times New Roman" w:cs="Times New Roman"/>
          <w:sz w:val="24"/>
          <w:szCs w:val="24"/>
        </w:rPr>
        <w:t>“</w:t>
      </w:r>
      <w:r w:rsidR="007E5937" w:rsidRPr="008F198C">
        <w:rPr>
          <w:rFonts w:ascii="Times New Roman" w:hAnsi="Times New Roman" w:cs="Times New Roman"/>
          <w:sz w:val="24"/>
          <w:szCs w:val="24"/>
        </w:rPr>
        <w:t>The causative link between any misrepresentation and the actual or potential result is, to my mind, an important element of the offence and a</w:t>
      </w:r>
      <w:r w:rsidR="000F5CEA" w:rsidRPr="008F198C">
        <w:rPr>
          <w:rFonts w:ascii="Times New Roman" w:hAnsi="Times New Roman" w:cs="Times New Roman"/>
          <w:sz w:val="24"/>
          <w:szCs w:val="24"/>
        </w:rPr>
        <w:t xml:space="preserve"> </w:t>
      </w:r>
      <w:r w:rsidR="007E5937" w:rsidRPr="008F198C">
        <w:rPr>
          <w:rFonts w:ascii="Times New Roman" w:hAnsi="Times New Roman" w:cs="Times New Roman"/>
          <w:sz w:val="24"/>
          <w:szCs w:val="24"/>
        </w:rPr>
        <w:t>vital aspect of the enquiry in this case. In this regard I respectfully agree with the observations by Hunt in South African Criminal Law and Procedure, vol. II, that this causative element is implicit in the conce</w:t>
      </w:r>
      <w:r w:rsidR="00D17470" w:rsidRPr="008F198C">
        <w:rPr>
          <w:rFonts w:ascii="Times New Roman" w:hAnsi="Times New Roman" w:cs="Times New Roman"/>
          <w:sz w:val="24"/>
          <w:szCs w:val="24"/>
        </w:rPr>
        <w:t>pt of potential prejudice. At p </w:t>
      </w:r>
      <w:r w:rsidR="007E5937" w:rsidRPr="008F198C">
        <w:rPr>
          <w:rFonts w:ascii="Times New Roman" w:hAnsi="Times New Roman" w:cs="Times New Roman"/>
          <w:sz w:val="24"/>
          <w:szCs w:val="24"/>
        </w:rPr>
        <w:t>728 the learned author says:</w:t>
      </w:r>
    </w:p>
    <w:p w:rsidR="0009147E" w:rsidRPr="008F198C" w:rsidRDefault="0009147E" w:rsidP="006919CC">
      <w:pPr>
        <w:spacing w:after="0" w:line="276" w:lineRule="auto"/>
        <w:ind w:left="1134"/>
        <w:jc w:val="both"/>
        <w:rPr>
          <w:rFonts w:ascii="Times New Roman" w:hAnsi="Times New Roman" w:cs="Times New Roman"/>
          <w:sz w:val="24"/>
          <w:szCs w:val="24"/>
        </w:rPr>
      </w:pPr>
    </w:p>
    <w:p w:rsidR="007D175E" w:rsidRPr="008F198C" w:rsidRDefault="007E5937" w:rsidP="006919CC">
      <w:pPr>
        <w:spacing w:after="0" w:line="240" w:lineRule="auto"/>
        <w:ind w:left="1854"/>
        <w:jc w:val="both"/>
        <w:rPr>
          <w:rFonts w:ascii="Times New Roman" w:hAnsi="Times New Roman" w:cs="Times New Roman"/>
          <w:sz w:val="24"/>
          <w:szCs w:val="24"/>
        </w:rPr>
      </w:pPr>
      <w:r w:rsidRPr="008F198C">
        <w:rPr>
          <w:rFonts w:ascii="Times New Roman" w:hAnsi="Times New Roman" w:cs="Times New Roman"/>
          <w:sz w:val="24"/>
          <w:szCs w:val="24"/>
        </w:rPr>
        <w:t>“It is often stated that there must a causal link between the misrepresentation and the actual or potential prejudice. The word ‘potential’, however, incorporates</w:t>
      </w:r>
      <w:r w:rsidR="007D175E" w:rsidRPr="008F198C">
        <w:rPr>
          <w:rFonts w:ascii="Times New Roman" w:hAnsi="Times New Roman" w:cs="Times New Roman"/>
          <w:sz w:val="24"/>
          <w:szCs w:val="24"/>
        </w:rPr>
        <w:t xml:space="preserve"> in itself a test of causation. ‘Potentiality’ is a way of referring to causation. It is therefore logically redundant to say that the misrepresentation must cause the potential prejudice: if the misrepresentation is potentially prejudicial, the law’s causation requirements will have been satisfied.”</w:t>
      </w:r>
    </w:p>
    <w:p w:rsidR="00D17470" w:rsidRPr="008F198C" w:rsidRDefault="00D17470" w:rsidP="00D17470">
      <w:pPr>
        <w:spacing w:after="0" w:line="240" w:lineRule="auto"/>
        <w:ind w:left="567"/>
        <w:jc w:val="both"/>
        <w:rPr>
          <w:rFonts w:ascii="Times New Roman" w:hAnsi="Times New Roman" w:cs="Times New Roman"/>
          <w:sz w:val="24"/>
          <w:szCs w:val="24"/>
        </w:rPr>
      </w:pPr>
    </w:p>
    <w:p w:rsidR="007D175E" w:rsidRPr="008F198C" w:rsidRDefault="006919CC" w:rsidP="006919CC">
      <w:pPr>
        <w:spacing w:after="0" w:line="276" w:lineRule="auto"/>
        <w:ind w:left="1134"/>
        <w:jc w:val="both"/>
        <w:rPr>
          <w:rFonts w:ascii="Times New Roman" w:hAnsi="Times New Roman" w:cs="Times New Roman"/>
          <w:sz w:val="24"/>
          <w:szCs w:val="24"/>
        </w:rPr>
      </w:pPr>
      <w:r w:rsidRPr="008F198C">
        <w:rPr>
          <w:rFonts w:ascii="Times New Roman" w:hAnsi="Times New Roman" w:cs="Times New Roman"/>
          <w:sz w:val="24"/>
          <w:szCs w:val="24"/>
        </w:rPr>
        <w:t>“</w:t>
      </w:r>
      <w:r w:rsidR="007D175E" w:rsidRPr="008F198C">
        <w:rPr>
          <w:rFonts w:ascii="Times New Roman" w:hAnsi="Times New Roman" w:cs="Times New Roman"/>
          <w:sz w:val="24"/>
          <w:szCs w:val="24"/>
        </w:rPr>
        <w:t>What is the test to be applied to determine whether this requirement is in fact satisfied? In the above cited passage from the judgment of CLAYDEN, J, the learned judge postulates proof that the designed prejudice “was likely to come about”. Subsequently, in R v Bester, 1961 (2) S.A. 52(F.C.) at p54, he qualifies the use of the word “likely” in the light of the remarks of SCHREINER, J.A., in R v Heyne, 1956 (3) S.A. 604(A.D.), which are as follows:</w:t>
      </w:r>
    </w:p>
    <w:p w:rsidR="0009147E" w:rsidRPr="008F198C" w:rsidRDefault="0009147E" w:rsidP="006919CC">
      <w:pPr>
        <w:spacing w:after="0" w:line="276" w:lineRule="auto"/>
        <w:ind w:left="1134"/>
        <w:jc w:val="both"/>
        <w:rPr>
          <w:rFonts w:ascii="Times New Roman" w:hAnsi="Times New Roman" w:cs="Times New Roman"/>
          <w:sz w:val="24"/>
          <w:szCs w:val="24"/>
        </w:rPr>
      </w:pPr>
    </w:p>
    <w:p w:rsidR="00D869E5" w:rsidRPr="008F198C" w:rsidRDefault="007D175E" w:rsidP="006919CC">
      <w:pPr>
        <w:spacing w:after="0" w:line="240" w:lineRule="auto"/>
        <w:ind w:left="1854"/>
        <w:jc w:val="both"/>
        <w:rPr>
          <w:rFonts w:ascii="Times New Roman" w:hAnsi="Times New Roman" w:cs="Times New Roman"/>
          <w:sz w:val="24"/>
          <w:szCs w:val="24"/>
        </w:rPr>
      </w:pPr>
      <w:r w:rsidRPr="008F198C">
        <w:rPr>
          <w:rFonts w:ascii="Times New Roman" w:hAnsi="Times New Roman" w:cs="Times New Roman"/>
          <w:sz w:val="24"/>
          <w:szCs w:val="24"/>
        </w:rPr>
        <w:t xml:space="preserve">“The false statement must be such as to involve some risk of harm which need not be financial </w:t>
      </w:r>
      <w:r w:rsidR="00D869E5" w:rsidRPr="008F198C">
        <w:rPr>
          <w:rFonts w:ascii="Times New Roman" w:hAnsi="Times New Roman" w:cs="Times New Roman"/>
          <w:sz w:val="24"/>
          <w:szCs w:val="24"/>
        </w:rPr>
        <w:t>or proprietary, but must not be too remote or fanciful, to some person, not necessarily the person to whom it was addressed.”</w:t>
      </w:r>
    </w:p>
    <w:p w:rsidR="00D17470" w:rsidRPr="008F198C" w:rsidRDefault="00D17470" w:rsidP="00D17470">
      <w:pPr>
        <w:spacing w:after="0" w:line="240" w:lineRule="auto"/>
        <w:ind w:left="567"/>
        <w:jc w:val="both"/>
        <w:rPr>
          <w:rFonts w:ascii="Times New Roman" w:hAnsi="Times New Roman" w:cs="Times New Roman"/>
          <w:sz w:val="24"/>
          <w:szCs w:val="24"/>
        </w:rPr>
      </w:pPr>
    </w:p>
    <w:p w:rsidR="00D17470" w:rsidRPr="008F198C" w:rsidRDefault="006919CC" w:rsidP="006919CC">
      <w:pPr>
        <w:spacing w:after="0" w:line="276" w:lineRule="auto"/>
        <w:ind w:left="1134"/>
        <w:jc w:val="both"/>
        <w:rPr>
          <w:rFonts w:ascii="Times New Roman" w:hAnsi="Times New Roman" w:cs="Times New Roman"/>
          <w:sz w:val="24"/>
          <w:szCs w:val="24"/>
        </w:rPr>
      </w:pPr>
      <w:r w:rsidRPr="008F198C">
        <w:rPr>
          <w:rFonts w:ascii="Times New Roman" w:hAnsi="Times New Roman" w:cs="Times New Roman"/>
          <w:sz w:val="24"/>
          <w:szCs w:val="24"/>
        </w:rPr>
        <w:lastRenderedPageBreak/>
        <w:t>“</w:t>
      </w:r>
      <w:r w:rsidR="00D869E5" w:rsidRPr="008F198C">
        <w:rPr>
          <w:rFonts w:ascii="Times New Roman" w:hAnsi="Times New Roman" w:cs="Times New Roman"/>
          <w:sz w:val="24"/>
          <w:szCs w:val="24"/>
        </w:rPr>
        <w:t xml:space="preserve">Similar phraseology has been used in other case to convey the nature of this requirement. Thus in </w:t>
      </w:r>
      <w:r w:rsidR="00D869E5" w:rsidRPr="008F198C">
        <w:rPr>
          <w:rFonts w:ascii="Times New Roman" w:hAnsi="Times New Roman" w:cs="Times New Roman"/>
          <w:i/>
          <w:sz w:val="24"/>
          <w:szCs w:val="24"/>
        </w:rPr>
        <w:t>R v Seabe</w:t>
      </w:r>
      <w:r w:rsidR="00D869E5" w:rsidRPr="008F198C">
        <w:rPr>
          <w:rFonts w:ascii="Times New Roman" w:hAnsi="Times New Roman" w:cs="Times New Roman"/>
          <w:sz w:val="24"/>
          <w:szCs w:val="24"/>
        </w:rPr>
        <w:t>, 1927 A.D 28 at p 32, WESSELS, J.A. said:</w:t>
      </w:r>
    </w:p>
    <w:p w:rsidR="0009147E" w:rsidRPr="008F198C" w:rsidRDefault="0009147E" w:rsidP="006919CC">
      <w:pPr>
        <w:spacing w:after="0" w:line="276" w:lineRule="auto"/>
        <w:ind w:left="1134"/>
        <w:jc w:val="both"/>
        <w:rPr>
          <w:rFonts w:ascii="Times New Roman" w:hAnsi="Times New Roman" w:cs="Times New Roman"/>
          <w:sz w:val="24"/>
          <w:szCs w:val="24"/>
        </w:rPr>
      </w:pPr>
    </w:p>
    <w:p w:rsidR="00D869E5" w:rsidRPr="008F198C" w:rsidRDefault="00D869E5" w:rsidP="006919CC">
      <w:pPr>
        <w:spacing w:after="0" w:line="240" w:lineRule="auto"/>
        <w:ind w:left="1854"/>
        <w:jc w:val="both"/>
        <w:rPr>
          <w:rFonts w:ascii="Times New Roman" w:hAnsi="Times New Roman" w:cs="Times New Roman"/>
          <w:sz w:val="24"/>
          <w:szCs w:val="24"/>
        </w:rPr>
      </w:pPr>
      <w:r w:rsidRPr="008F198C">
        <w:rPr>
          <w:rFonts w:ascii="Times New Roman" w:hAnsi="Times New Roman" w:cs="Times New Roman"/>
          <w:sz w:val="24"/>
          <w:szCs w:val="24"/>
        </w:rPr>
        <w:t>“It seems to me therefore that where there is some risk, though perhaps slight, the element of prejudice necessary to support crimen falsi exists.”</w:t>
      </w:r>
    </w:p>
    <w:p w:rsidR="0009147E" w:rsidRPr="008F198C" w:rsidRDefault="0009147E" w:rsidP="006919CC">
      <w:pPr>
        <w:spacing w:after="0" w:line="240" w:lineRule="auto"/>
        <w:ind w:left="1854"/>
        <w:jc w:val="both"/>
        <w:rPr>
          <w:rFonts w:ascii="Times New Roman" w:hAnsi="Times New Roman" w:cs="Times New Roman"/>
          <w:sz w:val="24"/>
          <w:szCs w:val="24"/>
        </w:rPr>
      </w:pPr>
    </w:p>
    <w:p w:rsidR="00C23E7B" w:rsidRPr="008F198C" w:rsidRDefault="006919CC" w:rsidP="006919CC">
      <w:pPr>
        <w:spacing w:after="0" w:line="276" w:lineRule="auto"/>
        <w:ind w:left="1134"/>
        <w:jc w:val="both"/>
        <w:rPr>
          <w:rFonts w:ascii="Times New Roman" w:hAnsi="Times New Roman" w:cs="Times New Roman"/>
          <w:sz w:val="24"/>
          <w:szCs w:val="24"/>
        </w:rPr>
      </w:pPr>
      <w:r w:rsidRPr="008F198C">
        <w:rPr>
          <w:rFonts w:ascii="Times New Roman" w:hAnsi="Times New Roman" w:cs="Times New Roman"/>
          <w:sz w:val="24"/>
          <w:szCs w:val="24"/>
        </w:rPr>
        <w:t>“</w:t>
      </w:r>
      <w:r w:rsidR="00D869E5" w:rsidRPr="008F198C">
        <w:rPr>
          <w:rFonts w:ascii="Times New Roman" w:hAnsi="Times New Roman" w:cs="Times New Roman"/>
          <w:sz w:val="24"/>
          <w:szCs w:val="24"/>
        </w:rPr>
        <w:t xml:space="preserve">This approach to the question accords with the views expressed by VAN DEN HEEVER, A.J.P., as he then was in </w:t>
      </w:r>
      <w:r w:rsidR="00D869E5" w:rsidRPr="008F198C">
        <w:rPr>
          <w:rFonts w:ascii="Times New Roman" w:hAnsi="Times New Roman" w:cs="Times New Roman"/>
          <w:i/>
          <w:sz w:val="24"/>
          <w:szCs w:val="24"/>
        </w:rPr>
        <w:t>R v Frankfort Motors (Pty) Ltd and Others</w:t>
      </w:r>
      <w:r w:rsidR="00D869E5" w:rsidRPr="008F198C">
        <w:rPr>
          <w:rFonts w:ascii="Times New Roman" w:hAnsi="Times New Roman" w:cs="Times New Roman"/>
          <w:sz w:val="24"/>
          <w:szCs w:val="24"/>
        </w:rPr>
        <w:t xml:space="preserve"> 1946 O.P.D. 255. After an exhaustive review of Roman Law authorities, in which there is no reference to prejudice as a requirement, and of our common law writers, from which it appears that this element was incorrectly incorporated in the definition of fraud by certain of our later common law writers, the learned judge pleads in effect for no further</w:t>
      </w:r>
      <w:r w:rsidR="00C23E7B" w:rsidRPr="008F198C">
        <w:rPr>
          <w:rFonts w:ascii="Times New Roman" w:hAnsi="Times New Roman" w:cs="Times New Roman"/>
          <w:sz w:val="24"/>
          <w:szCs w:val="24"/>
        </w:rPr>
        <w:t xml:space="preserve"> “</w:t>
      </w:r>
      <w:r w:rsidR="00C23E7B" w:rsidRPr="008F198C">
        <w:rPr>
          <w:rFonts w:ascii="Times New Roman" w:hAnsi="Times New Roman" w:cs="Times New Roman"/>
          <w:i/>
          <w:sz w:val="24"/>
          <w:szCs w:val="24"/>
        </w:rPr>
        <w:t>regdwaling ad consequetias</w:t>
      </w:r>
      <w:r w:rsidR="00C23E7B" w:rsidRPr="008F198C">
        <w:rPr>
          <w:rFonts w:ascii="Times New Roman" w:hAnsi="Times New Roman" w:cs="Times New Roman"/>
          <w:sz w:val="24"/>
          <w:szCs w:val="24"/>
        </w:rPr>
        <w:t xml:space="preserve">”, </w:t>
      </w:r>
      <w:r w:rsidR="00C23E7B" w:rsidRPr="008F198C">
        <w:rPr>
          <w:rFonts w:ascii="Times New Roman" w:hAnsi="Times New Roman" w:cs="Times New Roman"/>
          <w:i/>
          <w:sz w:val="24"/>
          <w:szCs w:val="24"/>
        </w:rPr>
        <w:t>inter alia</w:t>
      </w:r>
      <w:r w:rsidR="00C23E7B" w:rsidRPr="008F198C">
        <w:rPr>
          <w:rFonts w:ascii="Times New Roman" w:hAnsi="Times New Roman" w:cs="Times New Roman"/>
          <w:sz w:val="24"/>
          <w:szCs w:val="24"/>
        </w:rPr>
        <w:t>, by not taking to</w:t>
      </w:r>
      <w:r w:rsidR="003C6DC5" w:rsidRPr="008F198C">
        <w:rPr>
          <w:rFonts w:ascii="Times New Roman" w:hAnsi="Times New Roman" w:cs="Times New Roman"/>
          <w:sz w:val="24"/>
          <w:szCs w:val="24"/>
        </w:rPr>
        <w:t>o</w:t>
      </w:r>
      <w:r w:rsidR="00C23E7B" w:rsidRPr="008F198C">
        <w:rPr>
          <w:rFonts w:ascii="Times New Roman" w:hAnsi="Times New Roman" w:cs="Times New Roman"/>
          <w:sz w:val="24"/>
          <w:szCs w:val="24"/>
        </w:rPr>
        <w:t xml:space="preserve"> narrow a view</w:t>
      </w:r>
      <w:r w:rsidR="003C6DC5" w:rsidRPr="008F198C">
        <w:rPr>
          <w:rFonts w:ascii="Times New Roman" w:hAnsi="Times New Roman" w:cs="Times New Roman"/>
          <w:sz w:val="24"/>
          <w:szCs w:val="24"/>
        </w:rPr>
        <w:t xml:space="preserve"> of</w:t>
      </w:r>
      <w:r w:rsidR="00D17470" w:rsidRPr="008F198C">
        <w:rPr>
          <w:rFonts w:ascii="Times New Roman" w:hAnsi="Times New Roman" w:cs="Times New Roman"/>
          <w:sz w:val="24"/>
          <w:szCs w:val="24"/>
        </w:rPr>
        <w:t xml:space="preserve"> </w:t>
      </w:r>
      <w:r w:rsidR="003C6DC5" w:rsidRPr="008F198C">
        <w:rPr>
          <w:rFonts w:ascii="Times New Roman" w:hAnsi="Times New Roman" w:cs="Times New Roman"/>
          <w:sz w:val="24"/>
          <w:szCs w:val="24"/>
        </w:rPr>
        <w:t>………</w:t>
      </w:r>
      <w:r w:rsidR="00C23E7B" w:rsidRPr="008F198C">
        <w:rPr>
          <w:rFonts w:ascii="Times New Roman" w:hAnsi="Times New Roman" w:cs="Times New Roman"/>
          <w:sz w:val="24"/>
          <w:szCs w:val="24"/>
        </w:rPr>
        <w:t>.”</w:t>
      </w:r>
    </w:p>
    <w:p w:rsidR="006919CC" w:rsidRPr="008F198C" w:rsidRDefault="006919CC" w:rsidP="004157F4">
      <w:pPr>
        <w:spacing w:after="0" w:line="480" w:lineRule="auto"/>
        <w:jc w:val="both"/>
        <w:rPr>
          <w:rFonts w:ascii="Times New Roman" w:hAnsi="Times New Roman" w:cs="Times New Roman"/>
          <w:sz w:val="24"/>
          <w:szCs w:val="24"/>
        </w:rPr>
      </w:pPr>
    </w:p>
    <w:p w:rsidR="003C6DC5"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[14]</w:t>
      </w:r>
      <w:r w:rsidRPr="008F198C">
        <w:rPr>
          <w:rFonts w:ascii="Times New Roman" w:hAnsi="Times New Roman" w:cs="Times New Roman"/>
          <w:sz w:val="24"/>
          <w:szCs w:val="24"/>
        </w:rPr>
        <w:tab/>
      </w:r>
      <w:r w:rsidR="003C6DC5" w:rsidRPr="008F198C">
        <w:rPr>
          <w:rFonts w:ascii="Times New Roman" w:hAnsi="Times New Roman" w:cs="Times New Roman"/>
          <w:sz w:val="24"/>
          <w:szCs w:val="24"/>
        </w:rPr>
        <w:t xml:space="preserve">Although this is not an issue that the grounds of appeal addressed the court decided to allow Mr </w:t>
      </w:r>
      <w:r w:rsidR="003C6DC5" w:rsidRPr="008F198C">
        <w:rPr>
          <w:rFonts w:ascii="Times New Roman" w:hAnsi="Times New Roman" w:cs="Times New Roman"/>
          <w:i/>
          <w:sz w:val="24"/>
          <w:szCs w:val="24"/>
        </w:rPr>
        <w:t>Musarurwa</w:t>
      </w:r>
      <w:r w:rsidR="003C6DC5" w:rsidRPr="008F198C">
        <w:rPr>
          <w:rFonts w:ascii="Times New Roman" w:hAnsi="Times New Roman" w:cs="Times New Roman"/>
          <w:sz w:val="24"/>
          <w:szCs w:val="24"/>
        </w:rPr>
        <w:t xml:space="preserve"> to argue the point on the basis that it was an issue of law which can be raised at any time during proceedings. </w:t>
      </w:r>
    </w:p>
    <w:p w:rsidR="006919CC" w:rsidRPr="008F198C" w:rsidRDefault="006919CC" w:rsidP="006919CC">
      <w:pPr>
        <w:spacing w:after="0" w:line="480" w:lineRule="auto"/>
        <w:ind w:firstLine="1134"/>
        <w:jc w:val="both"/>
        <w:rPr>
          <w:rFonts w:ascii="Times New Roman" w:hAnsi="Times New Roman" w:cs="Times New Roman"/>
          <w:sz w:val="24"/>
          <w:szCs w:val="24"/>
        </w:rPr>
      </w:pPr>
    </w:p>
    <w:p w:rsidR="003C6DC5"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t>[15]</w:t>
      </w:r>
      <w:r w:rsidRPr="008F198C">
        <w:rPr>
          <w:rFonts w:ascii="Times New Roman" w:hAnsi="Times New Roman" w:cs="Times New Roman"/>
          <w:sz w:val="24"/>
          <w:szCs w:val="24"/>
        </w:rPr>
        <w:tab/>
      </w:r>
      <w:r w:rsidR="003C6DC5" w:rsidRPr="008F198C">
        <w:rPr>
          <w:rFonts w:ascii="Times New Roman" w:hAnsi="Times New Roman" w:cs="Times New Roman"/>
          <w:sz w:val="24"/>
          <w:szCs w:val="24"/>
        </w:rPr>
        <w:t xml:space="preserve">Even though the court </w:t>
      </w:r>
      <w:r w:rsidR="003C6DC5" w:rsidRPr="008F198C">
        <w:rPr>
          <w:rFonts w:ascii="Times New Roman" w:hAnsi="Times New Roman" w:cs="Times New Roman"/>
          <w:i/>
          <w:sz w:val="24"/>
          <w:szCs w:val="24"/>
        </w:rPr>
        <w:t>a quo</w:t>
      </w:r>
      <w:r w:rsidR="003C6DC5" w:rsidRPr="008F198C">
        <w:rPr>
          <w:rFonts w:ascii="Times New Roman" w:hAnsi="Times New Roman" w:cs="Times New Roman"/>
          <w:sz w:val="24"/>
          <w:szCs w:val="24"/>
        </w:rPr>
        <w:t xml:space="preserve"> resolved the issue on the basis of the provisions of s 157, it is clear that what is provided for in the provision is a common law principle. Fraud can be committed even if the person intended to be defrauded is not the person to whom the misrepresentation is communicated. In this case there was a misrepresentation to the Registrar. The misrepresentation presented risk to the complainant. A duplicate title deed was issued which resulted in </w:t>
      </w:r>
      <w:r w:rsidR="000F5CEA" w:rsidRPr="008F198C">
        <w:rPr>
          <w:rFonts w:ascii="Times New Roman" w:hAnsi="Times New Roman" w:cs="Times New Roman"/>
          <w:sz w:val="24"/>
          <w:szCs w:val="24"/>
        </w:rPr>
        <w:t xml:space="preserve">the </w:t>
      </w:r>
      <w:r w:rsidR="003C6DC5" w:rsidRPr="008F198C">
        <w:rPr>
          <w:rFonts w:ascii="Times New Roman" w:hAnsi="Times New Roman" w:cs="Times New Roman"/>
          <w:sz w:val="24"/>
          <w:szCs w:val="24"/>
        </w:rPr>
        <w:t>transfer of pledged property to some person other than the complainant. As a result of the misrepresentation the complainant w</w:t>
      </w:r>
      <w:r w:rsidR="00D17470" w:rsidRPr="008F198C">
        <w:rPr>
          <w:rFonts w:ascii="Times New Roman" w:hAnsi="Times New Roman" w:cs="Times New Roman"/>
          <w:sz w:val="24"/>
          <w:szCs w:val="24"/>
        </w:rPr>
        <w:t>as prejudiced to the sum of USD</w:t>
      </w:r>
      <w:r w:rsidR="003C6DC5" w:rsidRPr="008F198C">
        <w:rPr>
          <w:rFonts w:ascii="Times New Roman" w:hAnsi="Times New Roman" w:cs="Times New Roman"/>
          <w:sz w:val="24"/>
          <w:szCs w:val="24"/>
        </w:rPr>
        <w:t xml:space="preserve">27 473.00. If the Registrar had not been inveigled into releasing a copy of the title deeds the complainant would have been protected by the memorandum of understanding and the title deeds. Clearly the crime of fraud was established and the court </w:t>
      </w:r>
      <w:r w:rsidR="003C6DC5" w:rsidRPr="008F198C">
        <w:rPr>
          <w:rFonts w:ascii="Times New Roman" w:hAnsi="Times New Roman" w:cs="Times New Roman"/>
          <w:i/>
          <w:sz w:val="24"/>
          <w:szCs w:val="24"/>
        </w:rPr>
        <w:t>a quo</w:t>
      </w:r>
      <w:r w:rsidR="003C6DC5" w:rsidRPr="008F198C">
        <w:rPr>
          <w:rFonts w:ascii="Times New Roman" w:hAnsi="Times New Roman" w:cs="Times New Roman"/>
          <w:sz w:val="24"/>
          <w:szCs w:val="24"/>
        </w:rPr>
        <w:t xml:space="preserve"> was correct in its decision to dismiss the appeal by both appellants.</w:t>
      </w:r>
    </w:p>
    <w:p w:rsidR="003C6DC5" w:rsidRPr="008F198C" w:rsidRDefault="0026634F" w:rsidP="0026634F">
      <w:pPr>
        <w:spacing w:after="0" w:line="480" w:lineRule="auto"/>
        <w:ind w:left="720" w:hanging="720"/>
        <w:jc w:val="both"/>
        <w:rPr>
          <w:rFonts w:ascii="Times New Roman" w:hAnsi="Times New Roman" w:cs="Times New Roman"/>
          <w:sz w:val="24"/>
          <w:szCs w:val="24"/>
        </w:rPr>
      </w:pPr>
      <w:r w:rsidRPr="008F198C">
        <w:rPr>
          <w:rFonts w:ascii="Times New Roman" w:hAnsi="Times New Roman" w:cs="Times New Roman"/>
          <w:sz w:val="24"/>
          <w:szCs w:val="24"/>
        </w:rPr>
        <w:lastRenderedPageBreak/>
        <w:t>[16]</w:t>
      </w:r>
      <w:r w:rsidRPr="008F198C">
        <w:rPr>
          <w:rFonts w:ascii="Times New Roman" w:hAnsi="Times New Roman" w:cs="Times New Roman"/>
          <w:sz w:val="24"/>
          <w:szCs w:val="24"/>
        </w:rPr>
        <w:tab/>
      </w:r>
      <w:r w:rsidR="003C6DC5" w:rsidRPr="008F198C">
        <w:rPr>
          <w:rFonts w:ascii="Times New Roman" w:hAnsi="Times New Roman" w:cs="Times New Roman"/>
          <w:sz w:val="24"/>
          <w:szCs w:val="24"/>
        </w:rPr>
        <w:t>In the premises the appeal lacks merit and it is for the above reasons that the court dismissed it.</w:t>
      </w:r>
    </w:p>
    <w:p w:rsidR="003C6DC5" w:rsidRPr="008F198C" w:rsidRDefault="003C6DC5" w:rsidP="004157F4">
      <w:pPr>
        <w:spacing w:after="0" w:line="480" w:lineRule="auto"/>
        <w:jc w:val="both"/>
        <w:rPr>
          <w:rFonts w:ascii="Times New Roman" w:hAnsi="Times New Roman" w:cs="Times New Roman"/>
          <w:sz w:val="24"/>
          <w:szCs w:val="24"/>
        </w:rPr>
      </w:pPr>
    </w:p>
    <w:p w:rsidR="006919CC" w:rsidRPr="008F198C" w:rsidRDefault="006919CC" w:rsidP="004157F4">
      <w:pPr>
        <w:spacing w:after="0" w:line="480" w:lineRule="auto"/>
        <w:jc w:val="both"/>
        <w:rPr>
          <w:rFonts w:ascii="Times New Roman" w:hAnsi="Times New Roman" w:cs="Times New Roman"/>
          <w:sz w:val="24"/>
          <w:szCs w:val="24"/>
        </w:rPr>
      </w:pPr>
    </w:p>
    <w:p w:rsidR="00012A30" w:rsidRPr="008F198C" w:rsidRDefault="00012A30" w:rsidP="00D17470">
      <w:pPr>
        <w:spacing w:after="0" w:line="480" w:lineRule="auto"/>
        <w:ind w:firstLine="1134"/>
        <w:jc w:val="both"/>
        <w:rPr>
          <w:rFonts w:ascii="Times New Roman" w:hAnsi="Times New Roman" w:cs="Times New Roman"/>
          <w:sz w:val="24"/>
          <w:szCs w:val="24"/>
        </w:rPr>
      </w:pPr>
      <w:r w:rsidRPr="008F198C">
        <w:rPr>
          <w:rFonts w:ascii="Times New Roman" w:hAnsi="Times New Roman" w:cs="Times New Roman"/>
          <w:b/>
          <w:sz w:val="24"/>
          <w:szCs w:val="24"/>
        </w:rPr>
        <w:t>GWAUNZA DCJ</w:t>
      </w:r>
      <w:r w:rsidR="00D17470" w:rsidRPr="008F198C">
        <w:rPr>
          <w:rFonts w:ascii="Times New Roman" w:hAnsi="Times New Roman" w:cs="Times New Roman"/>
          <w:b/>
          <w:sz w:val="24"/>
          <w:szCs w:val="24"/>
        </w:rPr>
        <w:t>:</w:t>
      </w:r>
      <w:r w:rsidRPr="008F198C">
        <w:rPr>
          <w:rFonts w:ascii="Times New Roman" w:hAnsi="Times New Roman" w:cs="Times New Roman"/>
          <w:sz w:val="24"/>
          <w:szCs w:val="24"/>
        </w:rPr>
        <w:t xml:space="preserve">          I agree</w:t>
      </w:r>
    </w:p>
    <w:p w:rsidR="00D17470" w:rsidRPr="008F198C" w:rsidRDefault="00D17470" w:rsidP="00D17470">
      <w:pPr>
        <w:spacing w:after="0" w:line="480" w:lineRule="auto"/>
        <w:ind w:firstLine="1134"/>
        <w:jc w:val="both"/>
        <w:rPr>
          <w:rFonts w:ascii="Times New Roman" w:hAnsi="Times New Roman" w:cs="Times New Roman"/>
          <w:sz w:val="24"/>
          <w:szCs w:val="24"/>
        </w:rPr>
      </w:pPr>
    </w:p>
    <w:p w:rsidR="00012A30" w:rsidRPr="008F198C" w:rsidRDefault="00012A30" w:rsidP="00D17470">
      <w:pPr>
        <w:spacing w:after="0" w:line="480" w:lineRule="auto"/>
        <w:ind w:firstLine="1134"/>
        <w:jc w:val="both"/>
        <w:rPr>
          <w:rFonts w:ascii="Times New Roman" w:hAnsi="Times New Roman" w:cs="Times New Roman"/>
          <w:sz w:val="24"/>
          <w:szCs w:val="24"/>
        </w:rPr>
      </w:pPr>
      <w:r w:rsidRPr="008F198C">
        <w:rPr>
          <w:rFonts w:ascii="Times New Roman" w:hAnsi="Times New Roman" w:cs="Times New Roman"/>
          <w:b/>
          <w:sz w:val="24"/>
          <w:szCs w:val="24"/>
        </w:rPr>
        <w:t>MAKONI JA</w:t>
      </w:r>
      <w:r w:rsidR="00D17470" w:rsidRPr="008F198C">
        <w:rPr>
          <w:rFonts w:ascii="Times New Roman" w:hAnsi="Times New Roman" w:cs="Times New Roman"/>
          <w:b/>
          <w:sz w:val="24"/>
          <w:szCs w:val="24"/>
        </w:rPr>
        <w:t>:</w:t>
      </w:r>
      <w:r w:rsidRPr="008F198C">
        <w:rPr>
          <w:rFonts w:ascii="Times New Roman" w:hAnsi="Times New Roman" w:cs="Times New Roman"/>
          <w:sz w:val="24"/>
          <w:szCs w:val="24"/>
        </w:rPr>
        <w:t xml:space="preserve">            </w:t>
      </w:r>
      <w:r w:rsidR="008F198C">
        <w:rPr>
          <w:rFonts w:ascii="Times New Roman" w:hAnsi="Times New Roman" w:cs="Times New Roman"/>
          <w:sz w:val="24"/>
          <w:szCs w:val="24"/>
        </w:rPr>
        <w:tab/>
      </w:r>
      <w:r w:rsidRPr="008F198C">
        <w:rPr>
          <w:rFonts w:ascii="Times New Roman" w:hAnsi="Times New Roman" w:cs="Times New Roman"/>
          <w:sz w:val="24"/>
          <w:szCs w:val="24"/>
        </w:rPr>
        <w:t>I agree</w:t>
      </w:r>
    </w:p>
    <w:p w:rsidR="00012A30" w:rsidRPr="008F198C" w:rsidRDefault="00012A30" w:rsidP="004157F4">
      <w:pPr>
        <w:spacing w:after="0" w:line="480" w:lineRule="auto"/>
        <w:jc w:val="both"/>
        <w:rPr>
          <w:rFonts w:ascii="Times New Roman" w:hAnsi="Times New Roman" w:cs="Times New Roman"/>
          <w:sz w:val="24"/>
          <w:szCs w:val="24"/>
        </w:rPr>
      </w:pPr>
    </w:p>
    <w:p w:rsidR="00012A30" w:rsidRPr="008F198C" w:rsidRDefault="00012A30" w:rsidP="004157F4">
      <w:pPr>
        <w:spacing w:after="0" w:line="480" w:lineRule="auto"/>
        <w:jc w:val="both"/>
        <w:rPr>
          <w:rFonts w:ascii="Times New Roman" w:hAnsi="Times New Roman" w:cs="Times New Roman"/>
          <w:sz w:val="24"/>
          <w:szCs w:val="24"/>
        </w:rPr>
      </w:pPr>
    </w:p>
    <w:p w:rsidR="00012A30" w:rsidRPr="008F198C" w:rsidRDefault="00012A30" w:rsidP="004157F4">
      <w:pPr>
        <w:spacing w:after="0" w:line="480" w:lineRule="auto"/>
        <w:jc w:val="both"/>
        <w:rPr>
          <w:rFonts w:ascii="Times New Roman" w:hAnsi="Times New Roman" w:cs="Times New Roman"/>
          <w:sz w:val="24"/>
          <w:szCs w:val="24"/>
        </w:rPr>
      </w:pPr>
      <w:r w:rsidRPr="008F198C">
        <w:rPr>
          <w:rFonts w:ascii="Times New Roman" w:hAnsi="Times New Roman" w:cs="Times New Roman"/>
          <w:i/>
          <w:sz w:val="24"/>
          <w:szCs w:val="24"/>
        </w:rPr>
        <w:t>Maeresera &amp; Partners</w:t>
      </w:r>
      <w:r w:rsidR="00D17470" w:rsidRPr="008F198C">
        <w:rPr>
          <w:rFonts w:ascii="Times New Roman" w:hAnsi="Times New Roman" w:cs="Times New Roman"/>
          <w:i/>
          <w:sz w:val="24"/>
          <w:szCs w:val="24"/>
        </w:rPr>
        <w:t>,</w:t>
      </w:r>
      <w:r w:rsidRPr="008F198C">
        <w:rPr>
          <w:rFonts w:ascii="Times New Roman" w:hAnsi="Times New Roman" w:cs="Times New Roman"/>
          <w:sz w:val="24"/>
          <w:szCs w:val="24"/>
        </w:rPr>
        <w:t xml:space="preserve"> legal practitioners for the appellants</w:t>
      </w:r>
    </w:p>
    <w:p w:rsidR="00012A30" w:rsidRPr="008F198C" w:rsidRDefault="00012A30" w:rsidP="00D17470">
      <w:pPr>
        <w:spacing w:after="0" w:line="240" w:lineRule="auto"/>
        <w:jc w:val="both"/>
        <w:rPr>
          <w:rFonts w:ascii="Times New Roman" w:hAnsi="Times New Roman" w:cs="Times New Roman"/>
          <w:sz w:val="24"/>
          <w:szCs w:val="24"/>
        </w:rPr>
      </w:pPr>
      <w:r w:rsidRPr="008F198C">
        <w:rPr>
          <w:rFonts w:ascii="Times New Roman" w:hAnsi="Times New Roman" w:cs="Times New Roman"/>
          <w:i/>
          <w:sz w:val="24"/>
          <w:szCs w:val="24"/>
        </w:rPr>
        <w:t>The National Prosecuting Authority</w:t>
      </w:r>
      <w:r w:rsidR="00D17470" w:rsidRPr="008F198C">
        <w:rPr>
          <w:rFonts w:ascii="Times New Roman" w:hAnsi="Times New Roman" w:cs="Times New Roman"/>
          <w:sz w:val="24"/>
          <w:szCs w:val="24"/>
        </w:rPr>
        <w:t>,</w:t>
      </w:r>
      <w:r w:rsidRPr="008F198C">
        <w:rPr>
          <w:rFonts w:ascii="Times New Roman" w:hAnsi="Times New Roman" w:cs="Times New Roman"/>
          <w:sz w:val="24"/>
          <w:szCs w:val="24"/>
        </w:rPr>
        <w:t xml:space="preserve"> legal practitioners for the State  </w:t>
      </w:r>
    </w:p>
    <w:p w:rsidR="00491C2B" w:rsidRPr="008F198C" w:rsidRDefault="003C6DC5" w:rsidP="004268C4">
      <w:pPr>
        <w:spacing w:after="0" w:line="480" w:lineRule="auto"/>
        <w:jc w:val="both"/>
        <w:rPr>
          <w:rFonts w:ascii="Times New Roman" w:hAnsi="Times New Roman" w:cs="Times New Roman"/>
          <w:sz w:val="24"/>
          <w:szCs w:val="24"/>
        </w:rPr>
      </w:pPr>
      <w:r w:rsidRPr="008F198C">
        <w:rPr>
          <w:rFonts w:ascii="Times New Roman" w:hAnsi="Times New Roman" w:cs="Times New Roman"/>
          <w:sz w:val="24"/>
          <w:szCs w:val="24"/>
        </w:rPr>
        <w:t xml:space="preserve">   </w:t>
      </w:r>
    </w:p>
    <w:sectPr w:rsidR="00491C2B" w:rsidRPr="008F19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32" w:rsidRDefault="00314B32" w:rsidP="004157F4">
      <w:pPr>
        <w:spacing w:after="0" w:line="240" w:lineRule="auto"/>
      </w:pPr>
      <w:r>
        <w:separator/>
      </w:r>
    </w:p>
  </w:endnote>
  <w:endnote w:type="continuationSeparator" w:id="0">
    <w:p w:rsidR="00314B32" w:rsidRDefault="00314B32" w:rsidP="0041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32" w:rsidRDefault="00314B32" w:rsidP="004157F4">
      <w:pPr>
        <w:spacing w:after="0" w:line="240" w:lineRule="auto"/>
      </w:pPr>
      <w:r>
        <w:separator/>
      </w:r>
    </w:p>
  </w:footnote>
  <w:footnote w:type="continuationSeparator" w:id="0">
    <w:p w:rsidR="00314B32" w:rsidRDefault="00314B32" w:rsidP="00415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7F4" w:rsidRDefault="004157F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F4" w:rsidRPr="004927A6" w:rsidRDefault="004157F4">
                          <w:pPr>
                            <w:spacing w:after="0" w:line="240" w:lineRule="auto"/>
                            <w:jc w:val="right"/>
                            <w:rPr>
                              <w:rFonts w:ascii="Times New Roman" w:hAnsi="Times New Roman" w:cs="Times New Roman"/>
                              <w:b/>
                              <w:noProof/>
                            </w:rPr>
                          </w:pPr>
                          <w:r w:rsidRPr="004927A6">
                            <w:rPr>
                              <w:rFonts w:ascii="Times New Roman" w:hAnsi="Times New Roman" w:cs="Times New Roman"/>
                              <w:b/>
                              <w:noProof/>
                            </w:rPr>
                            <w:t xml:space="preserve">Judgment No. SC </w:t>
                          </w:r>
                          <w:r w:rsidR="002B7C9C" w:rsidRPr="004927A6">
                            <w:rPr>
                              <w:rFonts w:ascii="Times New Roman" w:hAnsi="Times New Roman" w:cs="Times New Roman"/>
                              <w:b/>
                              <w:noProof/>
                            </w:rPr>
                            <w:t>42</w:t>
                          </w:r>
                          <w:r w:rsidRPr="004927A6">
                            <w:rPr>
                              <w:rFonts w:ascii="Times New Roman" w:hAnsi="Times New Roman" w:cs="Times New Roman"/>
                              <w:b/>
                              <w:noProof/>
                            </w:rPr>
                            <w:t>/20</w:t>
                          </w:r>
                        </w:p>
                        <w:p w:rsidR="004157F4" w:rsidRPr="004927A6" w:rsidRDefault="004157F4">
                          <w:pPr>
                            <w:spacing w:after="0" w:line="240" w:lineRule="auto"/>
                            <w:jc w:val="right"/>
                            <w:rPr>
                              <w:rFonts w:ascii="Times New Roman" w:hAnsi="Times New Roman" w:cs="Times New Roman"/>
                              <w:b/>
                              <w:noProof/>
                            </w:rPr>
                          </w:pPr>
                          <w:r w:rsidRPr="004927A6">
                            <w:rPr>
                              <w:rFonts w:ascii="Times New Roman" w:hAnsi="Times New Roman" w:cs="Times New Roman"/>
                              <w:b/>
                              <w:noProof/>
                            </w:rPr>
                            <w:t>Civil Appeal No. SC 852/17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157F4" w:rsidRPr="004927A6" w:rsidRDefault="004157F4">
                    <w:pPr>
                      <w:spacing w:after="0" w:line="240" w:lineRule="auto"/>
                      <w:jc w:val="right"/>
                      <w:rPr>
                        <w:rFonts w:ascii="Times New Roman" w:hAnsi="Times New Roman" w:cs="Times New Roman"/>
                        <w:b/>
                        <w:noProof/>
                      </w:rPr>
                    </w:pPr>
                    <w:r w:rsidRPr="004927A6">
                      <w:rPr>
                        <w:rFonts w:ascii="Times New Roman" w:hAnsi="Times New Roman" w:cs="Times New Roman"/>
                        <w:b/>
                        <w:noProof/>
                      </w:rPr>
                      <w:t xml:space="preserve">Judgment No. SC </w:t>
                    </w:r>
                    <w:r w:rsidR="002B7C9C" w:rsidRPr="004927A6">
                      <w:rPr>
                        <w:rFonts w:ascii="Times New Roman" w:hAnsi="Times New Roman" w:cs="Times New Roman"/>
                        <w:b/>
                        <w:noProof/>
                      </w:rPr>
                      <w:t>42</w:t>
                    </w:r>
                    <w:r w:rsidRPr="004927A6">
                      <w:rPr>
                        <w:rFonts w:ascii="Times New Roman" w:hAnsi="Times New Roman" w:cs="Times New Roman"/>
                        <w:b/>
                        <w:noProof/>
                      </w:rPr>
                      <w:t>/20</w:t>
                    </w:r>
                  </w:p>
                  <w:p w:rsidR="004157F4" w:rsidRPr="004927A6" w:rsidRDefault="004157F4">
                    <w:pPr>
                      <w:spacing w:after="0" w:line="240" w:lineRule="auto"/>
                      <w:jc w:val="right"/>
                      <w:rPr>
                        <w:rFonts w:ascii="Times New Roman" w:hAnsi="Times New Roman" w:cs="Times New Roman"/>
                        <w:b/>
                        <w:noProof/>
                      </w:rPr>
                    </w:pPr>
                    <w:r w:rsidRPr="004927A6">
                      <w:rPr>
                        <w:rFonts w:ascii="Times New Roman" w:hAnsi="Times New Roman" w:cs="Times New Roman"/>
                        <w:b/>
                        <w:noProof/>
                      </w:rPr>
                      <w:t>Civil Appeal No. SC 852/17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157F4" w:rsidRDefault="004157F4">
                          <w:pPr>
                            <w:spacing w:after="0" w:line="240" w:lineRule="auto"/>
                            <w:rPr>
                              <w:color w:val="FFFFFF" w:themeColor="background1"/>
                            </w:rPr>
                          </w:pPr>
                          <w:r>
                            <w:fldChar w:fldCharType="begin"/>
                          </w:r>
                          <w:r>
                            <w:instrText xml:space="preserve"> PAGE   \* MERGEFORMAT </w:instrText>
                          </w:r>
                          <w:r>
                            <w:fldChar w:fldCharType="separate"/>
                          </w:r>
                          <w:r w:rsidR="004F5DCF" w:rsidRPr="004F5DC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157F4" w:rsidRDefault="004157F4">
                    <w:pPr>
                      <w:spacing w:after="0" w:line="240" w:lineRule="auto"/>
                      <w:rPr>
                        <w:color w:val="FFFFFF" w:themeColor="background1"/>
                      </w:rPr>
                    </w:pPr>
                    <w:r>
                      <w:fldChar w:fldCharType="begin"/>
                    </w:r>
                    <w:r>
                      <w:instrText xml:space="preserve"> PAGE   \* MERGEFORMAT </w:instrText>
                    </w:r>
                    <w:r>
                      <w:fldChar w:fldCharType="separate"/>
                    </w:r>
                    <w:r w:rsidR="004F5DCF" w:rsidRPr="004F5DC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63C19"/>
    <w:multiLevelType w:val="hybridMultilevel"/>
    <w:tmpl w:val="43822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C7"/>
    <w:rsid w:val="00012A30"/>
    <w:rsid w:val="000162F0"/>
    <w:rsid w:val="00052625"/>
    <w:rsid w:val="00070285"/>
    <w:rsid w:val="00082FA3"/>
    <w:rsid w:val="0009147E"/>
    <w:rsid w:val="000B1E97"/>
    <w:rsid w:val="000F5CEA"/>
    <w:rsid w:val="001158D4"/>
    <w:rsid w:val="0026634F"/>
    <w:rsid w:val="002B7C9C"/>
    <w:rsid w:val="002E16ED"/>
    <w:rsid w:val="00314B32"/>
    <w:rsid w:val="0032399F"/>
    <w:rsid w:val="003370EB"/>
    <w:rsid w:val="00387A89"/>
    <w:rsid w:val="003C6DC5"/>
    <w:rsid w:val="004157F4"/>
    <w:rsid w:val="004268C4"/>
    <w:rsid w:val="00433FD2"/>
    <w:rsid w:val="004362F8"/>
    <w:rsid w:val="004713DE"/>
    <w:rsid w:val="00491C2B"/>
    <w:rsid w:val="004927A6"/>
    <w:rsid w:val="004A7D0C"/>
    <w:rsid w:val="004C7EA4"/>
    <w:rsid w:val="004D2137"/>
    <w:rsid w:val="004F5DCF"/>
    <w:rsid w:val="00545043"/>
    <w:rsid w:val="006919CC"/>
    <w:rsid w:val="007933B5"/>
    <w:rsid w:val="007D175E"/>
    <w:rsid w:val="007E5937"/>
    <w:rsid w:val="007F61E0"/>
    <w:rsid w:val="00837719"/>
    <w:rsid w:val="008427C7"/>
    <w:rsid w:val="0084542D"/>
    <w:rsid w:val="00852518"/>
    <w:rsid w:val="008730A0"/>
    <w:rsid w:val="00891C15"/>
    <w:rsid w:val="008974F6"/>
    <w:rsid w:val="008D5685"/>
    <w:rsid w:val="008F198C"/>
    <w:rsid w:val="00934693"/>
    <w:rsid w:val="009E7A67"/>
    <w:rsid w:val="009F4D79"/>
    <w:rsid w:val="00A1015A"/>
    <w:rsid w:val="00A37C66"/>
    <w:rsid w:val="00AE1011"/>
    <w:rsid w:val="00B73FD6"/>
    <w:rsid w:val="00BA1EE9"/>
    <w:rsid w:val="00BE4778"/>
    <w:rsid w:val="00C1228B"/>
    <w:rsid w:val="00C23E7B"/>
    <w:rsid w:val="00CF2566"/>
    <w:rsid w:val="00CF2B64"/>
    <w:rsid w:val="00D04D8C"/>
    <w:rsid w:val="00D17470"/>
    <w:rsid w:val="00D869E5"/>
    <w:rsid w:val="00E52A7B"/>
    <w:rsid w:val="00E76EAC"/>
    <w:rsid w:val="00FB6B71"/>
    <w:rsid w:val="00FD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60BD50A-C698-493F-A063-E61EE980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3DE"/>
    <w:pPr>
      <w:ind w:left="720"/>
      <w:contextualSpacing/>
    </w:pPr>
  </w:style>
  <w:style w:type="paragraph" w:styleId="Header">
    <w:name w:val="header"/>
    <w:basedOn w:val="Normal"/>
    <w:link w:val="HeaderChar"/>
    <w:uiPriority w:val="99"/>
    <w:unhideWhenUsed/>
    <w:rsid w:val="00415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7F4"/>
  </w:style>
  <w:style w:type="paragraph" w:styleId="Footer">
    <w:name w:val="footer"/>
    <w:basedOn w:val="Normal"/>
    <w:link w:val="FooterChar"/>
    <w:uiPriority w:val="99"/>
    <w:unhideWhenUsed/>
    <w:rsid w:val="0041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dcterms:created xsi:type="dcterms:W3CDTF">2020-05-19T07:08:00Z</dcterms:created>
  <dcterms:modified xsi:type="dcterms:W3CDTF">2020-05-19T07:08:00Z</dcterms:modified>
</cp:coreProperties>
</file>