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5F" w:rsidRDefault="00CE285F" w:rsidP="00CE285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</w:t>
      </w:r>
      <w:r w:rsidR="009755F9">
        <w:rPr>
          <w:b/>
          <w:sz w:val="22"/>
          <w:szCs w:val="22"/>
        </w:rPr>
        <w:t xml:space="preserve">             JUDGMENT NO. LC/H/389</w:t>
      </w:r>
      <w:r>
        <w:rPr>
          <w:b/>
          <w:sz w:val="22"/>
          <w:szCs w:val="22"/>
        </w:rPr>
        <w:t>/16</w:t>
      </w:r>
    </w:p>
    <w:p w:rsidR="00CE285F" w:rsidRDefault="00CE285F" w:rsidP="00CE285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HARARE, </w:t>
      </w:r>
      <w:r w:rsidR="0083280F">
        <w:rPr>
          <w:b/>
          <w:sz w:val="22"/>
          <w:szCs w:val="22"/>
        </w:rPr>
        <w:t>18 MAY</w:t>
      </w:r>
      <w:r>
        <w:rPr>
          <w:b/>
          <w:sz w:val="22"/>
          <w:szCs w:val="22"/>
        </w:rPr>
        <w:t xml:space="preserve">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CASE NO. LC/H/APP/30/16</w:t>
      </w:r>
    </w:p>
    <w:p w:rsidR="00CE285F" w:rsidRDefault="00CE285F" w:rsidP="00CE285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9755F9">
        <w:rPr>
          <w:b/>
          <w:sz w:val="22"/>
          <w:szCs w:val="22"/>
        </w:rPr>
        <w:t>23 JUNE</w:t>
      </w:r>
      <w:bookmarkStart w:id="0" w:name="_GoBack"/>
      <w:bookmarkEnd w:id="0"/>
      <w:r>
        <w:rPr>
          <w:b/>
          <w:sz w:val="22"/>
          <w:szCs w:val="22"/>
        </w:rPr>
        <w:t xml:space="preserve">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CE285F" w:rsidRDefault="00CE285F" w:rsidP="00CE285F">
      <w:pPr>
        <w:spacing w:line="360" w:lineRule="auto"/>
        <w:jc w:val="both"/>
      </w:pPr>
      <w:r>
        <w:t>In the matter between:-</w:t>
      </w:r>
    </w:p>
    <w:p w:rsidR="00CE285F" w:rsidRDefault="00CE285F" w:rsidP="00CE285F">
      <w:pPr>
        <w:spacing w:line="360" w:lineRule="auto"/>
        <w:jc w:val="both"/>
      </w:pPr>
    </w:p>
    <w:p w:rsidR="00CE285F" w:rsidRDefault="0083280F" w:rsidP="00CE285F">
      <w:pPr>
        <w:spacing w:line="360" w:lineRule="auto"/>
        <w:jc w:val="both"/>
        <w:rPr>
          <w:b/>
        </w:rPr>
      </w:pPr>
      <w:r>
        <w:rPr>
          <w:b/>
        </w:rPr>
        <w:t>WILFORD NYAHANDA MAKONI</w:t>
      </w:r>
      <w:r w:rsidR="00CE285F">
        <w:rPr>
          <w:b/>
        </w:rPr>
        <w:tab/>
      </w:r>
      <w:r w:rsidR="00CE285F">
        <w:rPr>
          <w:b/>
        </w:rPr>
        <w:tab/>
      </w:r>
      <w:r w:rsidR="00CE285F">
        <w:rPr>
          <w:b/>
        </w:rPr>
        <w:tab/>
      </w:r>
      <w:r w:rsidR="00CE285F">
        <w:rPr>
          <w:b/>
        </w:rPr>
        <w:tab/>
        <w:t>Applicant</w:t>
      </w:r>
    </w:p>
    <w:p w:rsidR="00CE285F" w:rsidRDefault="00CE285F" w:rsidP="00CE285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CE285F" w:rsidRDefault="0083280F" w:rsidP="00CE285F">
      <w:pPr>
        <w:spacing w:line="360" w:lineRule="auto"/>
        <w:jc w:val="both"/>
        <w:rPr>
          <w:b/>
        </w:rPr>
      </w:pPr>
      <w:r>
        <w:rPr>
          <w:b/>
        </w:rPr>
        <w:t>CI</w:t>
      </w:r>
      <w:r w:rsidR="00CC3EFB">
        <w:rPr>
          <w:b/>
        </w:rPr>
        <w:t>TY</w:t>
      </w:r>
      <w:r>
        <w:rPr>
          <w:b/>
        </w:rPr>
        <w:t xml:space="preserve"> OF HARARE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E285F">
        <w:rPr>
          <w:b/>
        </w:rPr>
        <w:tab/>
      </w:r>
      <w:r w:rsidR="00CE285F">
        <w:rPr>
          <w:b/>
        </w:rPr>
        <w:tab/>
      </w:r>
      <w:r w:rsidR="00CE285F">
        <w:rPr>
          <w:b/>
        </w:rPr>
        <w:tab/>
      </w:r>
      <w:r w:rsidR="00CE285F">
        <w:rPr>
          <w:b/>
        </w:rPr>
        <w:tab/>
        <w:t>Respondent</w:t>
      </w:r>
    </w:p>
    <w:p w:rsidR="00CE285F" w:rsidRDefault="00CE285F" w:rsidP="00CE285F">
      <w:pPr>
        <w:spacing w:line="360" w:lineRule="auto"/>
        <w:jc w:val="both"/>
        <w:rPr>
          <w:b/>
        </w:rPr>
      </w:pPr>
    </w:p>
    <w:p w:rsidR="00CE285F" w:rsidRDefault="00CE285F" w:rsidP="00CE285F">
      <w:pPr>
        <w:spacing w:line="360" w:lineRule="auto"/>
        <w:jc w:val="both"/>
      </w:pPr>
      <w:r>
        <w:t>Before The Honourable E. Muchawa, Judge</w:t>
      </w:r>
    </w:p>
    <w:p w:rsidR="00CE285F" w:rsidRDefault="00CE285F" w:rsidP="00CE285F">
      <w:pPr>
        <w:spacing w:line="360" w:lineRule="auto"/>
        <w:jc w:val="both"/>
      </w:pPr>
    </w:p>
    <w:p w:rsidR="00CE285F" w:rsidRDefault="00CE285F" w:rsidP="00CE285F">
      <w:pPr>
        <w:spacing w:line="360" w:lineRule="auto"/>
        <w:ind w:left="2880" w:hanging="2880"/>
        <w:jc w:val="both"/>
        <w:rPr>
          <w:b/>
        </w:rPr>
      </w:pPr>
      <w:r>
        <w:rPr>
          <w:b/>
        </w:rPr>
        <w:t>For Applicant</w:t>
      </w:r>
      <w:r>
        <w:rPr>
          <w:b/>
        </w:rPr>
        <w:tab/>
      </w:r>
      <w:r w:rsidR="00FB0A51">
        <w:rPr>
          <w:b/>
        </w:rPr>
        <w:t>P.T. Chakanyuka (Legal Practitioner)</w:t>
      </w:r>
    </w:p>
    <w:p w:rsidR="00CE285F" w:rsidRDefault="00CE285F" w:rsidP="00CE285F">
      <w:pPr>
        <w:spacing w:line="360" w:lineRule="auto"/>
        <w:ind w:left="2880" w:hanging="2880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 w:rsidR="00CA1660">
        <w:rPr>
          <w:b/>
        </w:rPr>
        <w:t>Obey Shava (Legal Practitioner)</w:t>
      </w:r>
    </w:p>
    <w:p w:rsidR="00CE285F" w:rsidRDefault="00CE285F" w:rsidP="00CE285F">
      <w:pPr>
        <w:spacing w:line="360" w:lineRule="auto"/>
        <w:ind w:left="2880" w:hanging="2880"/>
        <w:jc w:val="both"/>
        <w:rPr>
          <w:b/>
          <w:sz w:val="28"/>
          <w:szCs w:val="28"/>
        </w:rPr>
      </w:pPr>
    </w:p>
    <w:p w:rsidR="00CE285F" w:rsidRDefault="00CE285F" w:rsidP="00CE285F">
      <w:pPr>
        <w:spacing w:line="360" w:lineRule="auto"/>
        <w:jc w:val="both"/>
        <w:rPr>
          <w:b/>
        </w:rPr>
      </w:pPr>
      <w:r>
        <w:rPr>
          <w:b/>
        </w:rPr>
        <w:t>MUCHAWA, J:</w:t>
      </w:r>
    </w:p>
    <w:p w:rsidR="00950754" w:rsidRDefault="00950754" w:rsidP="00CC3EFB">
      <w:pPr>
        <w:spacing w:line="360" w:lineRule="auto"/>
        <w:jc w:val="both"/>
      </w:pPr>
    </w:p>
    <w:p w:rsidR="009F7953" w:rsidRDefault="009F7953" w:rsidP="009F7953">
      <w:pPr>
        <w:spacing w:line="360" w:lineRule="auto"/>
        <w:jc w:val="both"/>
      </w:pPr>
      <w:r>
        <w:tab/>
        <w:t>This is an application for leave to appeal to the Supreme Court against a judgment of this Court of the 11</w:t>
      </w:r>
      <w:r w:rsidRPr="009F7953">
        <w:rPr>
          <w:vertAlign w:val="superscript"/>
        </w:rPr>
        <w:t>th</w:t>
      </w:r>
      <w:r>
        <w:t xml:space="preserve"> December 2015.</w:t>
      </w:r>
    </w:p>
    <w:p w:rsidR="009F7953" w:rsidRDefault="009F7953" w:rsidP="00D53232">
      <w:pPr>
        <w:jc w:val="both"/>
      </w:pPr>
    </w:p>
    <w:p w:rsidR="009F7953" w:rsidRDefault="009F7953" w:rsidP="004F281D">
      <w:pPr>
        <w:spacing w:line="360" w:lineRule="auto"/>
        <w:ind w:firstLine="720"/>
        <w:jc w:val="both"/>
      </w:pPr>
      <w:r>
        <w:t xml:space="preserve">The court found that the arbitrator </w:t>
      </w:r>
      <w:r w:rsidR="004F281D">
        <w:t>had erred in holding that the applicant had been unlawfully dismissed and in ordering reinstatement.</w:t>
      </w:r>
    </w:p>
    <w:p w:rsidR="00B347AF" w:rsidRDefault="00B347AF" w:rsidP="00D53232">
      <w:pPr>
        <w:ind w:firstLine="720"/>
        <w:jc w:val="both"/>
      </w:pPr>
    </w:p>
    <w:p w:rsidR="00390456" w:rsidRDefault="00B347AF" w:rsidP="004F281D">
      <w:pPr>
        <w:spacing w:line="360" w:lineRule="auto"/>
        <w:ind w:firstLine="720"/>
        <w:jc w:val="both"/>
      </w:pPr>
      <w:r>
        <w:t xml:space="preserve">The applicant who was employed as a chief clerical officer, by the </w:t>
      </w:r>
      <w:r w:rsidR="0033197F">
        <w:t>respondent was charged of fraud following two tran</w:t>
      </w:r>
      <w:r w:rsidR="00DF7883">
        <w:t xml:space="preserve">sactions he was involved </w:t>
      </w:r>
      <w:r w:rsidR="00A73EBF">
        <w:t xml:space="preserve">in, involving </w:t>
      </w:r>
      <w:r w:rsidR="00390456">
        <w:t>Central Dry Cleaners.</w:t>
      </w:r>
    </w:p>
    <w:p w:rsidR="00390456" w:rsidRDefault="00390456" w:rsidP="00D53232">
      <w:pPr>
        <w:ind w:firstLine="720"/>
        <w:jc w:val="both"/>
      </w:pPr>
    </w:p>
    <w:p w:rsidR="00390456" w:rsidRDefault="00390456" w:rsidP="004F281D">
      <w:pPr>
        <w:spacing w:line="360" w:lineRule="auto"/>
        <w:ind w:firstLine="720"/>
        <w:jc w:val="both"/>
      </w:pPr>
      <w:r>
        <w:t>It was a finding o</w:t>
      </w:r>
      <w:r w:rsidR="00A73EBF">
        <w:t>f this court that the applicant</w:t>
      </w:r>
      <w:r>
        <w:t xml:space="preserve"> had been properly found guilty of fraud and had been properly dismissed.</w:t>
      </w:r>
    </w:p>
    <w:p w:rsidR="00390456" w:rsidRDefault="00390456" w:rsidP="00D53232">
      <w:pPr>
        <w:ind w:firstLine="720"/>
        <w:jc w:val="both"/>
      </w:pPr>
    </w:p>
    <w:p w:rsidR="00796025" w:rsidRDefault="00390456" w:rsidP="004F281D">
      <w:pPr>
        <w:spacing w:line="360" w:lineRule="auto"/>
        <w:ind w:firstLine="720"/>
        <w:jc w:val="both"/>
      </w:pPr>
      <w:r>
        <w:t>The conduct of the applicant was found to fit within the definition of fraud in respondent’s Code of Conduct.  In particular, it</w:t>
      </w:r>
      <w:r w:rsidR="001D3B01">
        <w:t xml:space="preserve"> was found that the applicant had made several unlaw</w:t>
      </w:r>
      <w:r w:rsidR="000A2802">
        <w:t xml:space="preserve">ful </w:t>
      </w:r>
      <w:r w:rsidR="00A054D9">
        <w:t>representations</w:t>
      </w:r>
      <w:r w:rsidR="000A2802">
        <w:t xml:space="preserve"> </w:t>
      </w:r>
      <w:r w:rsidR="00A775E9">
        <w:t>t</w:t>
      </w:r>
      <w:r w:rsidR="000A2802">
        <w:t xml:space="preserve">o Central Dry Cleaners.  Applicant does not dispute that he made an </w:t>
      </w:r>
      <w:r w:rsidR="00B9407C">
        <w:t>unlawful visit to Central Dry Clea</w:t>
      </w:r>
      <w:r w:rsidR="00985E6B">
        <w:t xml:space="preserve">ners to remind them of an </w:t>
      </w:r>
      <w:r w:rsidR="00985E6B">
        <w:lastRenderedPageBreak/>
        <w:t>“overdue” account and that he threatened</w:t>
      </w:r>
      <w:r w:rsidR="00870C68">
        <w:t xml:space="preserve"> to </w:t>
      </w:r>
      <w:r w:rsidR="00796025">
        <w:t>disconnect them.  That account was in fact not overdue.</w:t>
      </w:r>
    </w:p>
    <w:p w:rsidR="00796025" w:rsidRDefault="00796025" w:rsidP="00D53232">
      <w:pPr>
        <w:ind w:firstLine="720"/>
        <w:jc w:val="both"/>
      </w:pPr>
    </w:p>
    <w:p w:rsidR="00B347AF" w:rsidRDefault="00796025" w:rsidP="004F281D">
      <w:pPr>
        <w:spacing w:line="360" w:lineRule="auto"/>
        <w:ind w:firstLine="720"/>
        <w:jc w:val="both"/>
      </w:pPr>
      <w:r>
        <w:t xml:space="preserve">A further </w:t>
      </w:r>
      <w:r w:rsidR="0063542C">
        <w:t xml:space="preserve">misrepresentation was made that applicant could make payments on behalf </w:t>
      </w:r>
      <w:r w:rsidR="001257A7">
        <w:t>of the Central Dry Cleaners messenger.</w:t>
      </w:r>
    </w:p>
    <w:p w:rsidR="001257A7" w:rsidRDefault="001257A7" w:rsidP="00D53232">
      <w:pPr>
        <w:ind w:firstLine="720"/>
        <w:jc w:val="both"/>
      </w:pPr>
    </w:p>
    <w:p w:rsidR="001257A7" w:rsidRDefault="001257A7" w:rsidP="004F281D">
      <w:pPr>
        <w:spacing w:line="360" w:lineRule="auto"/>
        <w:ind w:firstLine="720"/>
        <w:jc w:val="both"/>
      </w:pPr>
      <w:r>
        <w:t>The fa</w:t>
      </w:r>
      <w:r w:rsidR="001F77E1">
        <w:t>ke receipt</w:t>
      </w:r>
      <w:r w:rsidR="00A73EBF">
        <w:t>s</w:t>
      </w:r>
      <w:r w:rsidR="001F77E1">
        <w:t xml:space="preserve"> produce</w:t>
      </w:r>
      <w:r w:rsidR="00A73EBF">
        <w:t>d</w:t>
      </w:r>
      <w:r w:rsidR="001F77E1">
        <w:t xml:space="preserve"> show a further misrepresentation.</w:t>
      </w:r>
    </w:p>
    <w:p w:rsidR="001F77E1" w:rsidRDefault="001F77E1" w:rsidP="00D53232">
      <w:pPr>
        <w:ind w:firstLine="720"/>
        <w:jc w:val="both"/>
      </w:pPr>
    </w:p>
    <w:p w:rsidR="001F77E1" w:rsidRDefault="001F77E1" w:rsidP="004F281D">
      <w:pPr>
        <w:spacing w:line="360" w:lineRule="auto"/>
        <w:ind w:firstLine="720"/>
        <w:jc w:val="both"/>
      </w:pPr>
      <w:r>
        <w:t>The unlawful representations or changes can be either intentional or not</w:t>
      </w:r>
      <w:r w:rsidR="00203CA3">
        <w:t xml:space="preserve">.  It was found that applicant’s unlawful representations had been both in writing </w:t>
      </w:r>
      <w:r w:rsidR="00F212C5">
        <w:t>and by conduct.  The demonstrated prejudice to City of Harare was shown to be $6 608.00</w:t>
      </w:r>
      <w:r w:rsidR="00281C32">
        <w:t>.</w:t>
      </w:r>
    </w:p>
    <w:p w:rsidR="00281C32" w:rsidRDefault="00281C32" w:rsidP="00D53232">
      <w:pPr>
        <w:ind w:firstLine="720"/>
        <w:jc w:val="both"/>
      </w:pPr>
    </w:p>
    <w:p w:rsidR="00281C32" w:rsidRDefault="00281C32" w:rsidP="004F281D">
      <w:pPr>
        <w:spacing w:line="360" w:lineRule="auto"/>
        <w:ind w:firstLine="720"/>
        <w:jc w:val="both"/>
      </w:pPr>
      <w:r>
        <w:t xml:space="preserve">My finding was that the standard of proof required to be discharged as set out in </w:t>
      </w:r>
      <w:r w:rsidRPr="00D53232">
        <w:rPr>
          <w:i/>
        </w:rPr>
        <w:t>ZESA</w:t>
      </w:r>
      <w:r>
        <w:t xml:space="preserve"> v </w:t>
      </w:r>
      <w:r w:rsidRPr="00D53232">
        <w:rPr>
          <w:i/>
        </w:rPr>
        <w:t>D</w:t>
      </w:r>
      <w:r w:rsidR="003C06AE" w:rsidRPr="00D53232">
        <w:rPr>
          <w:i/>
        </w:rPr>
        <w:t>era</w:t>
      </w:r>
      <w:r w:rsidRPr="00D53232">
        <w:rPr>
          <w:i/>
        </w:rPr>
        <w:t xml:space="preserve"> </w:t>
      </w:r>
      <w:r>
        <w:t xml:space="preserve">SC 79-98 </w:t>
      </w:r>
      <w:r w:rsidR="003C06AE">
        <w:t>had been satisfied</w:t>
      </w:r>
      <w:r>
        <w:t>.</w:t>
      </w:r>
    </w:p>
    <w:p w:rsidR="00A1006B" w:rsidRDefault="00A1006B" w:rsidP="00D53232">
      <w:pPr>
        <w:ind w:firstLine="720"/>
        <w:jc w:val="both"/>
      </w:pPr>
    </w:p>
    <w:p w:rsidR="00A1006B" w:rsidRDefault="00A1006B" w:rsidP="004F281D">
      <w:pPr>
        <w:spacing w:line="360" w:lineRule="auto"/>
        <w:ind w:firstLine="720"/>
        <w:jc w:val="both"/>
      </w:pPr>
      <w:r>
        <w:t>In the proposed appeal, the applicant alleges that this court erred in its findings as the legal essential elements of the offence</w:t>
      </w:r>
      <w:r w:rsidR="00CE1343">
        <w:t xml:space="preserve"> were not established and proved.  It is further alleged that the perpetrator</w:t>
      </w:r>
      <w:r w:rsidR="00950754">
        <w:t xml:space="preserve"> of the offence of fraud is unclear and it was not the applicant even though he made a visit to Central Dry Cleaners once to remind them that their account was overdue</w:t>
      </w:r>
      <w:r w:rsidR="00524E21">
        <w:t>.</w:t>
      </w:r>
    </w:p>
    <w:p w:rsidR="00524E21" w:rsidRDefault="00524E21" w:rsidP="00D53232">
      <w:pPr>
        <w:ind w:firstLine="720"/>
        <w:jc w:val="both"/>
      </w:pPr>
    </w:p>
    <w:p w:rsidR="00524E21" w:rsidRDefault="00524E21" w:rsidP="004F281D">
      <w:pPr>
        <w:spacing w:line="360" w:lineRule="auto"/>
        <w:ind w:firstLine="720"/>
        <w:jc w:val="both"/>
      </w:pPr>
      <w:r>
        <w:t xml:space="preserve">In considering an application for leave to appeal, the court is guided by the case of </w:t>
      </w:r>
      <w:r w:rsidRPr="00D53232">
        <w:rPr>
          <w:i/>
        </w:rPr>
        <w:t>Pichanick N O</w:t>
      </w:r>
      <w:r>
        <w:t xml:space="preserve"> v </w:t>
      </w:r>
      <w:r w:rsidRPr="00D53232">
        <w:rPr>
          <w:i/>
        </w:rPr>
        <w:t>Paterson</w:t>
      </w:r>
      <w:r>
        <w:t xml:space="preserve"> 1993 (2) ZLR 163 it.  Leave to appeal should be </w:t>
      </w:r>
      <w:r w:rsidR="00F43DF7">
        <w:t xml:space="preserve">granted where there is a reasonable prospect of success, the amount in dispute is not trifling and the matter is of substantial importance to one or </w:t>
      </w:r>
      <w:r w:rsidR="00A15D8E">
        <w:t>both parties.</w:t>
      </w:r>
    </w:p>
    <w:p w:rsidR="00A15D8E" w:rsidRDefault="00A15D8E" w:rsidP="00E817F1">
      <w:pPr>
        <w:ind w:firstLine="720"/>
        <w:jc w:val="both"/>
      </w:pPr>
    </w:p>
    <w:p w:rsidR="00A15D8E" w:rsidRDefault="00A15D8E" w:rsidP="004F281D">
      <w:pPr>
        <w:spacing w:line="360" w:lineRule="auto"/>
        <w:ind w:firstLine="720"/>
        <w:jc w:val="both"/>
      </w:pPr>
      <w:r>
        <w:t>The primary question is whether or not there are prospects of success on appeal.</w:t>
      </w:r>
    </w:p>
    <w:p w:rsidR="00A15D8E" w:rsidRDefault="00A15D8E" w:rsidP="00E817F1">
      <w:pPr>
        <w:ind w:firstLine="720"/>
        <w:jc w:val="both"/>
      </w:pPr>
    </w:p>
    <w:p w:rsidR="00A15D8E" w:rsidRDefault="00A15D8E" w:rsidP="004F281D">
      <w:pPr>
        <w:spacing w:line="360" w:lineRule="auto"/>
        <w:ind w:firstLine="720"/>
        <w:jc w:val="both"/>
      </w:pPr>
      <w:r>
        <w:t>The applicant seems to ignore the extensi</w:t>
      </w:r>
      <w:r w:rsidR="00A974B1">
        <w:t xml:space="preserve">ve manner in which this court set out and demonstrated how the essential requirements of the offence were satisfied.  He has picked out certain aspects such as applicant’s </w:t>
      </w:r>
      <w:r w:rsidR="00A73EBF">
        <w:t xml:space="preserve">unlawful visit to </w:t>
      </w:r>
      <w:r w:rsidR="002B2A4D">
        <w:t xml:space="preserve">Central Dry Cleaners, to say this does not prove any fraud.  The court however cumulatively considered the applicant’s conduct and in balancing the probabilities in the case, </w:t>
      </w:r>
      <w:r w:rsidR="002B2A4D">
        <w:lastRenderedPageBreak/>
        <w:t>selected the more plausible conclusion, which was that applicant had indeed been part of the commission of fraud.</w:t>
      </w:r>
    </w:p>
    <w:p w:rsidR="002B2A4D" w:rsidRDefault="002B2A4D" w:rsidP="00E817F1">
      <w:pPr>
        <w:ind w:firstLine="720"/>
        <w:jc w:val="both"/>
      </w:pPr>
    </w:p>
    <w:p w:rsidR="007A01F1" w:rsidRDefault="00544E21" w:rsidP="00E817F1">
      <w:pPr>
        <w:spacing w:line="360" w:lineRule="auto"/>
        <w:ind w:firstLine="720"/>
        <w:jc w:val="both"/>
      </w:pPr>
      <w:r>
        <w:t>The applicant still has not grasped that the definition of fraud is not limited to where one makes unlawful changes but includes instances of unlawful representations</w:t>
      </w:r>
      <w:r w:rsidR="007A01F1">
        <w:t>.  Applicant, in his proposed ground 3 of appeal concedes that he made unlawful representations.</w:t>
      </w:r>
    </w:p>
    <w:p w:rsidR="00E817F1" w:rsidRDefault="00E817F1" w:rsidP="00E817F1">
      <w:pPr>
        <w:ind w:firstLine="720"/>
        <w:jc w:val="both"/>
      </w:pPr>
    </w:p>
    <w:p w:rsidR="007A01F1" w:rsidRDefault="007A01F1" w:rsidP="004F281D">
      <w:pPr>
        <w:spacing w:line="360" w:lineRule="auto"/>
        <w:ind w:firstLine="720"/>
        <w:jc w:val="both"/>
      </w:pPr>
      <w:r>
        <w:t>In the circumstances I do not see the Supreme</w:t>
      </w:r>
      <w:r w:rsidR="00B017BB">
        <w:t xml:space="preserve"> Court coming to a conclusion different from the one reached by this court.</w:t>
      </w:r>
    </w:p>
    <w:p w:rsidR="00B017BB" w:rsidRDefault="00B017BB" w:rsidP="00B017BB">
      <w:pPr>
        <w:spacing w:line="360" w:lineRule="auto"/>
        <w:jc w:val="both"/>
      </w:pPr>
    </w:p>
    <w:p w:rsidR="00B017BB" w:rsidRDefault="00B017BB" w:rsidP="00B017BB">
      <w:pPr>
        <w:spacing w:line="360" w:lineRule="auto"/>
        <w:jc w:val="both"/>
      </w:pPr>
      <w:r>
        <w:t>Accordingly the application for leave to appeal be and is hereby dismissed for lack of merit.</w:t>
      </w:r>
    </w:p>
    <w:p w:rsidR="00A87484" w:rsidRDefault="00A87484" w:rsidP="00B017BB">
      <w:pPr>
        <w:spacing w:line="360" w:lineRule="auto"/>
        <w:jc w:val="both"/>
      </w:pPr>
    </w:p>
    <w:p w:rsidR="00A87484" w:rsidRDefault="00A87484" w:rsidP="00B017BB">
      <w:pPr>
        <w:spacing w:line="360" w:lineRule="auto"/>
        <w:jc w:val="both"/>
      </w:pPr>
    </w:p>
    <w:p w:rsidR="00A87484" w:rsidRDefault="00A87484" w:rsidP="00B017BB">
      <w:pPr>
        <w:spacing w:line="360" w:lineRule="auto"/>
        <w:jc w:val="both"/>
      </w:pPr>
      <w:r w:rsidRPr="00E817F1">
        <w:rPr>
          <w:i/>
        </w:rPr>
        <w:t>Zvimba Legal Practitioners</w:t>
      </w:r>
      <w:r>
        <w:t>, applicant’s legal practitioners</w:t>
      </w:r>
    </w:p>
    <w:p w:rsidR="00A87484" w:rsidRDefault="00A87484" w:rsidP="00B017BB">
      <w:pPr>
        <w:spacing w:line="360" w:lineRule="auto"/>
        <w:jc w:val="both"/>
      </w:pPr>
      <w:r w:rsidRPr="00E817F1">
        <w:rPr>
          <w:i/>
        </w:rPr>
        <w:t>Mbidzo, Mucadehama &amp; Makoni</w:t>
      </w:r>
      <w:r w:rsidR="004764DB">
        <w:t>, respondent’s legal practitioners</w:t>
      </w:r>
    </w:p>
    <w:p w:rsidR="00281C32" w:rsidRDefault="00281C32" w:rsidP="004F281D">
      <w:pPr>
        <w:spacing w:line="360" w:lineRule="auto"/>
        <w:ind w:firstLine="720"/>
        <w:jc w:val="both"/>
      </w:pPr>
    </w:p>
    <w:sectPr w:rsidR="00281C32" w:rsidSect="00D0599D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A7" w:rsidRDefault="001A21A7" w:rsidP="00DB18BE">
      <w:r>
        <w:separator/>
      </w:r>
    </w:p>
  </w:endnote>
  <w:endnote w:type="continuationSeparator" w:id="0">
    <w:p w:rsidR="001A21A7" w:rsidRDefault="001A21A7" w:rsidP="00DB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488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3232" w:rsidRDefault="00D532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6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3232" w:rsidRDefault="00D53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A7" w:rsidRDefault="001A21A7" w:rsidP="00DB18BE">
      <w:r>
        <w:separator/>
      </w:r>
    </w:p>
  </w:footnote>
  <w:footnote w:type="continuationSeparator" w:id="0">
    <w:p w:rsidR="001A21A7" w:rsidRDefault="001A21A7" w:rsidP="00DB1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232" w:rsidRPr="00DB18BE" w:rsidRDefault="00D53232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78664B">
      <w:rPr>
        <w:lang w:val="en-ZW"/>
      </w:rPr>
      <w:t>389</w:t>
    </w:r>
    <w:r>
      <w:rPr>
        <w:lang w:val="en-ZW"/>
      </w:rPr>
      <w:t>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5F"/>
    <w:rsid w:val="000A2802"/>
    <w:rsid w:val="000A64D2"/>
    <w:rsid w:val="001257A7"/>
    <w:rsid w:val="0015630E"/>
    <w:rsid w:val="001A21A7"/>
    <w:rsid w:val="001D3B01"/>
    <w:rsid w:val="001F77E1"/>
    <w:rsid w:val="00203CA3"/>
    <w:rsid w:val="0022682D"/>
    <w:rsid w:val="00281C32"/>
    <w:rsid w:val="002B2A4D"/>
    <w:rsid w:val="0033197F"/>
    <w:rsid w:val="00353F42"/>
    <w:rsid w:val="00390456"/>
    <w:rsid w:val="003C06AE"/>
    <w:rsid w:val="004764DB"/>
    <w:rsid w:val="004F281D"/>
    <w:rsid w:val="00506803"/>
    <w:rsid w:val="00524E21"/>
    <w:rsid w:val="00534DC1"/>
    <w:rsid w:val="00544E21"/>
    <w:rsid w:val="00564FC2"/>
    <w:rsid w:val="0063542C"/>
    <w:rsid w:val="0078664B"/>
    <w:rsid w:val="00796025"/>
    <w:rsid w:val="007A01F1"/>
    <w:rsid w:val="007A2929"/>
    <w:rsid w:val="00802BBD"/>
    <w:rsid w:val="0083280F"/>
    <w:rsid w:val="00870C68"/>
    <w:rsid w:val="00881B2C"/>
    <w:rsid w:val="008C64E6"/>
    <w:rsid w:val="00902F28"/>
    <w:rsid w:val="00950754"/>
    <w:rsid w:val="009755F9"/>
    <w:rsid w:val="00985E6B"/>
    <w:rsid w:val="009F7953"/>
    <w:rsid w:val="00A054D9"/>
    <w:rsid w:val="00A1006B"/>
    <w:rsid w:val="00A15D8E"/>
    <w:rsid w:val="00A551DE"/>
    <w:rsid w:val="00A73EBF"/>
    <w:rsid w:val="00A775E9"/>
    <w:rsid w:val="00A87484"/>
    <w:rsid w:val="00A974B1"/>
    <w:rsid w:val="00B017BB"/>
    <w:rsid w:val="00B347AF"/>
    <w:rsid w:val="00B90F01"/>
    <w:rsid w:val="00B9407C"/>
    <w:rsid w:val="00C2052E"/>
    <w:rsid w:val="00C30013"/>
    <w:rsid w:val="00CA1660"/>
    <w:rsid w:val="00CC3EFB"/>
    <w:rsid w:val="00CE1343"/>
    <w:rsid w:val="00CE285F"/>
    <w:rsid w:val="00D0599D"/>
    <w:rsid w:val="00D53232"/>
    <w:rsid w:val="00DB18BE"/>
    <w:rsid w:val="00DF7883"/>
    <w:rsid w:val="00E817F1"/>
    <w:rsid w:val="00F212C5"/>
    <w:rsid w:val="00F43DF7"/>
    <w:rsid w:val="00FB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5F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8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8BE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18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8BE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5F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8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8BE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18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8BE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22</cp:revision>
  <dcterms:created xsi:type="dcterms:W3CDTF">2016-06-06T06:16:00Z</dcterms:created>
  <dcterms:modified xsi:type="dcterms:W3CDTF">2016-06-16T09:59:00Z</dcterms:modified>
</cp:coreProperties>
</file>