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D69" w:rsidRDefault="001E7D69" w:rsidP="001E7D69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 THE LABOUR COURT OF ZIMBABWE</w:t>
      </w:r>
      <w:r>
        <w:rPr>
          <w:b/>
          <w:sz w:val="22"/>
          <w:szCs w:val="22"/>
        </w:rPr>
        <w:tab/>
        <w:t xml:space="preserve">                 JUDGMENT NO. LC/H/</w:t>
      </w:r>
      <w:r w:rsidR="00AA38D5">
        <w:rPr>
          <w:b/>
          <w:sz w:val="22"/>
          <w:szCs w:val="22"/>
        </w:rPr>
        <w:t>390</w:t>
      </w:r>
      <w:bookmarkStart w:id="0" w:name="_GoBack"/>
      <w:bookmarkEnd w:id="0"/>
      <w:r>
        <w:rPr>
          <w:b/>
          <w:sz w:val="22"/>
          <w:szCs w:val="22"/>
        </w:rPr>
        <w:t>/2016</w:t>
      </w:r>
    </w:p>
    <w:p w:rsidR="001E7D69" w:rsidRDefault="001E7D69" w:rsidP="001E7D69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HARARE, 10 MAY 2016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</w:t>
      </w:r>
      <w:r>
        <w:rPr>
          <w:b/>
          <w:sz w:val="22"/>
          <w:szCs w:val="22"/>
        </w:rPr>
        <w:tab/>
        <w:t xml:space="preserve">       CASE NO. LC/H/1106/15</w:t>
      </w:r>
    </w:p>
    <w:p w:rsidR="001E7D69" w:rsidRDefault="001E7D69" w:rsidP="001E7D69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AND </w:t>
      </w:r>
      <w:r w:rsidR="00AA38D5">
        <w:rPr>
          <w:b/>
          <w:sz w:val="22"/>
          <w:szCs w:val="22"/>
        </w:rPr>
        <w:t>23 JUNE</w:t>
      </w:r>
      <w:r>
        <w:rPr>
          <w:b/>
          <w:sz w:val="22"/>
          <w:szCs w:val="22"/>
        </w:rPr>
        <w:t xml:space="preserve"> 2016</w:t>
      </w:r>
    </w:p>
    <w:p w:rsidR="001E7D69" w:rsidRDefault="001E7D69" w:rsidP="001E7D69">
      <w:pPr>
        <w:spacing w:line="360" w:lineRule="auto"/>
        <w:jc w:val="both"/>
      </w:pPr>
      <w:r>
        <w:t>In the matter between:-</w:t>
      </w:r>
    </w:p>
    <w:p w:rsidR="001E7D69" w:rsidRDefault="001E7D69" w:rsidP="001E7D69">
      <w:pPr>
        <w:spacing w:line="360" w:lineRule="auto"/>
        <w:jc w:val="both"/>
      </w:pPr>
    </w:p>
    <w:p w:rsidR="001E7D69" w:rsidRDefault="002D3D3B" w:rsidP="001E7D69">
      <w:pPr>
        <w:spacing w:line="360" w:lineRule="auto"/>
        <w:jc w:val="both"/>
        <w:rPr>
          <w:b/>
        </w:rPr>
      </w:pPr>
      <w:r>
        <w:rPr>
          <w:b/>
        </w:rPr>
        <w:t>WEBSTER MUDZINGWA</w:t>
      </w:r>
      <w:r w:rsidR="001E7D69">
        <w:rPr>
          <w:b/>
        </w:rPr>
        <w:tab/>
      </w:r>
      <w:r>
        <w:rPr>
          <w:b/>
        </w:rPr>
        <w:tab/>
      </w:r>
      <w:r w:rsidR="00E2561E">
        <w:rPr>
          <w:b/>
        </w:rPr>
        <w:tab/>
      </w:r>
      <w:r w:rsidR="00E2561E">
        <w:rPr>
          <w:b/>
        </w:rPr>
        <w:tab/>
      </w:r>
      <w:r w:rsidR="00E2561E">
        <w:rPr>
          <w:b/>
        </w:rPr>
        <w:tab/>
      </w:r>
      <w:r w:rsidR="00E2561E">
        <w:rPr>
          <w:b/>
        </w:rPr>
        <w:tab/>
      </w:r>
      <w:r w:rsidR="00E2561E">
        <w:rPr>
          <w:b/>
        </w:rPr>
        <w:tab/>
        <w:t>Appellant</w:t>
      </w:r>
      <w:r w:rsidR="001E7D69">
        <w:rPr>
          <w:b/>
        </w:rPr>
        <w:t xml:space="preserve"> </w:t>
      </w:r>
    </w:p>
    <w:p w:rsidR="001E7D69" w:rsidRDefault="001E7D69" w:rsidP="001E7D6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And</w:t>
      </w:r>
    </w:p>
    <w:p w:rsidR="001E7D69" w:rsidRDefault="002D3D3B" w:rsidP="001E7D69">
      <w:pPr>
        <w:spacing w:line="360" w:lineRule="auto"/>
        <w:jc w:val="both"/>
        <w:rPr>
          <w:b/>
        </w:rPr>
      </w:pPr>
      <w:r>
        <w:rPr>
          <w:b/>
        </w:rPr>
        <w:t>MINISTER OF PRIMARY &amp; SECONDARY</w:t>
      </w:r>
      <w:r w:rsidR="004F6E8F">
        <w:rPr>
          <w:b/>
        </w:rPr>
        <w:t xml:space="preserve"> N.O.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E7D69">
        <w:rPr>
          <w:b/>
        </w:rPr>
        <w:t>Respondent</w:t>
      </w:r>
      <w:r w:rsidR="00E2561E">
        <w:rPr>
          <w:b/>
        </w:rPr>
        <w:t>s</w:t>
      </w:r>
    </w:p>
    <w:p w:rsidR="002D3D3B" w:rsidRDefault="002D3D3B" w:rsidP="001E7D69">
      <w:pPr>
        <w:spacing w:line="360" w:lineRule="auto"/>
        <w:jc w:val="both"/>
        <w:rPr>
          <w:b/>
        </w:rPr>
      </w:pPr>
      <w:r>
        <w:rPr>
          <w:b/>
        </w:rPr>
        <w:t>EDUCATION &amp; ANOR</w:t>
      </w:r>
    </w:p>
    <w:p w:rsidR="001E7D69" w:rsidRDefault="001E7D69" w:rsidP="001E7D69">
      <w:pPr>
        <w:spacing w:line="360" w:lineRule="auto"/>
        <w:jc w:val="both"/>
        <w:rPr>
          <w:b/>
        </w:rPr>
      </w:pPr>
    </w:p>
    <w:p w:rsidR="001E7D69" w:rsidRDefault="001E7D69" w:rsidP="001E7D69">
      <w:pPr>
        <w:spacing w:line="360" w:lineRule="auto"/>
        <w:jc w:val="both"/>
      </w:pPr>
      <w:r>
        <w:t>Before The Honourable F.C. Maxwell, Judge</w:t>
      </w:r>
    </w:p>
    <w:p w:rsidR="001E7D69" w:rsidRDefault="001E7D69" w:rsidP="001E7D69">
      <w:pPr>
        <w:spacing w:line="360" w:lineRule="auto"/>
        <w:jc w:val="both"/>
      </w:pPr>
    </w:p>
    <w:p w:rsidR="001E7D69" w:rsidRDefault="00E2561E" w:rsidP="00E2561E">
      <w:pPr>
        <w:jc w:val="both"/>
        <w:rPr>
          <w:b/>
        </w:rPr>
      </w:pPr>
      <w:r>
        <w:rPr>
          <w:b/>
        </w:rPr>
        <w:t>For Appellant</w:t>
      </w:r>
      <w:r>
        <w:rPr>
          <w:b/>
        </w:rPr>
        <w:tab/>
      </w:r>
      <w:r>
        <w:rPr>
          <w:b/>
        </w:rPr>
        <w:tab/>
        <w:t>Mrs C. Mahlangu (Legal Practitioner)</w:t>
      </w:r>
      <w:r w:rsidR="001E7D69">
        <w:rPr>
          <w:b/>
        </w:rPr>
        <w:tab/>
      </w:r>
      <w:r w:rsidR="001E7D69">
        <w:rPr>
          <w:b/>
        </w:rPr>
        <w:tab/>
      </w:r>
      <w:r w:rsidR="001E7D69">
        <w:rPr>
          <w:b/>
        </w:rPr>
        <w:tab/>
      </w:r>
    </w:p>
    <w:p w:rsidR="001E7D69" w:rsidRDefault="001E7D69" w:rsidP="00E2561E">
      <w:pPr>
        <w:jc w:val="both"/>
        <w:rPr>
          <w:b/>
        </w:rPr>
      </w:pPr>
      <w:r>
        <w:rPr>
          <w:b/>
        </w:rPr>
        <w:t>For Respondent</w:t>
      </w:r>
      <w:r w:rsidR="00E2561E">
        <w:rPr>
          <w:b/>
        </w:rPr>
        <w:t>s</w:t>
      </w:r>
      <w:r>
        <w:rPr>
          <w:b/>
        </w:rPr>
        <w:tab/>
      </w:r>
      <w:r w:rsidR="00E2561E">
        <w:rPr>
          <w:b/>
        </w:rPr>
        <w:tab/>
        <w:t>Mr H. Magadure (Law Officer)</w:t>
      </w:r>
      <w:r>
        <w:rPr>
          <w:b/>
        </w:rPr>
        <w:tab/>
      </w:r>
    </w:p>
    <w:p w:rsidR="001E7D69" w:rsidRDefault="001E7D69" w:rsidP="001E7D69">
      <w:pPr>
        <w:spacing w:line="360" w:lineRule="auto"/>
        <w:jc w:val="both"/>
        <w:rPr>
          <w:b/>
          <w:sz w:val="28"/>
          <w:szCs w:val="28"/>
        </w:rPr>
      </w:pPr>
    </w:p>
    <w:p w:rsidR="001E7D69" w:rsidRDefault="001E7D69" w:rsidP="001E7D69">
      <w:pPr>
        <w:rPr>
          <w:b/>
        </w:rPr>
      </w:pPr>
      <w:r>
        <w:rPr>
          <w:b/>
        </w:rPr>
        <w:t>MAXWELL, J</w:t>
      </w:r>
    </w:p>
    <w:p w:rsidR="001E7D69" w:rsidRDefault="001E7D69" w:rsidP="001E7D69"/>
    <w:p w:rsidR="00A75DB4" w:rsidRDefault="00A75DB4" w:rsidP="002E3D02">
      <w:pPr>
        <w:spacing w:line="360" w:lineRule="auto"/>
        <w:jc w:val="both"/>
      </w:pPr>
    </w:p>
    <w:p w:rsidR="002E3D02" w:rsidRDefault="002E3D02" w:rsidP="002E3D02">
      <w:pPr>
        <w:spacing w:line="360" w:lineRule="auto"/>
        <w:jc w:val="both"/>
      </w:pPr>
      <w:r>
        <w:tab/>
        <w:t>This is an appeal against the decision of the Disciplinary Authority dated 9 October 2015.  Appellant was employed as a Deputy Head Master stationed at Bromely Primary School, Goromonzi District in Mashonal</w:t>
      </w:r>
      <w:r w:rsidR="009442A8">
        <w:t>an</w:t>
      </w:r>
      <w:r>
        <w:t>d East.  He was charged of misconduct on 14 December 2014</w:t>
      </w:r>
      <w:r w:rsidR="009442A8">
        <w:t xml:space="preserve"> </w:t>
      </w:r>
      <w:r w:rsidR="007D6DB0">
        <w:t>in terms of Section 44 (2) of S</w:t>
      </w:r>
      <w:r w:rsidR="009442A8">
        <w:t>I 1/2000.  He appeared before a disciplinary Committee and was found guilty of</w:t>
      </w:r>
    </w:p>
    <w:p w:rsidR="00526650" w:rsidRDefault="00526650" w:rsidP="00526650">
      <w:pPr>
        <w:jc w:val="both"/>
      </w:pPr>
    </w:p>
    <w:p w:rsidR="009442A8" w:rsidRDefault="00526650" w:rsidP="009442A8">
      <w:pPr>
        <w:pStyle w:val="ListParagraph"/>
        <w:numPr>
          <w:ilvl w:val="0"/>
          <w:numId w:val="1"/>
        </w:numPr>
        <w:spacing w:line="360" w:lineRule="auto"/>
        <w:jc w:val="both"/>
      </w:pPr>
      <w:r>
        <w:t>f</w:t>
      </w:r>
      <w:r w:rsidR="00096C9C">
        <w:t>ailure to receipt $200 and registration of students from a private school without the authority of the provincial Education Director;</w:t>
      </w:r>
    </w:p>
    <w:p w:rsidR="00096C9C" w:rsidRDefault="00526650" w:rsidP="009442A8">
      <w:pPr>
        <w:pStyle w:val="ListParagraph"/>
        <w:numPr>
          <w:ilvl w:val="0"/>
          <w:numId w:val="1"/>
        </w:numPr>
        <w:spacing w:line="360" w:lineRule="auto"/>
        <w:jc w:val="both"/>
      </w:pPr>
      <w:r>
        <w:t>f</w:t>
      </w:r>
      <w:r w:rsidR="00096C9C">
        <w:t xml:space="preserve">ailure to </w:t>
      </w:r>
      <w:r>
        <w:t>account for $25,00; and</w:t>
      </w:r>
    </w:p>
    <w:p w:rsidR="00526650" w:rsidRDefault="00526650" w:rsidP="009442A8">
      <w:pPr>
        <w:pStyle w:val="ListParagraph"/>
        <w:numPr>
          <w:ilvl w:val="0"/>
          <w:numId w:val="1"/>
        </w:numPr>
        <w:spacing w:line="360" w:lineRule="auto"/>
        <w:jc w:val="both"/>
      </w:pPr>
      <w:r>
        <w:t>using $100 before banking.</w:t>
      </w:r>
    </w:p>
    <w:p w:rsidR="00826A08" w:rsidRDefault="00826A08" w:rsidP="00526650">
      <w:pPr>
        <w:spacing w:line="360" w:lineRule="auto"/>
        <w:jc w:val="both"/>
      </w:pPr>
      <w:r>
        <w:t>The disciplinary authority passed a sentence of</w:t>
      </w:r>
    </w:p>
    <w:p w:rsidR="00826A08" w:rsidRDefault="00826A08" w:rsidP="00826A08">
      <w:pPr>
        <w:pStyle w:val="ListParagraph"/>
        <w:numPr>
          <w:ilvl w:val="0"/>
          <w:numId w:val="1"/>
        </w:numPr>
        <w:spacing w:line="360" w:lineRule="auto"/>
        <w:jc w:val="both"/>
      </w:pPr>
      <w:r>
        <w:t>demotion of the appellant to the grade of senior teacher with effect from 1 January 2016.</w:t>
      </w:r>
    </w:p>
    <w:p w:rsidR="00826A08" w:rsidRDefault="00D25F61" w:rsidP="00826A08">
      <w:pPr>
        <w:pStyle w:val="ListParagraph"/>
        <w:numPr>
          <w:ilvl w:val="0"/>
          <w:numId w:val="1"/>
        </w:numPr>
        <w:spacing w:line="360" w:lineRule="auto"/>
        <w:jc w:val="both"/>
      </w:pPr>
      <w:r>
        <w:t>t</w:t>
      </w:r>
      <w:r w:rsidR="00826A08">
        <w:t>ransfer of appellant to Dhuke Dam School in Mutoko.</w:t>
      </w:r>
    </w:p>
    <w:p w:rsidR="00D25F61" w:rsidRDefault="00D25F61" w:rsidP="00826A08">
      <w:pPr>
        <w:pStyle w:val="ListParagraph"/>
        <w:numPr>
          <w:ilvl w:val="0"/>
          <w:numId w:val="1"/>
        </w:numPr>
        <w:spacing w:line="360" w:lineRule="auto"/>
        <w:jc w:val="both"/>
      </w:pPr>
      <w:r>
        <w:lastRenderedPageBreak/>
        <w:t>that appellant should not be considered for promotion to 31 December 2017; and</w:t>
      </w:r>
    </w:p>
    <w:p w:rsidR="007675FF" w:rsidRDefault="007675FF" w:rsidP="00826A08">
      <w:pPr>
        <w:pStyle w:val="ListParagraph"/>
        <w:numPr>
          <w:ilvl w:val="0"/>
          <w:numId w:val="1"/>
        </w:numPr>
        <w:spacing w:line="360" w:lineRule="auto"/>
        <w:jc w:val="both"/>
      </w:pPr>
      <w:r>
        <w:t>a repayment of $25 that appellant failed to account for.</w:t>
      </w:r>
    </w:p>
    <w:p w:rsidR="00AD13A7" w:rsidRDefault="00AD13A7" w:rsidP="00D3306C">
      <w:pPr>
        <w:jc w:val="both"/>
      </w:pPr>
    </w:p>
    <w:p w:rsidR="00AD13A7" w:rsidRDefault="00AD13A7" w:rsidP="00AD13A7">
      <w:pPr>
        <w:spacing w:line="360" w:lineRule="auto"/>
        <w:jc w:val="both"/>
      </w:pPr>
      <w:r>
        <w:t xml:space="preserve">Appellant was aggrieved and noted </w:t>
      </w:r>
      <w:r w:rsidR="00F41192">
        <w:t>an appeal to this Court on 15 December 2015 on the following grounds.</w:t>
      </w:r>
    </w:p>
    <w:p w:rsidR="00F41192" w:rsidRDefault="00F41192" w:rsidP="00D3306C">
      <w:pPr>
        <w:jc w:val="both"/>
      </w:pPr>
    </w:p>
    <w:p w:rsidR="00F41192" w:rsidRDefault="00F41192" w:rsidP="00F41192">
      <w:pPr>
        <w:pStyle w:val="ListParagraph"/>
        <w:numPr>
          <w:ilvl w:val="0"/>
          <w:numId w:val="2"/>
        </w:numPr>
        <w:spacing w:line="360" w:lineRule="auto"/>
        <w:jc w:val="both"/>
      </w:pPr>
      <w:r>
        <w:t>The Disciplinary Authority erred and seriously misdi</w:t>
      </w:r>
      <w:r w:rsidR="002F24B6">
        <w:t>re</w:t>
      </w:r>
      <w:r>
        <w:t>cted itself in finding</w:t>
      </w:r>
      <w:r w:rsidR="002C6F49">
        <w:t xml:space="preserve"> that the evidence given by the Ap</w:t>
      </w:r>
      <w:r w:rsidR="007D6DB0">
        <w:t xml:space="preserve">pellant was contradictory when </w:t>
      </w:r>
      <w:r w:rsidR="002C6F49">
        <w:t>he explained the circumstances su</w:t>
      </w:r>
      <w:r w:rsidR="00326389">
        <w:t>rrounding the failure to receipt the $200.00 received from Fanta College and also erred in refusing that explanation.</w:t>
      </w:r>
    </w:p>
    <w:p w:rsidR="00591A1A" w:rsidRDefault="00591A1A" w:rsidP="00F41192">
      <w:pPr>
        <w:pStyle w:val="ListParagraph"/>
        <w:numPr>
          <w:ilvl w:val="0"/>
          <w:numId w:val="2"/>
        </w:numPr>
        <w:spacing w:line="360" w:lineRule="auto"/>
        <w:jc w:val="both"/>
      </w:pPr>
      <w:r>
        <w:t>The Disciplinary Authority erred in finding the appellant gui</w:t>
      </w:r>
      <w:r w:rsidR="00975315">
        <w:t>lty of failure to account for $</w:t>
      </w:r>
      <w:r w:rsidR="007D6DB0">
        <w:t>25.00 a</w:t>
      </w:r>
      <w:r>
        <w:t>n allegation not appearing in</w:t>
      </w:r>
      <w:r w:rsidR="005749CA">
        <w:t xml:space="preserve"> the charge letter and arrived at due to lack of evidence on the allegation the appellant was facing.</w:t>
      </w:r>
    </w:p>
    <w:p w:rsidR="005749CA" w:rsidRDefault="005749CA" w:rsidP="00F41192">
      <w:pPr>
        <w:pStyle w:val="ListParagraph"/>
        <w:numPr>
          <w:ilvl w:val="0"/>
          <w:numId w:val="2"/>
        </w:numPr>
        <w:spacing w:line="360" w:lineRule="auto"/>
        <w:jc w:val="both"/>
      </w:pPr>
      <w:r>
        <w:t xml:space="preserve">The Disciplinary Authority erred and seriously </w:t>
      </w:r>
      <w:r w:rsidR="003E447D">
        <w:t>misdirected</w:t>
      </w:r>
      <w:r>
        <w:t xml:space="preserve"> itself in fin</w:t>
      </w:r>
      <w:r w:rsidR="003E447D">
        <w:t>ding the appellant guilty on allegations of using money before banking without taking into account the explanation he gave which was not disputed by any of the witnesses.</w:t>
      </w:r>
    </w:p>
    <w:p w:rsidR="00A75DB4" w:rsidRDefault="00A75DB4" w:rsidP="00F41192">
      <w:pPr>
        <w:pStyle w:val="ListParagraph"/>
        <w:numPr>
          <w:ilvl w:val="0"/>
          <w:numId w:val="2"/>
        </w:numPr>
        <w:spacing w:line="360" w:lineRule="auto"/>
        <w:jc w:val="both"/>
      </w:pPr>
      <w:r>
        <w:t xml:space="preserve">The Disciplinary </w:t>
      </w:r>
      <w:r w:rsidR="0013093A">
        <w:t>Authority grossly erred in ordering that the appellant be transferred in circumstances which are grossly unprocedural, unfair and unlawful.</w:t>
      </w:r>
    </w:p>
    <w:p w:rsidR="0064481E" w:rsidRDefault="0064481E" w:rsidP="00F41192">
      <w:pPr>
        <w:pStyle w:val="ListParagraph"/>
        <w:numPr>
          <w:ilvl w:val="0"/>
          <w:numId w:val="2"/>
        </w:numPr>
        <w:spacing w:line="360" w:lineRule="auto"/>
        <w:jc w:val="both"/>
      </w:pPr>
      <w:r>
        <w:t xml:space="preserve">The Disciplinary Authority erred and </w:t>
      </w:r>
      <w:r w:rsidR="00950665">
        <w:t>misdirected itself in ignoring the submission made by the appellant that the charges were unnecessarily split</w:t>
      </w:r>
      <w:r w:rsidR="00A3337F">
        <w:t xml:space="preserve"> which resulted in the appellant being punished more than once on allegations coming from one act or omission.</w:t>
      </w:r>
    </w:p>
    <w:p w:rsidR="00DC0A9E" w:rsidRDefault="00DC0A9E" w:rsidP="00DC0A9E">
      <w:pPr>
        <w:spacing w:line="360" w:lineRule="auto"/>
        <w:ind w:left="360"/>
        <w:jc w:val="both"/>
      </w:pPr>
      <w:r>
        <w:t>Alternatively</w:t>
      </w:r>
    </w:p>
    <w:p w:rsidR="00DC0A9E" w:rsidRDefault="00DC0A9E" w:rsidP="00DC0A9E">
      <w:pPr>
        <w:pStyle w:val="ListParagraph"/>
        <w:numPr>
          <w:ilvl w:val="0"/>
          <w:numId w:val="2"/>
        </w:numPr>
        <w:spacing w:line="360" w:lineRule="auto"/>
        <w:jc w:val="both"/>
      </w:pPr>
      <w:r>
        <w:t xml:space="preserve">The Disciplinary Authority erred and misdirected itself </w:t>
      </w:r>
      <w:r w:rsidR="00AB33D2">
        <w:t>in meting a penalty of transfer demotion, restitution and that he was not going to be promoted which is four fold and very</w:t>
      </w:r>
      <w:r w:rsidR="00AC73A7">
        <w:t xml:space="preserve"> severe in the circumstances arrived at without taking into account mitigation fa</w:t>
      </w:r>
      <w:r w:rsidR="00D4394C">
        <w:t>ctors submitted by the appellant in the hearing.</w:t>
      </w:r>
    </w:p>
    <w:p w:rsidR="00D4394C" w:rsidRDefault="00D4394C" w:rsidP="00D4394C">
      <w:pPr>
        <w:spacing w:line="360" w:lineRule="auto"/>
        <w:jc w:val="both"/>
      </w:pPr>
    </w:p>
    <w:p w:rsidR="00180C37" w:rsidRDefault="00D4394C" w:rsidP="000B578E">
      <w:pPr>
        <w:spacing w:line="360" w:lineRule="auto"/>
        <w:ind w:firstLine="720"/>
        <w:jc w:val="both"/>
      </w:pPr>
      <w:r>
        <w:lastRenderedPageBreak/>
        <w:t xml:space="preserve">In response respondents submitted that appellant </w:t>
      </w:r>
      <w:r w:rsidR="00D77580">
        <w:t>contradicted</w:t>
      </w:r>
      <w:r w:rsidR="00920B80">
        <w:t xml:space="preserve"> himself when he gave different reasons for not receipting the $200.00.  They further stated that in terms of section 46 (4)</w:t>
      </w:r>
      <w:r w:rsidR="00A356FF">
        <w:t xml:space="preserve"> of SI 1/2000 as amended, it is competent for a disciplinary authority to find a member guilty of an act of misconduct other than the act which the member was </w:t>
      </w:r>
      <w:r w:rsidR="00654B1D">
        <w:t xml:space="preserve"> originally alleged to have committed if the facts disclose such other acts.  Respondents also stated that regulations</w:t>
      </w:r>
      <w:r w:rsidR="00841C62">
        <w:t xml:space="preserve"> explicitly state that money cannot be </w:t>
      </w:r>
      <w:r w:rsidR="001507FC">
        <w:t>used</w:t>
      </w:r>
      <w:r w:rsidR="002F325E">
        <w:t xml:space="preserve"> before it is banked.  In addition, they stated that the transfer of the appellant</w:t>
      </w:r>
      <w:r w:rsidR="00E93B64">
        <w:t xml:space="preserve"> was fair considering that the offence </w:t>
      </w:r>
      <w:r w:rsidR="000B578E">
        <w:t>committed</w:t>
      </w:r>
      <w:r w:rsidR="00E93B64">
        <w:t xml:space="preserve"> warrants a discharge</w:t>
      </w:r>
      <w:r w:rsidR="00180C37">
        <w:t>.</w:t>
      </w:r>
    </w:p>
    <w:p w:rsidR="00180C37" w:rsidRDefault="00180C37" w:rsidP="00D3306C">
      <w:pPr>
        <w:jc w:val="both"/>
      </w:pPr>
    </w:p>
    <w:p w:rsidR="000B578E" w:rsidRPr="00D3306C" w:rsidRDefault="00FE517E" w:rsidP="00D4394C">
      <w:pPr>
        <w:spacing w:line="360" w:lineRule="auto"/>
        <w:jc w:val="both"/>
        <w:rPr>
          <w:u w:val="single"/>
        </w:rPr>
      </w:pPr>
      <w:r w:rsidRPr="00D3306C">
        <w:rPr>
          <w:u w:val="single"/>
        </w:rPr>
        <w:t>Ground of A</w:t>
      </w:r>
      <w:r w:rsidR="000B578E" w:rsidRPr="00D3306C">
        <w:rPr>
          <w:u w:val="single"/>
        </w:rPr>
        <w:t>ppeal 1</w:t>
      </w:r>
      <w:r w:rsidR="00D77580" w:rsidRPr="00D3306C">
        <w:rPr>
          <w:u w:val="single"/>
        </w:rPr>
        <w:t xml:space="preserve"> </w:t>
      </w:r>
    </w:p>
    <w:p w:rsidR="000B578E" w:rsidRDefault="000B578E" w:rsidP="00780B3F">
      <w:pPr>
        <w:spacing w:line="360" w:lineRule="auto"/>
        <w:ind w:firstLine="720"/>
        <w:jc w:val="both"/>
      </w:pPr>
      <w:r>
        <w:t xml:space="preserve">Appellant’s </w:t>
      </w:r>
      <w:r w:rsidR="00B178F7">
        <w:t>heads</w:t>
      </w:r>
      <w:r>
        <w:t xml:space="preserve"> of argument state that the $200</w:t>
      </w:r>
      <w:r w:rsidR="00540F8D">
        <w:t xml:space="preserve"> was not receipted because at the time of receipting the money the school</w:t>
      </w:r>
      <w:r w:rsidR="00802D6F">
        <w:t xml:space="preserve"> did </w:t>
      </w:r>
      <w:r w:rsidR="00A31861">
        <w:t>not have</w:t>
      </w:r>
      <w:r w:rsidR="00802D6F">
        <w:t xml:space="preserve"> a book for donated finds.  Further that besides that necessity </w:t>
      </w:r>
      <w:r w:rsidR="0067519E">
        <w:t xml:space="preserve">pushed him to spend the money the same day it was received.  However in his response to questions and </w:t>
      </w:r>
      <w:r w:rsidR="008B296F">
        <w:t xml:space="preserve">allegations on financial issues dated 7 July 2013 appellant </w:t>
      </w:r>
      <w:r w:rsidR="000B22C0">
        <w:t>never mentioned</w:t>
      </w:r>
      <w:r w:rsidR="008B296F">
        <w:t xml:space="preserve"> the issue of the school not having a </w:t>
      </w:r>
      <w:r w:rsidR="000B22C0">
        <w:t>book for donations</w:t>
      </w:r>
      <w:r w:rsidR="00780B3F">
        <w:t xml:space="preserve">.  In any event the </w:t>
      </w:r>
      <w:r w:rsidR="001D3995">
        <w:t xml:space="preserve">money was not for donation as it was paying for a service the school would provide.  Nothing precluded the </w:t>
      </w:r>
      <w:r w:rsidR="00C54661">
        <w:t>receipting</w:t>
      </w:r>
      <w:r w:rsidR="001D3995">
        <w:t xml:space="preserve"> and use of the money on the same day.  The Disciplinary authority cannot be faulted for finding </w:t>
      </w:r>
      <w:r w:rsidR="00C54661">
        <w:t>as it did.  I therefore find no merit in the first ground of appeal</w:t>
      </w:r>
      <w:r w:rsidR="00A90CC8">
        <w:t>.</w:t>
      </w:r>
    </w:p>
    <w:p w:rsidR="00A90CC8" w:rsidRDefault="00A90CC8" w:rsidP="00167C18">
      <w:pPr>
        <w:jc w:val="both"/>
      </w:pPr>
    </w:p>
    <w:p w:rsidR="00DE2F1E" w:rsidRPr="00167C18" w:rsidRDefault="00A90CC8" w:rsidP="00A90CC8">
      <w:pPr>
        <w:spacing w:line="360" w:lineRule="auto"/>
        <w:jc w:val="both"/>
        <w:rPr>
          <w:u w:val="single"/>
        </w:rPr>
      </w:pPr>
      <w:r w:rsidRPr="00167C18">
        <w:rPr>
          <w:u w:val="single"/>
        </w:rPr>
        <w:t>Ground of Appeal 2</w:t>
      </w:r>
    </w:p>
    <w:p w:rsidR="00DE2F1E" w:rsidRDefault="00DE2F1E" w:rsidP="00167C18">
      <w:pPr>
        <w:spacing w:line="360" w:lineRule="auto"/>
        <w:ind w:firstLine="720"/>
        <w:jc w:val="both"/>
      </w:pPr>
      <w:r>
        <w:t>Appellant argues that as the charge letter was speaking of failure to account for $200, it is incompetent for the Disciplinary</w:t>
      </w:r>
      <w:r w:rsidR="00A31861">
        <w:t xml:space="preserve"> Authority to find him guilty of failing to account for $25.00.</w:t>
      </w:r>
      <w:r w:rsidR="00FF48E0">
        <w:t xml:space="preserve">  It is noted that Appellant was legally represented during the disciplinary proceedings.  There is no prejudice to the Appellant that was referred to as the</w:t>
      </w:r>
      <w:r w:rsidR="002F0775">
        <w:t xml:space="preserve"> </w:t>
      </w:r>
      <w:r w:rsidR="00252EEF">
        <w:t xml:space="preserve">appellant had opportunity to account for $200.  Counsel for </w:t>
      </w:r>
      <w:r w:rsidR="00882D18">
        <w:t>appellant referred to authorit</w:t>
      </w:r>
      <w:r w:rsidR="00207354">
        <w:t xml:space="preserve">ies that state that elementary tenets of natural justice must be complied with and that it is </w:t>
      </w:r>
      <w:r w:rsidR="00DA67ED">
        <w:t>incompetent for an employee to be dismissed on the basis of a conviction on a charge which he was not originally charged</w:t>
      </w:r>
      <w:r w:rsidR="00924C1D">
        <w:t xml:space="preserve"> with.  I </w:t>
      </w:r>
      <w:r w:rsidR="00D3306C">
        <w:t>find</w:t>
      </w:r>
      <w:r w:rsidR="00924C1D">
        <w:t xml:space="preserve"> the authorities</w:t>
      </w:r>
      <w:r w:rsidR="00AB2935">
        <w:t xml:space="preserve"> referred to distinguishable on the basis that none involved the Public Service Regulations SI 1/2000</w:t>
      </w:r>
      <w:r w:rsidR="00397401">
        <w:t>.  The said regulations state in section 46 (4) that</w:t>
      </w:r>
    </w:p>
    <w:p w:rsidR="00397401" w:rsidRDefault="00397401" w:rsidP="00167C18">
      <w:pPr>
        <w:jc w:val="both"/>
      </w:pPr>
    </w:p>
    <w:p w:rsidR="00397401" w:rsidRPr="00167C18" w:rsidRDefault="00397401" w:rsidP="00167C18">
      <w:pPr>
        <w:spacing w:line="276" w:lineRule="auto"/>
        <w:ind w:left="720"/>
        <w:jc w:val="both"/>
        <w:rPr>
          <w:sz w:val="22"/>
          <w:szCs w:val="22"/>
        </w:rPr>
      </w:pPr>
      <w:r w:rsidRPr="00167C18">
        <w:rPr>
          <w:sz w:val="22"/>
          <w:szCs w:val="22"/>
        </w:rPr>
        <w:lastRenderedPageBreak/>
        <w:t>“It shall be competent for the disciplinary autho</w:t>
      </w:r>
      <w:r w:rsidR="00EE330E" w:rsidRPr="00167C18">
        <w:rPr>
          <w:sz w:val="22"/>
          <w:szCs w:val="22"/>
        </w:rPr>
        <w:t>rity to find a member guilty of an act of misconduct other than the act which the member was originally alleged to have committed if the facts disclose such other act.</w:t>
      </w:r>
      <w:r w:rsidR="00550881" w:rsidRPr="00167C18">
        <w:rPr>
          <w:sz w:val="22"/>
          <w:szCs w:val="22"/>
        </w:rPr>
        <w:t>”</w:t>
      </w:r>
    </w:p>
    <w:p w:rsidR="00550881" w:rsidRDefault="00550881" w:rsidP="00167C18">
      <w:pPr>
        <w:jc w:val="both"/>
      </w:pPr>
    </w:p>
    <w:p w:rsidR="00550881" w:rsidRDefault="00550881" w:rsidP="00A90CC8">
      <w:pPr>
        <w:spacing w:line="360" w:lineRule="auto"/>
        <w:jc w:val="both"/>
      </w:pPr>
      <w:r>
        <w:tab/>
        <w:t xml:space="preserve">The committee was therefore in compliance with SI 1/2000 </w:t>
      </w:r>
      <w:r w:rsidR="00D752E0">
        <w:t xml:space="preserve">and their finding cannot be faulted.  </w:t>
      </w:r>
      <w:r w:rsidR="00167C18">
        <w:t>I</w:t>
      </w:r>
      <w:r w:rsidR="00D752E0">
        <w:t xml:space="preserve"> find no merit in the second ground of appeal. </w:t>
      </w:r>
    </w:p>
    <w:p w:rsidR="00D752E0" w:rsidRDefault="00D752E0" w:rsidP="00167C18">
      <w:pPr>
        <w:jc w:val="both"/>
      </w:pPr>
    </w:p>
    <w:p w:rsidR="00D752E0" w:rsidRPr="00167C18" w:rsidRDefault="00D752E0" w:rsidP="00A90CC8">
      <w:pPr>
        <w:spacing w:line="360" w:lineRule="auto"/>
        <w:jc w:val="both"/>
        <w:rPr>
          <w:u w:val="single"/>
        </w:rPr>
      </w:pPr>
      <w:r w:rsidRPr="00167C18">
        <w:rPr>
          <w:u w:val="single"/>
        </w:rPr>
        <w:t>Ground of Appeal 3</w:t>
      </w:r>
    </w:p>
    <w:p w:rsidR="00D752E0" w:rsidRDefault="00D752E0" w:rsidP="00A90CC8">
      <w:pPr>
        <w:spacing w:line="360" w:lineRule="auto"/>
        <w:jc w:val="both"/>
      </w:pPr>
      <w:r>
        <w:tab/>
        <w:t xml:space="preserve">Appellant argues that it would be </w:t>
      </w:r>
      <w:r w:rsidR="00E5204C">
        <w:t>absurd to bank an amount of $100 because the bank charges will reduce the amount and defeat the purpose</w:t>
      </w:r>
      <w:r w:rsidR="00B50BE9">
        <w:t xml:space="preserve"> and interests of the school.  Further that he made consultations before using the money to buy date stamps.  Appellant</w:t>
      </w:r>
      <w:r w:rsidR="000333E8">
        <w:t xml:space="preserve"> did not comment on the submission by respondents that the Administration and Finance </w:t>
      </w:r>
      <w:r w:rsidR="00591AFC">
        <w:t>Circular</w:t>
      </w:r>
      <w:r w:rsidR="00A732BC">
        <w:t xml:space="preserve"> 6 of 1994 explic</w:t>
      </w:r>
      <w:r w:rsidR="0086588D">
        <w:t>itly states that money cannot be used before it is banked.  The Circular does not give the accounting authority</w:t>
      </w:r>
      <w:r w:rsidR="00657687">
        <w:t xml:space="preserve"> </w:t>
      </w:r>
      <w:r w:rsidR="00DB47FE">
        <w:t>discretion on when to bank and when not to bank.  That the</w:t>
      </w:r>
      <w:r w:rsidR="00657687">
        <w:t xml:space="preserve"> </w:t>
      </w:r>
      <w:r w:rsidR="00DB47FE">
        <w:t xml:space="preserve">appellant exercised a discretion he did not have is clear from the facts of the matter.  The </w:t>
      </w:r>
      <w:r w:rsidR="00657687">
        <w:t>Committee’s finding therefore cannot be faulted and I find no merit in the third ground of appeal.</w:t>
      </w:r>
    </w:p>
    <w:p w:rsidR="001278DA" w:rsidRDefault="001278DA" w:rsidP="00167C18">
      <w:pPr>
        <w:jc w:val="both"/>
      </w:pPr>
    </w:p>
    <w:p w:rsidR="001278DA" w:rsidRPr="00167C18" w:rsidRDefault="001278DA" w:rsidP="00A90CC8">
      <w:pPr>
        <w:spacing w:line="360" w:lineRule="auto"/>
        <w:jc w:val="both"/>
        <w:rPr>
          <w:u w:val="single"/>
        </w:rPr>
      </w:pPr>
      <w:r w:rsidRPr="00167C18">
        <w:rPr>
          <w:u w:val="single"/>
        </w:rPr>
        <w:t>Ground of Appeal 4</w:t>
      </w:r>
    </w:p>
    <w:p w:rsidR="001278DA" w:rsidRDefault="001278DA" w:rsidP="00167C18">
      <w:pPr>
        <w:spacing w:line="360" w:lineRule="auto"/>
        <w:ind w:firstLine="720"/>
        <w:jc w:val="both"/>
      </w:pPr>
      <w:r>
        <w:t xml:space="preserve">Counsel for appellant submitted that </w:t>
      </w:r>
      <w:r w:rsidR="00F7030A">
        <w:t>appellant’s</w:t>
      </w:r>
      <w:r>
        <w:t xml:space="preserve"> transfer should have been in compliance with paragraph </w:t>
      </w:r>
      <w:r w:rsidR="00F7030A">
        <w:t>13 of SI 1/200</w:t>
      </w:r>
      <w:r w:rsidR="001F5223">
        <w:t xml:space="preserve">0.  The said paragraph states that every transfer shall be planned to minimize discomfort on the </w:t>
      </w:r>
      <w:r w:rsidR="009C479D">
        <w:t>part of the member concerned and his family.  The transfer in terms of paragraph 13 of SI 1/2000 is to be notified timeously to the</w:t>
      </w:r>
      <w:r w:rsidR="002E068C">
        <w:t xml:space="preserve"> member concerned who shall be provided with all necessary information relating to the transfer.  Counsel referred the court to the case of College Lecturer</w:t>
      </w:r>
      <w:r w:rsidR="005B0445">
        <w:t xml:space="preserve">s Association of Zimbabwe and 18 others v the Permanent Secretary (Ministry of Higher and Tertiary Education) LC/H/345/12 in which the position </w:t>
      </w:r>
      <w:r w:rsidR="00BE6AA1">
        <w:t>advocated for by Counsel was upheld.</w:t>
      </w:r>
    </w:p>
    <w:p w:rsidR="00BE6AA1" w:rsidRDefault="00BE6AA1" w:rsidP="00397349">
      <w:pPr>
        <w:jc w:val="both"/>
      </w:pPr>
    </w:p>
    <w:p w:rsidR="00BE6AA1" w:rsidRDefault="00BE6AA1" w:rsidP="00A90CC8">
      <w:pPr>
        <w:spacing w:line="360" w:lineRule="auto"/>
        <w:jc w:val="both"/>
      </w:pPr>
      <w:r>
        <w:tab/>
        <w:t>With due respect I am of a different view.  Paragraph 13 of SI 1/2000 regu</w:t>
      </w:r>
      <w:r w:rsidR="00075B8F">
        <w:t>l</w:t>
      </w:r>
      <w:r>
        <w:t xml:space="preserve">ates a normal transfer.  A transfer as a penalty to misconduct cannot be said to </w:t>
      </w:r>
      <w:r w:rsidR="008920CC">
        <w:t xml:space="preserve">minimize discomfort.  A penalty is never meant to make the </w:t>
      </w:r>
      <w:r w:rsidR="006A3C3E">
        <w:t>recipient</w:t>
      </w:r>
      <w:r w:rsidR="00D77BEF">
        <w:t xml:space="preserve"> comfortable otherwise it ceases to be a punishment.  In terms of Section 50 (l) (i) and (j)</w:t>
      </w:r>
      <w:r w:rsidR="00642489">
        <w:t xml:space="preserve"> a person convicted of misconduct may be transferred.  Such transfer will be a punitive </w:t>
      </w:r>
      <w:r w:rsidR="00642489">
        <w:lastRenderedPageBreak/>
        <w:t xml:space="preserve">measure which is allowed in section 13 (4) of SI 1/2000.  I find no merit in </w:t>
      </w:r>
      <w:r w:rsidR="00D3306C">
        <w:t>the</w:t>
      </w:r>
      <w:r w:rsidR="00642489">
        <w:t xml:space="preserve"> fourth ground of appeal.</w:t>
      </w:r>
    </w:p>
    <w:p w:rsidR="00642489" w:rsidRDefault="00642489" w:rsidP="00397349">
      <w:pPr>
        <w:jc w:val="both"/>
      </w:pPr>
    </w:p>
    <w:p w:rsidR="00642489" w:rsidRPr="00397349" w:rsidRDefault="00642489" w:rsidP="00A90CC8">
      <w:pPr>
        <w:spacing w:line="360" w:lineRule="auto"/>
        <w:jc w:val="both"/>
        <w:rPr>
          <w:u w:val="single"/>
        </w:rPr>
      </w:pPr>
      <w:r w:rsidRPr="00397349">
        <w:rPr>
          <w:u w:val="single"/>
        </w:rPr>
        <w:t>Ground of Appeal 5</w:t>
      </w:r>
    </w:p>
    <w:p w:rsidR="00B31DB0" w:rsidRDefault="00B31DB0" w:rsidP="00A90CC8">
      <w:pPr>
        <w:spacing w:line="360" w:lineRule="auto"/>
        <w:jc w:val="both"/>
      </w:pPr>
      <w:r>
        <w:tab/>
        <w:t xml:space="preserve">Appellant argued that the </w:t>
      </w:r>
      <w:r w:rsidR="005F7BEF">
        <w:t>splitting of charges had the effect of magnifying the offences which appellant was facing giving a higher level of blameworthiness and punishing appellant twice for a single</w:t>
      </w:r>
      <w:r w:rsidR="00E97023">
        <w:t xml:space="preserve"> offence.  This ground of appeal is improper as it is raising a procedural issue.  Procedural issues are dealt with on review and therefore it is improperly raised on appeal.  In any event appellant was found guilty</w:t>
      </w:r>
      <w:r w:rsidR="00F212EF">
        <w:t xml:space="preserve"> of </w:t>
      </w:r>
      <w:r w:rsidR="005A7ED2">
        <w:t>only three charges.  Appellant h</w:t>
      </w:r>
      <w:r w:rsidR="00F212EF">
        <w:t xml:space="preserve">as not demonstrated that the three charges he was found guilty of had been improperly </w:t>
      </w:r>
      <w:r w:rsidR="003E21E5">
        <w:t>spilt</w:t>
      </w:r>
      <w:r w:rsidR="00F212EF">
        <w:t>.  I therefore</w:t>
      </w:r>
      <w:r w:rsidR="003E21E5">
        <w:t xml:space="preserve"> find no merit in this ground as well.</w:t>
      </w:r>
    </w:p>
    <w:p w:rsidR="00E10B85" w:rsidRDefault="00E10B85" w:rsidP="00397349">
      <w:pPr>
        <w:jc w:val="both"/>
      </w:pPr>
    </w:p>
    <w:p w:rsidR="00E10B85" w:rsidRPr="00397349" w:rsidRDefault="00E10B85" w:rsidP="00A90CC8">
      <w:pPr>
        <w:spacing w:line="360" w:lineRule="auto"/>
        <w:jc w:val="both"/>
        <w:rPr>
          <w:u w:val="single"/>
        </w:rPr>
      </w:pPr>
      <w:r w:rsidRPr="00397349">
        <w:rPr>
          <w:u w:val="single"/>
        </w:rPr>
        <w:t>Ground of Appeal 6</w:t>
      </w:r>
    </w:p>
    <w:p w:rsidR="006A011B" w:rsidRDefault="00E10B85" w:rsidP="00A90CC8">
      <w:pPr>
        <w:spacing w:line="360" w:lineRule="auto"/>
        <w:jc w:val="both"/>
      </w:pPr>
      <w:r>
        <w:tab/>
        <w:t xml:space="preserve">Appellant argued that the penalty meted was too harsh in the circumstance.  It is trite that the penalty to be meted in a particular case is at the discretion of the employer unless it can be demonstrated that the </w:t>
      </w:r>
      <w:r w:rsidR="00397349">
        <w:t>penalty</w:t>
      </w:r>
      <w:r>
        <w:t xml:space="preserve"> was decided upon in circumstances where the facts of a particular case dictate otherwise.  See </w:t>
      </w:r>
      <w:r w:rsidRPr="002E16C2">
        <w:rPr>
          <w:i/>
        </w:rPr>
        <w:t>Malima</w:t>
      </w:r>
      <w:r w:rsidR="008232C9" w:rsidRPr="002E16C2">
        <w:rPr>
          <w:i/>
        </w:rPr>
        <w:t xml:space="preserve">nji </w:t>
      </w:r>
      <w:r w:rsidR="008232C9">
        <w:t xml:space="preserve">v </w:t>
      </w:r>
      <w:r w:rsidR="008232C9" w:rsidRPr="00397349">
        <w:rPr>
          <w:i/>
        </w:rPr>
        <w:t xml:space="preserve">CABS </w:t>
      </w:r>
      <w:r w:rsidR="008232C9">
        <w:t xml:space="preserve">2007 (2) ZLR 77.  It is also trite that an Appellate Court will </w:t>
      </w:r>
      <w:r w:rsidR="00397349">
        <w:t>not</w:t>
      </w:r>
      <w:r w:rsidR="008232C9">
        <w:t xml:space="preserve"> interfere with the exercise of discretion by a lower court or tribunal unless there has been a clear</w:t>
      </w:r>
      <w:r w:rsidR="00381BB0">
        <w:t xml:space="preserve"> misdirection on the part of the lower court.  See </w:t>
      </w:r>
      <w:r w:rsidR="00381BB0" w:rsidRPr="00141C94">
        <w:rPr>
          <w:i/>
        </w:rPr>
        <w:t>Innscor Africa (Pvt) Ltd</w:t>
      </w:r>
      <w:r w:rsidR="00381BB0">
        <w:t xml:space="preserve"> v </w:t>
      </w:r>
      <w:r w:rsidR="00381BB0" w:rsidRPr="00397349">
        <w:rPr>
          <w:i/>
        </w:rPr>
        <w:t>Chimoto</w:t>
      </w:r>
      <w:r w:rsidR="00381BB0">
        <w:t xml:space="preserve"> SC 6/12.  Section 50 (1) of SI 1/2000 clearly states</w:t>
      </w:r>
      <w:r w:rsidR="00DA71DA">
        <w:t xml:space="preserve"> that a disciplinary authority may impose one or more of the penalties listed therein.  Appellant </w:t>
      </w:r>
      <w:r w:rsidR="002E16C2">
        <w:t xml:space="preserve">has not pointed to any </w:t>
      </w:r>
      <w:r w:rsidR="00DA71DA">
        <w:t>misdirection on the part of the disciplinary authority.  There is therefore no merit in this g</w:t>
      </w:r>
      <w:r w:rsidR="00A11C31">
        <w:t>round of appeal.</w:t>
      </w:r>
    </w:p>
    <w:p w:rsidR="006A011B" w:rsidRDefault="006A011B" w:rsidP="00141C94">
      <w:pPr>
        <w:jc w:val="both"/>
      </w:pPr>
    </w:p>
    <w:p w:rsidR="001124CF" w:rsidRDefault="006A011B" w:rsidP="00A90CC8">
      <w:pPr>
        <w:spacing w:line="360" w:lineRule="auto"/>
        <w:jc w:val="both"/>
      </w:pPr>
      <w:r>
        <w:tab/>
        <w:t>Consequently the appeal cannot succeed and the following order is appropriate</w:t>
      </w:r>
      <w:r w:rsidR="001124CF">
        <w:t>;</w:t>
      </w:r>
    </w:p>
    <w:p w:rsidR="00D3306C" w:rsidRDefault="00D3306C" w:rsidP="00D3306C">
      <w:pPr>
        <w:jc w:val="both"/>
      </w:pPr>
    </w:p>
    <w:p w:rsidR="00642489" w:rsidRDefault="001124CF" w:rsidP="00A90CC8">
      <w:pPr>
        <w:spacing w:line="360" w:lineRule="auto"/>
        <w:jc w:val="both"/>
      </w:pPr>
      <w:r>
        <w:t>The appeal be and is hereby dismissed with costs for lack of merit.</w:t>
      </w:r>
    </w:p>
    <w:p w:rsidR="00D3306C" w:rsidRDefault="00D3306C" w:rsidP="00A90CC8">
      <w:pPr>
        <w:spacing w:line="360" w:lineRule="auto"/>
        <w:jc w:val="both"/>
      </w:pPr>
    </w:p>
    <w:p w:rsidR="00141C94" w:rsidRDefault="00141C94" w:rsidP="00A90CC8">
      <w:pPr>
        <w:spacing w:line="360" w:lineRule="auto"/>
        <w:jc w:val="both"/>
      </w:pPr>
    </w:p>
    <w:p w:rsidR="00526650" w:rsidRDefault="00141C94" w:rsidP="00526650">
      <w:pPr>
        <w:spacing w:line="360" w:lineRule="auto"/>
        <w:jc w:val="both"/>
      </w:pPr>
      <w:r w:rsidRPr="00141C94">
        <w:rPr>
          <w:i/>
        </w:rPr>
        <w:t>Munyaradzi Gwisai &amp; Partners</w:t>
      </w:r>
      <w:r>
        <w:t>, appellant’s legal practitioners</w:t>
      </w:r>
    </w:p>
    <w:sectPr w:rsidR="00526650" w:rsidSect="00AB1861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6BD" w:rsidRDefault="00E456BD" w:rsidP="00AB1861">
      <w:r>
        <w:separator/>
      </w:r>
    </w:p>
  </w:endnote>
  <w:endnote w:type="continuationSeparator" w:id="0">
    <w:p w:rsidR="00E456BD" w:rsidRDefault="00E456BD" w:rsidP="00AB1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2911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1BB0" w:rsidRDefault="00381B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286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81BB0" w:rsidRDefault="00381B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6BD" w:rsidRDefault="00E456BD" w:rsidP="00AB1861">
      <w:r>
        <w:separator/>
      </w:r>
    </w:p>
  </w:footnote>
  <w:footnote w:type="continuationSeparator" w:id="0">
    <w:p w:rsidR="00E456BD" w:rsidRDefault="00E456BD" w:rsidP="00AB1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BB0" w:rsidRPr="00AB1861" w:rsidRDefault="00381BB0">
    <w:pPr>
      <w:pStyle w:val="Header"/>
      <w:rPr>
        <w:lang w:val="en-ZW"/>
      </w:rPr>
    </w:pPr>
    <w:r>
      <w:rPr>
        <w:lang w:val="en-ZW"/>
      </w:rPr>
      <w:tab/>
    </w:r>
    <w:r>
      <w:rPr>
        <w:lang w:val="en-ZW"/>
      </w:rPr>
      <w:tab/>
      <w:t>JUDGMENT NO. LC/H/</w:t>
    </w:r>
    <w:r w:rsidR="007F2864">
      <w:rPr>
        <w:lang w:val="en-ZW"/>
      </w:rPr>
      <w:t>390</w:t>
    </w:r>
    <w:r>
      <w:rPr>
        <w:lang w:val="en-ZW"/>
      </w:rPr>
      <w:t>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C4872"/>
    <w:multiLevelType w:val="hybridMultilevel"/>
    <w:tmpl w:val="B7886D9C"/>
    <w:lvl w:ilvl="0" w:tplc="EDA8F4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506762"/>
    <w:multiLevelType w:val="hybridMultilevel"/>
    <w:tmpl w:val="1A4C1D02"/>
    <w:lvl w:ilvl="0" w:tplc="189431A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D69"/>
    <w:rsid w:val="000333E8"/>
    <w:rsid w:val="00075B8F"/>
    <w:rsid w:val="00096C9C"/>
    <w:rsid w:val="000B22C0"/>
    <w:rsid w:val="000B578E"/>
    <w:rsid w:val="001124CF"/>
    <w:rsid w:val="001278DA"/>
    <w:rsid w:val="0013093A"/>
    <w:rsid w:val="00141C94"/>
    <w:rsid w:val="001507FC"/>
    <w:rsid w:val="00167C18"/>
    <w:rsid w:val="00180C37"/>
    <w:rsid w:val="001D3995"/>
    <w:rsid w:val="001E7D69"/>
    <w:rsid w:val="001F5223"/>
    <w:rsid w:val="00207354"/>
    <w:rsid w:val="00252EEF"/>
    <w:rsid w:val="002C6F49"/>
    <w:rsid w:val="002D3D3B"/>
    <w:rsid w:val="002E068C"/>
    <w:rsid w:val="002E16C2"/>
    <w:rsid w:val="002E3D02"/>
    <w:rsid w:val="002F0775"/>
    <w:rsid w:val="002F24B6"/>
    <w:rsid w:val="002F325E"/>
    <w:rsid w:val="00326389"/>
    <w:rsid w:val="00381BB0"/>
    <w:rsid w:val="00397349"/>
    <w:rsid w:val="00397401"/>
    <w:rsid w:val="003E21E5"/>
    <w:rsid w:val="003E447D"/>
    <w:rsid w:val="004F6E8F"/>
    <w:rsid w:val="00502096"/>
    <w:rsid w:val="00526650"/>
    <w:rsid w:val="00534DC1"/>
    <w:rsid w:val="00540F8D"/>
    <w:rsid w:val="00550881"/>
    <w:rsid w:val="005749CA"/>
    <w:rsid w:val="00591A1A"/>
    <w:rsid w:val="00591AFC"/>
    <w:rsid w:val="005A7ED2"/>
    <w:rsid w:val="005B0445"/>
    <w:rsid w:val="005F7BEF"/>
    <w:rsid w:val="00642489"/>
    <w:rsid w:val="0064481E"/>
    <w:rsid w:val="00654B1D"/>
    <w:rsid w:val="00657687"/>
    <w:rsid w:val="0067519E"/>
    <w:rsid w:val="006A011B"/>
    <w:rsid w:val="006A3C3E"/>
    <w:rsid w:val="006C36DF"/>
    <w:rsid w:val="007675FF"/>
    <w:rsid w:val="00780B3F"/>
    <w:rsid w:val="007D6DB0"/>
    <w:rsid w:val="007F2864"/>
    <w:rsid w:val="00802D6F"/>
    <w:rsid w:val="008232C9"/>
    <w:rsid w:val="00826A08"/>
    <w:rsid w:val="00841C62"/>
    <w:rsid w:val="0086588D"/>
    <w:rsid w:val="00882D18"/>
    <w:rsid w:val="008920CC"/>
    <w:rsid w:val="008B296F"/>
    <w:rsid w:val="00902F28"/>
    <w:rsid w:val="00920B80"/>
    <w:rsid w:val="00924C1D"/>
    <w:rsid w:val="00925C20"/>
    <w:rsid w:val="009442A8"/>
    <w:rsid w:val="00950665"/>
    <w:rsid w:val="00975315"/>
    <w:rsid w:val="00987F8C"/>
    <w:rsid w:val="009C479D"/>
    <w:rsid w:val="00A11C31"/>
    <w:rsid w:val="00A31861"/>
    <w:rsid w:val="00A3337F"/>
    <w:rsid w:val="00A356FF"/>
    <w:rsid w:val="00A732BC"/>
    <w:rsid w:val="00A75DB4"/>
    <w:rsid w:val="00A90CC8"/>
    <w:rsid w:val="00AA38D5"/>
    <w:rsid w:val="00AB1861"/>
    <w:rsid w:val="00AB2935"/>
    <w:rsid w:val="00AB33D2"/>
    <w:rsid w:val="00AC4349"/>
    <w:rsid w:val="00AC73A7"/>
    <w:rsid w:val="00AD13A7"/>
    <w:rsid w:val="00B178F7"/>
    <w:rsid w:val="00B31DB0"/>
    <w:rsid w:val="00B50BE9"/>
    <w:rsid w:val="00BD2E7C"/>
    <w:rsid w:val="00BE6AA1"/>
    <w:rsid w:val="00C54661"/>
    <w:rsid w:val="00D25F61"/>
    <w:rsid w:val="00D3306C"/>
    <w:rsid w:val="00D4394C"/>
    <w:rsid w:val="00D752E0"/>
    <w:rsid w:val="00D77580"/>
    <w:rsid w:val="00D77BEF"/>
    <w:rsid w:val="00DA67ED"/>
    <w:rsid w:val="00DA71DA"/>
    <w:rsid w:val="00DB47FE"/>
    <w:rsid w:val="00DC0A9E"/>
    <w:rsid w:val="00DE2F1E"/>
    <w:rsid w:val="00E10B85"/>
    <w:rsid w:val="00E2561E"/>
    <w:rsid w:val="00E456BD"/>
    <w:rsid w:val="00E5204C"/>
    <w:rsid w:val="00E93B64"/>
    <w:rsid w:val="00E97023"/>
    <w:rsid w:val="00EE330E"/>
    <w:rsid w:val="00F212EF"/>
    <w:rsid w:val="00F41192"/>
    <w:rsid w:val="00F54C2F"/>
    <w:rsid w:val="00F7030A"/>
    <w:rsid w:val="00FE517E"/>
    <w:rsid w:val="00FF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D69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2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18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861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8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861"/>
    <w:rPr>
      <w:rFonts w:ascii="Tahoma" w:eastAsia="Times New Roman" w:hAnsi="Tahoma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864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864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D69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2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18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861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8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861"/>
    <w:rPr>
      <w:rFonts w:ascii="Tahoma" w:eastAsia="Times New Roman" w:hAnsi="Tahoma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864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86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1384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35</cp:revision>
  <cp:lastPrinted>2016-06-17T07:39:00Z</cp:lastPrinted>
  <dcterms:created xsi:type="dcterms:W3CDTF">2016-06-14T12:05:00Z</dcterms:created>
  <dcterms:modified xsi:type="dcterms:W3CDTF">2016-06-17T07:42:00Z</dcterms:modified>
</cp:coreProperties>
</file>