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F2" w:rsidRDefault="006C1644">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BA0B63">
        <w:rPr>
          <w:b/>
          <w:sz w:val="24"/>
          <w:szCs w:val="24"/>
        </w:rPr>
        <w:t>435</w:t>
      </w:r>
      <w:r>
        <w:rPr>
          <w:b/>
          <w:sz w:val="24"/>
          <w:szCs w:val="24"/>
        </w:rPr>
        <w:t>/16</w:t>
      </w:r>
    </w:p>
    <w:p w:rsidR="006C1644" w:rsidRDefault="006C1644">
      <w:pPr>
        <w:rPr>
          <w:b/>
          <w:sz w:val="24"/>
          <w:szCs w:val="24"/>
        </w:rPr>
      </w:pPr>
      <w:r>
        <w:rPr>
          <w:b/>
          <w:sz w:val="24"/>
          <w:szCs w:val="24"/>
        </w:rPr>
        <w:t>HELD AT HARARE 26 JANUARY 2016</w:t>
      </w:r>
      <w:r>
        <w:rPr>
          <w:b/>
          <w:sz w:val="24"/>
          <w:szCs w:val="24"/>
        </w:rPr>
        <w:tab/>
      </w:r>
      <w:r>
        <w:rPr>
          <w:b/>
          <w:sz w:val="24"/>
          <w:szCs w:val="24"/>
        </w:rPr>
        <w:tab/>
      </w:r>
      <w:r>
        <w:rPr>
          <w:b/>
          <w:sz w:val="24"/>
          <w:szCs w:val="24"/>
        </w:rPr>
        <w:tab/>
      </w:r>
      <w:r>
        <w:rPr>
          <w:b/>
          <w:sz w:val="24"/>
          <w:szCs w:val="24"/>
        </w:rPr>
        <w:tab/>
        <w:t>CASE NO LC/H/104/15</w:t>
      </w:r>
    </w:p>
    <w:p w:rsidR="006C1644" w:rsidRDefault="006C1644">
      <w:pPr>
        <w:rPr>
          <w:b/>
          <w:sz w:val="24"/>
          <w:szCs w:val="24"/>
        </w:rPr>
      </w:pPr>
      <w:r>
        <w:rPr>
          <w:b/>
          <w:sz w:val="24"/>
          <w:szCs w:val="24"/>
        </w:rPr>
        <w:t xml:space="preserve">&amp; </w:t>
      </w:r>
      <w:r w:rsidR="00BA0B63">
        <w:rPr>
          <w:b/>
          <w:sz w:val="24"/>
          <w:szCs w:val="24"/>
        </w:rPr>
        <w:t>22 JULY 2016</w:t>
      </w:r>
    </w:p>
    <w:p w:rsidR="006C1644" w:rsidRDefault="006C1644">
      <w:pPr>
        <w:rPr>
          <w:sz w:val="24"/>
          <w:szCs w:val="24"/>
        </w:rPr>
      </w:pPr>
      <w:r>
        <w:rPr>
          <w:sz w:val="24"/>
          <w:szCs w:val="24"/>
        </w:rPr>
        <w:t>In the matter between:</w:t>
      </w:r>
    </w:p>
    <w:p w:rsidR="006C1644" w:rsidRDefault="006C1644">
      <w:pPr>
        <w:rPr>
          <w:b/>
          <w:sz w:val="24"/>
          <w:szCs w:val="24"/>
        </w:rPr>
      </w:pPr>
      <w:r>
        <w:rPr>
          <w:b/>
          <w:sz w:val="24"/>
          <w:szCs w:val="24"/>
        </w:rPr>
        <w:t>WATTLE COMPANY LTD</w:t>
      </w:r>
      <w:r>
        <w:rPr>
          <w:b/>
          <w:sz w:val="24"/>
          <w:szCs w:val="24"/>
        </w:rPr>
        <w:tab/>
      </w:r>
      <w:r>
        <w:rPr>
          <w:b/>
          <w:sz w:val="24"/>
          <w:szCs w:val="24"/>
        </w:rPr>
        <w:tab/>
      </w:r>
      <w:r>
        <w:rPr>
          <w:b/>
          <w:sz w:val="24"/>
          <w:szCs w:val="24"/>
        </w:rPr>
        <w:tab/>
      </w:r>
      <w:r>
        <w:rPr>
          <w:b/>
          <w:sz w:val="24"/>
          <w:szCs w:val="24"/>
        </w:rPr>
        <w:tab/>
        <w:t>Applicant</w:t>
      </w:r>
    </w:p>
    <w:p w:rsidR="006C1644" w:rsidRDefault="006C1644">
      <w:pPr>
        <w:rPr>
          <w:b/>
          <w:sz w:val="24"/>
          <w:szCs w:val="24"/>
        </w:rPr>
      </w:pPr>
      <w:r>
        <w:rPr>
          <w:b/>
          <w:sz w:val="24"/>
          <w:szCs w:val="24"/>
        </w:rPr>
        <w:t>And</w:t>
      </w:r>
    </w:p>
    <w:p w:rsidR="006C1644" w:rsidRDefault="006C1644">
      <w:pPr>
        <w:rPr>
          <w:b/>
          <w:sz w:val="24"/>
          <w:szCs w:val="24"/>
        </w:rPr>
      </w:pPr>
      <w:r>
        <w:rPr>
          <w:b/>
          <w:sz w:val="24"/>
          <w:szCs w:val="24"/>
        </w:rPr>
        <w:t>MINISTER OF PUBLIC SERVICE, LABOUR</w:t>
      </w:r>
      <w:r>
        <w:rPr>
          <w:b/>
          <w:sz w:val="24"/>
          <w:szCs w:val="24"/>
        </w:rPr>
        <w:tab/>
      </w:r>
      <w:r>
        <w:rPr>
          <w:b/>
          <w:sz w:val="24"/>
          <w:szCs w:val="24"/>
        </w:rPr>
        <w:tab/>
        <w:t>Respondents</w:t>
      </w:r>
    </w:p>
    <w:p w:rsidR="006C1644" w:rsidRDefault="006C1644">
      <w:pPr>
        <w:rPr>
          <w:b/>
          <w:sz w:val="24"/>
          <w:szCs w:val="24"/>
        </w:rPr>
      </w:pPr>
      <w:r>
        <w:rPr>
          <w:b/>
          <w:sz w:val="24"/>
          <w:szCs w:val="24"/>
        </w:rPr>
        <w:t>&amp; SOCIAL SERVICES &amp; 52 OTHERS</w:t>
      </w:r>
    </w:p>
    <w:p w:rsidR="006C1644" w:rsidRDefault="006C1644">
      <w:pPr>
        <w:rPr>
          <w:sz w:val="24"/>
          <w:szCs w:val="24"/>
        </w:rPr>
      </w:pPr>
      <w:r>
        <w:rPr>
          <w:sz w:val="24"/>
          <w:szCs w:val="24"/>
        </w:rPr>
        <w:t xml:space="preserve">Before The Honourable R F </w:t>
      </w:r>
      <w:proofErr w:type="spellStart"/>
      <w:r>
        <w:rPr>
          <w:sz w:val="24"/>
          <w:szCs w:val="24"/>
        </w:rPr>
        <w:t>Manyangadze</w:t>
      </w:r>
      <w:proofErr w:type="spellEnd"/>
      <w:r>
        <w:rPr>
          <w:sz w:val="24"/>
          <w:szCs w:val="24"/>
        </w:rPr>
        <w:t>, Judge</w:t>
      </w:r>
    </w:p>
    <w:p w:rsidR="006C1644" w:rsidRDefault="006C1644">
      <w:pPr>
        <w:rPr>
          <w:b/>
          <w:sz w:val="24"/>
          <w:szCs w:val="24"/>
        </w:rPr>
      </w:pPr>
      <w:r>
        <w:rPr>
          <w:b/>
          <w:sz w:val="24"/>
          <w:szCs w:val="24"/>
        </w:rPr>
        <w:t>For Appellant</w:t>
      </w:r>
      <w:r>
        <w:rPr>
          <w:b/>
          <w:sz w:val="24"/>
          <w:szCs w:val="24"/>
        </w:rPr>
        <w:tab/>
      </w:r>
      <w:r>
        <w:rPr>
          <w:b/>
          <w:sz w:val="24"/>
          <w:szCs w:val="24"/>
        </w:rPr>
        <w:tab/>
      </w:r>
      <w:r>
        <w:rPr>
          <w:b/>
          <w:sz w:val="24"/>
          <w:szCs w:val="24"/>
        </w:rPr>
        <w:tab/>
      </w:r>
      <w:r w:rsidR="001A245F">
        <w:rPr>
          <w:b/>
          <w:sz w:val="24"/>
          <w:szCs w:val="24"/>
        </w:rPr>
        <w:tab/>
      </w:r>
      <w:r>
        <w:rPr>
          <w:b/>
          <w:sz w:val="24"/>
          <w:szCs w:val="24"/>
        </w:rPr>
        <w:t xml:space="preserve">Mr T G </w:t>
      </w:r>
      <w:proofErr w:type="spellStart"/>
      <w:r>
        <w:rPr>
          <w:b/>
          <w:sz w:val="24"/>
          <w:szCs w:val="24"/>
        </w:rPr>
        <w:t>Mukw</w:t>
      </w:r>
      <w:r w:rsidR="00616CEE">
        <w:rPr>
          <w:b/>
          <w:sz w:val="24"/>
          <w:szCs w:val="24"/>
        </w:rPr>
        <w:t>i</w:t>
      </w:r>
      <w:r>
        <w:rPr>
          <w:b/>
          <w:sz w:val="24"/>
          <w:szCs w:val="24"/>
        </w:rPr>
        <w:t>ndidza</w:t>
      </w:r>
      <w:proofErr w:type="spellEnd"/>
      <w:r>
        <w:rPr>
          <w:b/>
          <w:sz w:val="24"/>
          <w:szCs w:val="24"/>
        </w:rPr>
        <w:t xml:space="preserve"> (Legal Practitioner)</w:t>
      </w:r>
    </w:p>
    <w:p w:rsidR="006C1644" w:rsidRDefault="006C1644">
      <w:pPr>
        <w:rPr>
          <w:b/>
          <w:sz w:val="24"/>
          <w:szCs w:val="24"/>
        </w:rPr>
      </w:pPr>
      <w:r>
        <w:rPr>
          <w:b/>
          <w:sz w:val="24"/>
          <w:szCs w:val="24"/>
        </w:rPr>
        <w:t>For 1</w:t>
      </w:r>
      <w:r w:rsidRPr="006C1644">
        <w:rPr>
          <w:b/>
          <w:sz w:val="24"/>
          <w:szCs w:val="24"/>
          <w:vertAlign w:val="superscript"/>
        </w:rPr>
        <w:t>st</w:t>
      </w:r>
      <w:r>
        <w:rPr>
          <w:b/>
          <w:sz w:val="24"/>
          <w:szCs w:val="24"/>
        </w:rPr>
        <w:t xml:space="preserve"> Respondent</w:t>
      </w:r>
      <w:r>
        <w:rPr>
          <w:b/>
          <w:sz w:val="24"/>
          <w:szCs w:val="24"/>
        </w:rPr>
        <w:tab/>
      </w:r>
      <w:r>
        <w:rPr>
          <w:b/>
          <w:sz w:val="24"/>
          <w:szCs w:val="24"/>
        </w:rPr>
        <w:tab/>
      </w:r>
      <w:r w:rsidR="001A245F">
        <w:rPr>
          <w:b/>
          <w:sz w:val="24"/>
          <w:szCs w:val="24"/>
        </w:rPr>
        <w:tab/>
      </w:r>
      <w:r>
        <w:rPr>
          <w:b/>
          <w:sz w:val="24"/>
          <w:szCs w:val="24"/>
        </w:rPr>
        <w:t xml:space="preserve">Ms T S </w:t>
      </w:r>
      <w:proofErr w:type="spellStart"/>
      <w:r>
        <w:rPr>
          <w:b/>
          <w:sz w:val="24"/>
          <w:szCs w:val="24"/>
        </w:rPr>
        <w:t>Musangwa</w:t>
      </w:r>
      <w:proofErr w:type="spellEnd"/>
      <w:r>
        <w:rPr>
          <w:b/>
          <w:sz w:val="24"/>
          <w:szCs w:val="24"/>
        </w:rPr>
        <w:t xml:space="preserve"> (Civil Division)</w:t>
      </w:r>
    </w:p>
    <w:p w:rsidR="006C1644" w:rsidRDefault="006C1644">
      <w:pPr>
        <w:rPr>
          <w:b/>
          <w:sz w:val="24"/>
          <w:szCs w:val="24"/>
        </w:rPr>
      </w:pPr>
      <w:r>
        <w:rPr>
          <w:b/>
          <w:sz w:val="24"/>
          <w:szCs w:val="24"/>
        </w:rPr>
        <w:t>For 2</w:t>
      </w:r>
      <w:r w:rsidRPr="006C1644">
        <w:rPr>
          <w:b/>
          <w:sz w:val="24"/>
          <w:szCs w:val="24"/>
          <w:vertAlign w:val="superscript"/>
        </w:rPr>
        <w:t>nd</w:t>
      </w:r>
      <w:r w:rsidR="001A245F">
        <w:rPr>
          <w:b/>
          <w:sz w:val="24"/>
          <w:szCs w:val="24"/>
          <w:vertAlign w:val="superscript"/>
        </w:rPr>
        <w:t xml:space="preserve"> – </w:t>
      </w:r>
      <w:proofErr w:type="gramStart"/>
      <w:r w:rsidR="001A245F">
        <w:rPr>
          <w:b/>
          <w:sz w:val="24"/>
          <w:szCs w:val="24"/>
          <w:vertAlign w:val="superscript"/>
        </w:rPr>
        <w:t xml:space="preserve">52nd </w:t>
      </w:r>
      <w:r>
        <w:rPr>
          <w:b/>
          <w:sz w:val="24"/>
          <w:szCs w:val="24"/>
        </w:rPr>
        <w:t xml:space="preserve"> Respondent</w:t>
      </w:r>
      <w:r w:rsidR="009F55AA">
        <w:rPr>
          <w:b/>
          <w:sz w:val="24"/>
          <w:szCs w:val="24"/>
        </w:rPr>
        <w:t>s</w:t>
      </w:r>
      <w:proofErr w:type="gramEnd"/>
      <w:r>
        <w:rPr>
          <w:b/>
          <w:sz w:val="24"/>
          <w:szCs w:val="24"/>
        </w:rPr>
        <w:tab/>
      </w:r>
      <w:r>
        <w:rPr>
          <w:b/>
          <w:sz w:val="24"/>
          <w:szCs w:val="24"/>
        </w:rPr>
        <w:tab/>
        <w:t xml:space="preserve">Mr C </w:t>
      </w:r>
      <w:proofErr w:type="spellStart"/>
      <w:r>
        <w:rPr>
          <w:b/>
          <w:sz w:val="24"/>
          <w:szCs w:val="24"/>
        </w:rPr>
        <w:t>Chibaya</w:t>
      </w:r>
      <w:proofErr w:type="spellEnd"/>
      <w:r>
        <w:rPr>
          <w:b/>
          <w:sz w:val="24"/>
          <w:szCs w:val="24"/>
        </w:rPr>
        <w:t xml:space="preserve"> (Legal Practitioner)</w:t>
      </w:r>
    </w:p>
    <w:p w:rsidR="006C1644" w:rsidRDefault="006C1644">
      <w:pPr>
        <w:rPr>
          <w:b/>
          <w:sz w:val="24"/>
          <w:szCs w:val="24"/>
        </w:rPr>
      </w:pPr>
    </w:p>
    <w:p w:rsidR="006C1644" w:rsidRDefault="006C1644">
      <w:pPr>
        <w:rPr>
          <w:b/>
          <w:sz w:val="24"/>
          <w:szCs w:val="24"/>
        </w:rPr>
      </w:pPr>
      <w:r>
        <w:rPr>
          <w:b/>
          <w:sz w:val="24"/>
          <w:szCs w:val="24"/>
        </w:rPr>
        <w:t>MANYANGADZE, J:</w:t>
      </w:r>
    </w:p>
    <w:p w:rsidR="006C1644" w:rsidRDefault="006C1644">
      <w:pPr>
        <w:rPr>
          <w:sz w:val="24"/>
          <w:szCs w:val="24"/>
        </w:rPr>
      </w:pPr>
      <w:r>
        <w:rPr>
          <w:b/>
          <w:sz w:val="24"/>
          <w:szCs w:val="24"/>
        </w:rPr>
        <w:tab/>
      </w:r>
      <w:r>
        <w:rPr>
          <w:sz w:val="24"/>
          <w:szCs w:val="24"/>
        </w:rPr>
        <w:t>This is an application for the review of a retrenchment package approved by the 1</w:t>
      </w:r>
      <w:r w:rsidRPr="006C1644">
        <w:rPr>
          <w:sz w:val="24"/>
          <w:szCs w:val="24"/>
          <w:vertAlign w:val="superscript"/>
        </w:rPr>
        <w:t>st</w:t>
      </w:r>
      <w:r>
        <w:rPr>
          <w:sz w:val="24"/>
          <w:szCs w:val="24"/>
        </w:rPr>
        <w:t xml:space="preserve"> respondent in favour of the 2</w:t>
      </w:r>
      <w:r w:rsidRPr="006C1644">
        <w:rPr>
          <w:sz w:val="24"/>
          <w:szCs w:val="24"/>
          <w:vertAlign w:val="superscript"/>
        </w:rPr>
        <w:t>nd</w:t>
      </w:r>
      <w:r>
        <w:rPr>
          <w:sz w:val="24"/>
          <w:szCs w:val="24"/>
        </w:rPr>
        <w:t xml:space="preserve"> to the 52</w:t>
      </w:r>
      <w:r w:rsidRPr="006C1644">
        <w:rPr>
          <w:sz w:val="24"/>
          <w:szCs w:val="24"/>
          <w:vertAlign w:val="superscript"/>
        </w:rPr>
        <w:t>nd</w:t>
      </w:r>
      <w:r>
        <w:rPr>
          <w:sz w:val="24"/>
          <w:szCs w:val="24"/>
        </w:rPr>
        <w:t xml:space="preserve"> respondents.</w:t>
      </w:r>
    </w:p>
    <w:p w:rsidR="006C1644" w:rsidRDefault="006C1644">
      <w:pPr>
        <w:rPr>
          <w:sz w:val="24"/>
          <w:szCs w:val="24"/>
        </w:rPr>
      </w:pPr>
      <w:r>
        <w:rPr>
          <w:sz w:val="24"/>
          <w:szCs w:val="24"/>
        </w:rPr>
        <w:tab/>
        <w:t>The 2</w:t>
      </w:r>
      <w:r w:rsidRPr="006C1644">
        <w:rPr>
          <w:sz w:val="24"/>
          <w:szCs w:val="24"/>
          <w:vertAlign w:val="superscript"/>
        </w:rPr>
        <w:t>nd</w:t>
      </w:r>
      <w:r>
        <w:rPr>
          <w:sz w:val="24"/>
          <w:szCs w:val="24"/>
        </w:rPr>
        <w:t xml:space="preserve"> – 52</w:t>
      </w:r>
      <w:r w:rsidRPr="006C1644">
        <w:rPr>
          <w:sz w:val="24"/>
          <w:szCs w:val="24"/>
          <w:vertAlign w:val="superscript"/>
        </w:rPr>
        <w:t>nd</w:t>
      </w:r>
      <w:r>
        <w:rPr>
          <w:sz w:val="24"/>
          <w:szCs w:val="24"/>
        </w:rPr>
        <w:t xml:space="preserve"> respondents (</w:t>
      </w:r>
      <w:proofErr w:type="spellStart"/>
      <w:r>
        <w:rPr>
          <w:sz w:val="24"/>
          <w:szCs w:val="24"/>
        </w:rPr>
        <w:t>retrenche</w:t>
      </w:r>
      <w:r w:rsidR="001A245F">
        <w:rPr>
          <w:sz w:val="24"/>
          <w:szCs w:val="24"/>
        </w:rPr>
        <w:t>e</w:t>
      </w:r>
      <w:r>
        <w:rPr>
          <w:sz w:val="24"/>
          <w:szCs w:val="24"/>
        </w:rPr>
        <w:t>s</w:t>
      </w:r>
      <w:proofErr w:type="spellEnd"/>
      <w:r>
        <w:rPr>
          <w:sz w:val="24"/>
          <w:szCs w:val="24"/>
        </w:rPr>
        <w:t>) were retrenched by the applicant in August 2015.  Their retrenchment</w:t>
      </w:r>
      <w:r w:rsidR="00006F4C">
        <w:rPr>
          <w:sz w:val="24"/>
          <w:szCs w:val="24"/>
        </w:rPr>
        <w:t xml:space="preserve"> was approved by the second respondent, the Minister of Public Service, Labour and Social Welfare (the Minister) on 24 August 2015.</w:t>
      </w:r>
    </w:p>
    <w:p w:rsidR="00006F4C" w:rsidRDefault="00006F4C">
      <w:pPr>
        <w:rPr>
          <w:sz w:val="24"/>
          <w:szCs w:val="24"/>
        </w:rPr>
      </w:pPr>
      <w:r>
        <w:rPr>
          <w:sz w:val="24"/>
          <w:szCs w:val="24"/>
        </w:rPr>
        <w:tab/>
        <w:t>The terms and conditions of the approved retrenchment are as follows:</w:t>
      </w:r>
    </w:p>
    <w:p w:rsidR="00006F4C" w:rsidRPr="00006F4C" w:rsidRDefault="00006F4C">
      <w:pPr>
        <w:rPr>
          <w:sz w:val="24"/>
          <w:szCs w:val="24"/>
          <w:u w:val="single"/>
        </w:rPr>
      </w:pPr>
      <w:r>
        <w:rPr>
          <w:sz w:val="24"/>
          <w:szCs w:val="24"/>
          <w:u w:val="single"/>
        </w:rPr>
        <w:t>Terms and conditions of the Retrenchment</w:t>
      </w:r>
    </w:p>
    <w:tbl>
      <w:tblPr>
        <w:tblStyle w:val="TableGrid"/>
        <w:tblW w:w="0" w:type="auto"/>
        <w:tblLook w:val="04A0" w:firstRow="1" w:lastRow="0" w:firstColumn="1" w:lastColumn="0" w:noHBand="0" w:noVBand="1"/>
      </w:tblPr>
      <w:tblGrid>
        <w:gridCol w:w="2628"/>
        <w:gridCol w:w="6614"/>
      </w:tblGrid>
      <w:tr w:rsidR="00006F4C" w:rsidTr="00006F4C">
        <w:tc>
          <w:tcPr>
            <w:tcW w:w="2628" w:type="dxa"/>
          </w:tcPr>
          <w:p w:rsidR="00006F4C" w:rsidRDefault="009C1F3E">
            <w:pPr>
              <w:rPr>
                <w:sz w:val="24"/>
                <w:szCs w:val="24"/>
              </w:rPr>
            </w:pPr>
            <w:r>
              <w:rPr>
                <w:sz w:val="24"/>
                <w:szCs w:val="24"/>
              </w:rPr>
              <w:t>Service pay</w:t>
            </w:r>
          </w:p>
        </w:tc>
        <w:tc>
          <w:tcPr>
            <w:tcW w:w="6614" w:type="dxa"/>
          </w:tcPr>
          <w:p w:rsidR="00006F4C" w:rsidRDefault="009C1F3E">
            <w:pPr>
              <w:rPr>
                <w:sz w:val="24"/>
                <w:szCs w:val="24"/>
              </w:rPr>
            </w:pPr>
            <w:r>
              <w:rPr>
                <w:sz w:val="24"/>
                <w:szCs w:val="24"/>
              </w:rPr>
              <w:t>1 month salary/year served</w:t>
            </w:r>
          </w:p>
        </w:tc>
      </w:tr>
      <w:tr w:rsidR="00006F4C" w:rsidTr="00006F4C">
        <w:tc>
          <w:tcPr>
            <w:tcW w:w="2628" w:type="dxa"/>
          </w:tcPr>
          <w:p w:rsidR="00006F4C" w:rsidRDefault="009C1F3E">
            <w:pPr>
              <w:rPr>
                <w:sz w:val="24"/>
                <w:szCs w:val="24"/>
              </w:rPr>
            </w:pPr>
            <w:r>
              <w:rPr>
                <w:sz w:val="24"/>
                <w:szCs w:val="24"/>
              </w:rPr>
              <w:t>Severance pay</w:t>
            </w:r>
          </w:p>
        </w:tc>
        <w:tc>
          <w:tcPr>
            <w:tcW w:w="6614" w:type="dxa"/>
          </w:tcPr>
          <w:p w:rsidR="00006F4C" w:rsidRDefault="009C1F3E">
            <w:pPr>
              <w:rPr>
                <w:sz w:val="24"/>
                <w:szCs w:val="24"/>
              </w:rPr>
            </w:pPr>
            <w:r>
              <w:rPr>
                <w:sz w:val="24"/>
                <w:szCs w:val="24"/>
              </w:rPr>
              <w:t xml:space="preserve">2 </w:t>
            </w:r>
            <w:proofErr w:type="spellStart"/>
            <w:r>
              <w:rPr>
                <w:sz w:val="24"/>
                <w:szCs w:val="24"/>
              </w:rPr>
              <w:t>months</w:t>
            </w:r>
            <w:proofErr w:type="spellEnd"/>
            <w:r>
              <w:rPr>
                <w:sz w:val="24"/>
                <w:szCs w:val="24"/>
              </w:rPr>
              <w:t xml:space="preserve"> salary</w:t>
            </w:r>
          </w:p>
        </w:tc>
      </w:tr>
      <w:tr w:rsidR="00006F4C" w:rsidTr="00006F4C">
        <w:tc>
          <w:tcPr>
            <w:tcW w:w="2628" w:type="dxa"/>
          </w:tcPr>
          <w:p w:rsidR="00006F4C" w:rsidRDefault="009C1F3E">
            <w:pPr>
              <w:rPr>
                <w:sz w:val="24"/>
                <w:szCs w:val="24"/>
              </w:rPr>
            </w:pPr>
            <w:r>
              <w:rPr>
                <w:sz w:val="24"/>
                <w:szCs w:val="24"/>
              </w:rPr>
              <w:t>Relocation allowance</w:t>
            </w:r>
          </w:p>
        </w:tc>
        <w:tc>
          <w:tcPr>
            <w:tcW w:w="6614" w:type="dxa"/>
          </w:tcPr>
          <w:p w:rsidR="00006F4C" w:rsidRDefault="009C1F3E">
            <w:pPr>
              <w:rPr>
                <w:sz w:val="24"/>
                <w:szCs w:val="24"/>
              </w:rPr>
            </w:pPr>
            <w:r>
              <w:rPr>
                <w:sz w:val="24"/>
                <w:szCs w:val="24"/>
              </w:rPr>
              <w:t>1 month salary</w:t>
            </w:r>
          </w:p>
        </w:tc>
      </w:tr>
      <w:tr w:rsidR="00006F4C" w:rsidTr="00006F4C">
        <w:tc>
          <w:tcPr>
            <w:tcW w:w="2628" w:type="dxa"/>
          </w:tcPr>
          <w:p w:rsidR="00006F4C" w:rsidRDefault="009C1F3E">
            <w:pPr>
              <w:rPr>
                <w:sz w:val="24"/>
                <w:szCs w:val="24"/>
              </w:rPr>
            </w:pPr>
            <w:r>
              <w:rPr>
                <w:sz w:val="24"/>
                <w:szCs w:val="24"/>
              </w:rPr>
              <w:t>Period of payment requested by parties</w:t>
            </w:r>
          </w:p>
        </w:tc>
        <w:tc>
          <w:tcPr>
            <w:tcW w:w="6614" w:type="dxa"/>
          </w:tcPr>
          <w:p w:rsidR="00006F4C" w:rsidRDefault="009C1F3E">
            <w:pPr>
              <w:rPr>
                <w:sz w:val="24"/>
                <w:szCs w:val="24"/>
              </w:rPr>
            </w:pPr>
            <w:r>
              <w:rPr>
                <w:sz w:val="24"/>
                <w:szCs w:val="24"/>
              </w:rPr>
              <w:t>Retrenchment board recommended 6 months</w:t>
            </w:r>
          </w:p>
          <w:p w:rsidR="009C1F3E" w:rsidRDefault="009C1F3E">
            <w:pPr>
              <w:rPr>
                <w:sz w:val="24"/>
                <w:szCs w:val="24"/>
              </w:rPr>
            </w:pPr>
          </w:p>
        </w:tc>
      </w:tr>
    </w:tbl>
    <w:p w:rsidR="00006F4C" w:rsidRDefault="00006F4C">
      <w:pPr>
        <w:rPr>
          <w:sz w:val="24"/>
          <w:szCs w:val="24"/>
        </w:rPr>
      </w:pPr>
    </w:p>
    <w:p w:rsidR="009C1F3E" w:rsidRDefault="009C1F3E" w:rsidP="009C1F3E">
      <w:pPr>
        <w:spacing w:line="360" w:lineRule="auto"/>
        <w:rPr>
          <w:sz w:val="24"/>
          <w:szCs w:val="24"/>
        </w:rPr>
      </w:pPr>
      <w:r>
        <w:rPr>
          <w:sz w:val="24"/>
          <w:szCs w:val="24"/>
        </w:rPr>
        <w:tab/>
        <w:t>Aggrieved by the aforesaid terms and conditions, the applicant filed an application for review with this court.  The grounds for review are stated as follows:</w:t>
      </w:r>
    </w:p>
    <w:p w:rsidR="009C1F3E" w:rsidRDefault="001A245F" w:rsidP="001A245F">
      <w:pPr>
        <w:pStyle w:val="ListParagraph"/>
        <w:spacing w:line="360" w:lineRule="auto"/>
        <w:ind w:left="1800"/>
      </w:pPr>
      <w:r>
        <w:lastRenderedPageBreak/>
        <w:t xml:space="preserve">“1.1 </w:t>
      </w:r>
      <w:r w:rsidR="00985813">
        <w:t xml:space="preserve">The decision is grossly unreasonable as to be irrational and outrageous in its defiance of logic or of accepted moral standards that no sensible person who had applied his/her </w:t>
      </w:r>
      <w:proofErr w:type="gramStart"/>
      <w:r w:rsidR="00985813">
        <w:t>mind</w:t>
      </w:r>
      <w:proofErr w:type="gramEnd"/>
      <w:r w:rsidR="00985813">
        <w:t xml:space="preserve"> to the issue would have arrived at it.</w:t>
      </w:r>
    </w:p>
    <w:p w:rsidR="001A245F" w:rsidRDefault="001A245F" w:rsidP="001A245F">
      <w:pPr>
        <w:pStyle w:val="ListParagraph"/>
        <w:numPr>
          <w:ilvl w:val="1"/>
          <w:numId w:val="5"/>
        </w:numPr>
        <w:spacing w:line="360" w:lineRule="auto"/>
      </w:pPr>
      <w:r>
        <w:t>The decision is grossly unreasonable and is in clear conflict with the provisions of section 12 (2) to 12 (4) of the Labour Act as amended particularly in that:</w:t>
      </w:r>
    </w:p>
    <w:p w:rsidR="00985813" w:rsidRDefault="00985813" w:rsidP="001A245F">
      <w:pPr>
        <w:pStyle w:val="ListParagraph"/>
        <w:numPr>
          <w:ilvl w:val="2"/>
          <w:numId w:val="5"/>
        </w:numPr>
        <w:spacing w:line="240" w:lineRule="auto"/>
      </w:pPr>
      <w:r>
        <w:t>The decision is grossly unreasonable and is cle</w:t>
      </w:r>
      <w:r w:rsidR="001A245F">
        <w:t xml:space="preserve">ar conflict with the provisions </w:t>
      </w:r>
      <w:r>
        <w:t>First respondent did not take into account applicant’s financial position and its incapacity to pay the quantum awarded as it clear from Annexure ‘F’ to ‘H’.  Applicant has salary arrears and is currently struggling to pay its work</w:t>
      </w:r>
      <w:r w:rsidR="001A245F">
        <w:t xml:space="preserve">force </w:t>
      </w:r>
      <w:r>
        <w:t>whilst it is also saddled with overwhelming debts owed to short and long term creditors.</w:t>
      </w:r>
    </w:p>
    <w:p w:rsidR="00985813" w:rsidRDefault="00985813" w:rsidP="00985813">
      <w:pPr>
        <w:pStyle w:val="ListParagraph"/>
        <w:spacing w:line="240" w:lineRule="auto"/>
        <w:ind w:left="3600"/>
      </w:pPr>
    </w:p>
    <w:p w:rsidR="00985813" w:rsidRDefault="00985813" w:rsidP="001A245F">
      <w:pPr>
        <w:pStyle w:val="ListParagraph"/>
        <w:numPr>
          <w:ilvl w:val="2"/>
          <w:numId w:val="5"/>
        </w:numPr>
        <w:spacing w:line="240" w:lineRule="auto"/>
      </w:pPr>
      <w:r>
        <w:t>First respondent failed to make a decision on applicant’s proposal to pay any retrenchment package over a period of 24 months.  This is in tandem with the Labour Amendment Act No 5 of 2015.</w:t>
      </w:r>
    </w:p>
    <w:p w:rsidR="00985813" w:rsidRDefault="00985813" w:rsidP="00985813">
      <w:pPr>
        <w:pStyle w:val="ListParagraph"/>
      </w:pPr>
    </w:p>
    <w:p w:rsidR="00985813" w:rsidRDefault="00985813" w:rsidP="00985813">
      <w:pPr>
        <w:pStyle w:val="ListParagraph"/>
        <w:spacing w:line="240" w:lineRule="auto"/>
        <w:ind w:left="3600"/>
      </w:pPr>
    </w:p>
    <w:p w:rsidR="00985813" w:rsidRPr="00985813" w:rsidRDefault="00985813" w:rsidP="001A245F">
      <w:pPr>
        <w:pStyle w:val="ListParagraph"/>
        <w:numPr>
          <w:ilvl w:val="2"/>
          <w:numId w:val="5"/>
        </w:numPr>
        <w:spacing w:line="240" w:lineRule="auto"/>
      </w:pPr>
      <w:r>
        <w:t>First respondent completely ignored and or avoided making a fair decision on this aspect.  Rather she simply stated that Retrenchment Board recommended 6 months.  Six months is grossly unreasonable and too short a period given applicant’s financial status.  First applicant’s omission in making a decision on this aspect is grossly unreasonable and so as to be irrational and outrageous in its defiance of logic or of accepted moral standards that no reasonable person who had applied his mind to the issue would have committed such an omission.</w:t>
      </w:r>
      <w:r w:rsidR="001A245F">
        <w:t>”</w:t>
      </w:r>
    </w:p>
    <w:p w:rsidR="009C1F3E" w:rsidRDefault="009C1F3E" w:rsidP="009C1F3E">
      <w:pPr>
        <w:spacing w:line="360" w:lineRule="auto"/>
        <w:rPr>
          <w:sz w:val="24"/>
          <w:szCs w:val="24"/>
        </w:rPr>
      </w:pPr>
      <w:r>
        <w:rPr>
          <w:sz w:val="24"/>
          <w:szCs w:val="24"/>
        </w:rPr>
        <w:tab/>
        <w:t xml:space="preserve">There is no issue with the retrenchment procedure.  It is the retrenchment determination, as reflected in the terms and conditions approved by the </w:t>
      </w:r>
      <w:proofErr w:type="gramStart"/>
      <w:r>
        <w:rPr>
          <w:sz w:val="24"/>
          <w:szCs w:val="24"/>
        </w:rPr>
        <w:t>Minister, that</w:t>
      </w:r>
      <w:proofErr w:type="gramEnd"/>
      <w:r>
        <w:rPr>
          <w:sz w:val="24"/>
          <w:szCs w:val="24"/>
        </w:rPr>
        <w:t xml:space="preserve"> is an issue.  In other words, it is the quantum of retrenchment, and not its process, that is in issue.</w:t>
      </w:r>
    </w:p>
    <w:p w:rsidR="00A03752" w:rsidRDefault="00A03752" w:rsidP="009C1F3E">
      <w:pPr>
        <w:spacing w:line="360" w:lineRule="auto"/>
        <w:rPr>
          <w:sz w:val="24"/>
          <w:szCs w:val="24"/>
        </w:rPr>
      </w:pPr>
      <w:r>
        <w:rPr>
          <w:sz w:val="24"/>
          <w:szCs w:val="24"/>
        </w:rPr>
        <w:tab/>
        <w:t xml:space="preserve">The basis for the review is that the </w:t>
      </w:r>
      <w:r w:rsidR="001A245F">
        <w:rPr>
          <w:sz w:val="24"/>
          <w:szCs w:val="24"/>
        </w:rPr>
        <w:t>package approved</w:t>
      </w:r>
      <w:r>
        <w:rPr>
          <w:sz w:val="24"/>
          <w:szCs w:val="24"/>
        </w:rPr>
        <w:t xml:space="preserve"> is grossly unreasonable.  A perusal of the grounds for review and the parties’ heads of argument </w:t>
      </w:r>
      <w:proofErr w:type="gramStart"/>
      <w:r>
        <w:rPr>
          <w:sz w:val="24"/>
          <w:szCs w:val="24"/>
        </w:rPr>
        <w:t>reveals</w:t>
      </w:r>
      <w:proofErr w:type="gramEnd"/>
      <w:r>
        <w:rPr>
          <w:sz w:val="24"/>
          <w:szCs w:val="24"/>
        </w:rPr>
        <w:t xml:space="preserve"> two basic issues.  These are;</w:t>
      </w:r>
    </w:p>
    <w:p w:rsidR="00A03752" w:rsidRPr="00A03752" w:rsidRDefault="00A03752" w:rsidP="00A03752">
      <w:pPr>
        <w:pStyle w:val="ListParagraph"/>
        <w:numPr>
          <w:ilvl w:val="0"/>
          <w:numId w:val="2"/>
        </w:numPr>
        <w:spacing w:line="360" w:lineRule="auto"/>
      </w:pPr>
      <w:r w:rsidRPr="00A03752">
        <w:lastRenderedPageBreak/>
        <w:t>Whether the absence of r</w:t>
      </w:r>
      <w:r w:rsidR="001A245F">
        <w:t>easons for the approval by the M</w:t>
      </w:r>
      <w:r w:rsidRPr="00A03752">
        <w:t>inister vitiates the retrenchment determination</w:t>
      </w:r>
    </w:p>
    <w:p w:rsidR="00A03752" w:rsidRPr="00A03752" w:rsidRDefault="00A03752" w:rsidP="00A03752">
      <w:pPr>
        <w:pStyle w:val="ListParagraph"/>
        <w:numPr>
          <w:ilvl w:val="0"/>
          <w:numId w:val="2"/>
        </w:numPr>
        <w:spacing w:line="360" w:lineRule="auto"/>
      </w:pPr>
      <w:r w:rsidRPr="00A03752">
        <w:t xml:space="preserve">Whether the retrenchment determination threatens the viability </w:t>
      </w:r>
      <w:r w:rsidR="001A245F">
        <w:t>or survival</w:t>
      </w:r>
      <w:r w:rsidRPr="00A03752">
        <w:t xml:space="preserve"> of the applicant.</w:t>
      </w:r>
    </w:p>
    <w:p w:rsidR="00A03752" w:rsidRDefault="00A03752" w:rsidP="00A03752">
      <w:pPr>
        <w:pStyle w:val="ListParagraph"/>
        <w:spacing w:after="0" w:line="360" w:lineRule="auto"/>
        <w:ind w:left="1080"/>
        <w:rPr>
          <w:sz w:val="24"/>
          <w:szCs w:val="24"/>
        </w:rPr>
      </w:pPr>
      <w:r>
        <w:rPr>
          <w:sz w:val="24"/>
          <w:szCs w:val="24"/>
        </w:rPr>
        <w:t xml:space="preserve">On the question of </w:t>
      </w:r>
      <w:r w:rsidR="001A245F">
        <w:rPr>
          <w:sz w:val="24"/>
          <w:szCs w:val="24"/>
        </w:rPr>
        <w:t xml:space="preserve">reasons </w:t>
      </w:r>
      <w:r>
        <w:rPr>
          <w:sz w:val="24"/>
          <w:szCs w:val="24"/>
        </w:rPr>
        <w:t>for t</w:t>
      </w:r>
      <w:r w:rsidR="001A245F">
        <w:rPr>
          <w:sz w:val="24"/>
          <w:szCs w:val="24"/>
        </w:rPr>
        <w:t>he retrenchment determination, th</w:t>
      </w:r>
      <w:r>
        <w:rPr>
          <w:sz w:val="24"/>
          <w:szCs w:val="24"/>
        </w:rPr>
        <w:t xml:space="preserve">e applicant </w:t>
      </w:r>
    </w:p>
    <w:p w:rsidR="00A03752" w:rsidRDefault="00A03752" w:rsidP="00A03752">
      <w:pPr>
        <w:spacing w:after="0" w:line="360" w:lineRule="auto"/>
        <w:rPr>
          <w:sz w:val="24"/>
          <w:szCs w:val="24"/>
        </w:rPr>
      </w:pPr>
      <w:proofErr w:type="gramStart"/>
      <w:r w:rsidRPr="00A03752">
        <w:rPr>
          <w:sz w:val="24"/>
          <w:szCs w:val="24"/>
        </w:rPr>
        <w:t>averred</w:t>
      </w:r>
      <w:proofErr w:type="gramEnd"/>
      <w:r w:rsidRPr="00A03752">
        <w:rPr>
          <w:sz w:val="24"/>
          <w:szCs w:val="24"/>
        </w:rPr>
        <w:t xml:space="preserve"> that </w:t>
      </w:r>
      <w:r w:rsidR="00AE3A1A">
        <w:rPr>
          <w:sz w:val="24"/>
          <w:szCs w:val="24"/>
        </w:rPr>
        <w:t>“</w:t>
      </w:r>
      <w:r w:rsidRPr="00A03752">
        <w:rPr>
          <w:sz w:val="24"/>
          <w:szCs w:val="24"/>
        </w:rPr>
        <w:t>a judicial decision that is not explained</w:t>
      </w:r>
      <w:r>
        <w:rPr>
          <w:sz w:val="24"/>
          <w:szCs w:val="24"/>
        </w:rPr>
        <w:t xml:space="preserve"> easily subject</w:t>
      </w:r>
      <w:r w:rsidR="00AE3A1A">
        <w:rPr>
          <w:sz w:val="24"/>
          <w:szCs w:val="24"/>
        </w:rPr>
        <w:t>s</w:t>
      </w:r>
      <w:r>
        <w:rPr>
          <w:sz w:val="24"/>
          <w:szCs w:val="24"/>
        </w:rPr>
        <w:t xml:space="preserve"> </w:t>
      </w:r>
      <w:r w:rsidR="00AE3A1A">
        <w:rPr>
          <w:sz w:val="24"/>
          <w:szCs w:val="24"/>
        </w:rPr>
        <w:t>itself to criticism</w:t>
      </w:r>
      <w:r>
        <w:rPr>
          <w:sz w:val="24"/>
          <w:szCs w:val="24"/>
        </w:rPr>
        <w:t xml:space="preserve"> of being </w:t>
      </w:r>
      <w:r w:rsidR="00AE3A1A">
        <w:rPr>
          <w:sz w:val="24"/>
          <w:szCs w:val="24"/>
        </w:rPr>
        <w:t>arbitrary</w:t>
      </w:r>
      <w:r>
        <w:rPr>
          <w:sz w:val="24"/>
          <w:szCs w:val="24"/>
        </w:rPr>
        <w:t xml:space="preserve"> and or </w:t>
      </w:r>
      <w:proofErr w:type="spellStart"/>
      <w:r>
        <w:rPr>
          <w:sz w:val="24"/>
          <w:szCs w:val="24"/>
        </w:rPr>
        <w:t>capricions</w:t>
      </w:r>
      <w:proofErr w:type="spellEnd"/>
      <w:r>
        <w:rPr>
          <w:sz w:val="24"/>
          <w:szCs w:val="24"/>
        </w:rPr>
        <w:t xml:space="preserve">” </w:t>
      </w:r>
      <w:r w:rsidR="00AE3A1A">
        <w:rPr>
          <w:sz w:val="24"/>
          <w:szCs w:val="24"/>
        </w:rPr>
        <w:t xml:space="preserve"> On this basis, the M</w:t>
      </w:r>
      <w:r>
        <w:rPr>
          <w:sz w:val="24"/>
          <w:szCs w:val="24"/>
        </w:rPr>
        <w:t>inister’s decision should be regard</w:t>
      </w:r>
      <w:r w:rsidR="00AE3A1A">
        <w:rPr>
          <w:sz w:val="24"/>
          <w:szCs w:val="24"/>
        </w:rPr>
        <w:t>ed</w:t>
      </w:r>
      <w:r>
        <w:rPr>
          <w:sz w:val="24"/>
          <w:szCs w:val="24"/>
        </w:rPr>
        <w:t xml:space="preserve"> as “irrational and a gross misdirection in that it lacks reasons.”</w:t>
      </w:r>
    </w:p>
    <w:p w:rsidR="00A03752" w:rsidRDefault="00A03752" w:rsidP="00A03752">
      <w:pPr>
        <w:spacing w:after="0" w:line="360" w:lineRule="auto"/>
        <w:rPr>
          <w:sz w:val="24"/>
          <w:szCs w:val="24"/>
        </w:rPr>
      </w:pPr>
      <w:r>
        <w:rPr>
          <w:sz w:val="24"/>
          <w:szCs w:val="24"/>
        </w:rPr>
        <w:tab/>
        <w:t xml:space="preserve">The applicant went so far as to suggest that the failure to give reasons can in fact vitiate the </w:t>
      </w:r>
      <w:r w:rsidR="00AE3A1A">
        <w:rPr>
          <w:sz w:val="24"/>
          <w:szCs w:val="24"/>
        </w:rPr>
        <w:t>order</w:t>
      </w:r>
      <w:r w:rsidR="003868D7">
        <w:rPr>
          <w:sz w:val="24"/>
          <w:szCs w:val="24"/>
        </w:rPr>
        <w:t xml:space="preserve"> or decision given.  Argued</w:t>
      </w:r>
      <w:r>
        <w:rPr>
          <w:sz w:val="24"/>
          <w:szCs w:val="24"/>
        </w:rPr>
        <w:t xml:space="preserve"> the applicant in paragraph 2.2 of its heads of argument;</w:t>
      </w:r>
    </w:p>
    <w:p w:rsidR="00A03752" w:rsidRDefault="00A03752" w:rsidP="00A03752">
      <w:pPr>
        <w:spacing w:after="0" w:line="240" w:lineRule="auto"/>
        <w:ind w:left="1440"/>
      </w:pPr>
      <w:r>
        <w:t xml:space="preserve">“One could very well argue that the failure to give reasons for judgment is a gross misdirection on the part of the decision maker and one that vitiates the </w:t>
      </w:r>
      <w:proofErr w:type="gramStart"/>
      <w:r>
        <w:t>order  …</w:t>
      </w:r>
      <w:proofErr w:type="gramEnd"/>
      <w:r>
        <w:t xml:space="preserve"> decision given at the </w:t>
      </w:r>
      <w:r w:rsidR="00AE3A1A">
        <w:t xml:space="preserve">end </w:t>
      </w:r>
      <w:r>
        <w:t>of the hearing.”</w:t>
      </w:r>
    </w:p>
    <w:p w:rsidR="00A03752" w:rsidRPr="00A03752" w:rsidRDefault="00A03752" w:rsidP="00A03752">
      <w:pPr>
        <w:spacing w:after="0" w:line="240" w:lineRule="auto"/>
        <w:ind w:left="1440"/>
      </w:pPr>
    </w:p>
    <w:p w:rsidR="003868D7" w:rsidRDefault="00A03752" w:rsidP="003868D7">
      <w:pPr>
        <w:spacing w:line="360" w:lineRule="auto"/>
        <w:rPr>
          <w:sz w:val="24"/>
          <w:szCs w:val="24"/>
        </w:rPr>
      </w:pPr>
      <w:r>
        <w:rPr>
          <w:sz w:val="24"/>
          <w:szCs w:val="24"/>
        </w:rPr>
        <w:tab/>
        <w:t>The applicant</w:t>
      </w:r>
      <w:r w:rsidR="00E87326">
        <w:rPr>
          <w:sz w:val="24"/>
          <w:szCs w:val="24"/>
        </w:rPr>
        <w:t xml:space="preserve"> </w:t>
      </w:r>
      <w:r w:rsidR="00AE3A1A">
        <w:rPr>
          <w:sz w:val="24"/>
          <w:szCs w:val="24"/>
        </w:rPr>
        <w:t>relied</w:t>
      </w:r>
      <w:r w:rsidR="00E87326">
        <w:rPr>
          <w:sz w:val="24"/>
          <w:szCs w:val="24"/>
        </w:rPr>
        <w:t xml:space="preserve"> heavily on the case of </w:t>
      </w:r>
      <w:r w:rsidR="00E87326">
        <w:rPr>
          <w:i/>
          <w:sz w:val="24"/>
          <w:szCs w:val="24"/>
        </w:rPr>
        <w:t>Fox &amp; Car</w:t>
      </w:r>
      <w:r w:rsidR="00AE3A1A">
        <w:rPr>
          <w:i/>
          <w:sz w:val="24"/>
          <w:szCs w:val="24"/>
        </w:rPr>
        <w:t xml:space="preserve">ney </w:t>
      </w:r>
      <w:r w:rsidR="00E87326">
        <w:rPr>
          <w:i/>
          <w:sz w:val="24"/>
          <w:szCs w:val="24"/>
        </w:rPr>
        <w:t xml:space="preserve">P/L </w:t>
      </w:r>
      <w:r w:rsidR="00E87326">
        <w:rPr>
          <w:sz w:val="24"/>
          <w:szCs w:val="24"/>
        </w:rPr>
        <w:t xml:space="preserve">v </w:t>
      </w:r>
      <w:proofErr w:type="spellStart"/>
      <w:r w:rsidR="00E87326">
        <w:rPr>
          <w:i/>
          <w:sz w:val="24"/>
          <w:szCs w:val="24"/>
        </w:rPr>
        <w:t>Sibindi</w:t>
      </w:r>
      <w:proofErr w:type="spellEnd"/>
      <w:r w:rsidR="00E87326">
        <w:rPr>
          <w:i/>
          <w:sz w:val="24"/>
          <w:szCs w:val="24"/>
        </w:rPr>
        <w:t xml:space="preserve"> </w:t>
      </w:r>
      <w:r w:rsidR="00E87326">
        <w:rPr>
          <w:sz w:val="24"/>
          <w:szCs w:val="24"/>
        </w:rPr>
        <w:t>19</w:t>
      </w:r>
      <w:r w:rsidR="009F55AA">
        <w:rPr>
          <w:sz w:val="24"/>
          <w:szCs w:val="24"/>
        </w:rPr>
        <w:t>89</w:t>
      </w:r>
      <w:r w:rsidR="00E87326">
        <w:rPr>
          <w:sz w:val="24"/>
          <w:szCs w:val="24"/>
        </w:rPr>
        <w:t xml:space="preserve"> (2)</w:t>
      </w:r>
      <w:r w:rsidR="00AE3A1A">
        <w:rPr>
          <w:sz w:val="24"/>
          <w:szCs w:val="24"/>
        </w:rPr>
        <w:t xml:space="preserve"> ZLR</w:t>
      </w:r>
      <w:r w:rsidR="00E87326">
        <w:rPr>
          <w:sz w:val="24"/>
          <w:szCs w:val="24"/>
        </w:rPr>
        <w:t xml:space="preserve"> 173 </w:t>
      </w:r>
      <w:proofErr w:type="gramStart"/>
      <w:r w:rsidR="00E87326">
        <w:rPr>
          <w:sz w:val="24"/>
          <w:szCs w:val="24"/>
        </w:rPr>
        <w:t>were</w:t>
      </w:r>
      <w:proofErr w:type="gramEnd"/>
      <w:r w:rsidR="00E87326">
        <w:rPr>
          <w:sz w:val="24"/>
          <w:szCs w:val="24"/>
        </w:rPr>
        <w:t xml:space="preserve"> the </w:t>
      </w:r>
      <w:r w:rsidR="00AE3A1A">
        <w:rPr>
          <w:sz w:val="24"/>
          <w:szCs w:val="24"/>
        </w:rPr>
        <w:t>need</w:t>
      </w:r>
      <w:r w:rsidR="00E87326">
        <w:rPr>
          <w:sz w:val="24"/>
          <w:szCs w:val="24"/>
        </w:rPr>
        <w:t xml:space="preserve"> for a court to give reasons for judgment was emphasised.  The applicant referred to the remarks of </w:t>
      </w:r>
      <w:r w:rsidR="00E87326">
        <w:t>DUMBU</w:t>
      </w:r>
      <w:r w:rsidR="00AE3A1A">
        <w:t>T</w:t>
      </w:r>
      <w:r w:rsidR="00E87326">
        <w:t xml:space="preserve">CHENA CJ, </w:t>
      </w:r>
      <w:r w:rsidR="00E87326">
        <w:rPr>
          <w:sz w:val="24"/>
          <w:szCs w:val="24"/>
        </w:rPr>
        <w:t xml:space="preserve">in paragraph 2.1 </w:t>
      </w:r>
      <w:r w:rsidR="00AE3A1A">
        <w:rPr>
          <w:sz w:val="24"/>
          <w:szCs w:val="24"/>
        </w:rPr>
        <w:t>of its heads</w:t>
      </w:r>
      <w:r w:rsidR="00E87326">
        <w:rPr>
          <w:sz w:val="24"/>
          <w:szCs w:val="24"/>
        </w:rPr>
        <w:t xml:space="preserve"> argument;</w:t>
      </w:r>
    </w:p>
    <w:p w:rsidR="00E87326" w:rsidRPr="003868D7" w:rsidRDefault="00E87326" w:rsidP="003868D7">
      <w:pPr>
        <w:spacing w:line="360" w:lineRule="auto"/>
        <w:ind w:left="1440"/>
        <w:rPr>
          <w:sz w:val="24"/>
          <w:szCs w:val="24"/>
        </w:rPr>
      </w:pPr>
      <w:r>
        <w:t>‘</w:t>
      </w:r>
      <w:proofErr w:type="gramStart"/>
      <w:r>
        <w:t>in</w:t>
      </w:r>
      <w:proofErr w:type="gramEnd"/>
      <w:r>
        <w:t xml:space="preserve"> a contested matter in which issues, facts and law are dispute</w:t>
      </w:r>
      <w:r w:rsidR="00AE3A1A">
        <w:t>d</w:t>
      </w:r>
      <w:r>
        <w:t>, there must be a judicial decision or determination on some question of law or fact in dispute.  The merits and demerits of each party’s case must be stated, so that the parties un</w:t>
      </w:r>
      <w:r w:rsidR="00001A01">
        <w:t>derstand how the disputed issues</w:t>
      </w:r>
      <w:r>
        <w:t xml:space="preserve"> or questions were determined.’</w:t>
      </w:r>
    </w:p>
    <w:p w:rsidR="003868D7" w:rsidRDefault="00E87326" w:rsidP="00E87326">
      <w:pPr>
        <w:spacing w:line="360" w:lineRule="auto"/>
        <w:rPr>
          <w:sz w:val="24"/>
          <w:szCs w:val="24"/>
        </w:rPr>
      </w:pPr>
      <w:r>
        <w:tab/>
      </w:r>
      <w:r w:rsidR="00AE3A1A">
        <w:rPr>
          <w:sz w:val="24"/>
          <w:szCs w:val="24"/>
        </w:rPr>
        <w:t>The M</w:t>
      </w:r>
      <w:r>
        <w:rPr>
          <w:sz w:val="24"/>
          <w:szCs w:val="24"/>
        </w:rPr>
        <w:t xml:space="preserve">inister’s powers, in </w:t>
      </w:r>
      <w:r w:rsidR="00001A01">
        <w:rPr>
          <w:sz w:val="24"/>
          <w:szCs w:val="24"/>
        </w:rPr>
        <w:t xml:space="preserve">relation </w:t>
      </w:r>
      <w:r>
        <w:rPr>
          <w:sz w:val="24"/>
          <w:szCs w:val="24"/>
        </w:rPr>
        <w:t xml:space="preserve">to retrenchment packages, are </w:t>
      </w:r>
      <w:r w:rsidR="00AE3A1A">
        <w:rPr>
          <w:sz w:val="24"/>
          <w:szCs w:val="24"/>
        </w:rPr>
        <w:t>circumscribed in section 12 C (9</w:t>
      </w:r>
      <w:r>
        <w:rPr>
          <w:sz w:val="24"/>
          <w:szCs w:val="24"/>
        </w:rPr>
        <w:t>) of the Labour Act [Chapter 28:01] (the Act).   This section provides as follows:</w:t>
      </w:r>
    </w:p>
    <w:p w:rsidR="009772B1" w:rsidRDefault="009772B1" w:rsidP="009772B1">
      <w:pPr>
        <w:spacing w:after="0" w:line="240" w:lineRule="auto"/>
      </w:pPr>
      <w:r>
        <w:tab/>
      </w:r>
      <w:r w:rsidR="00DD3E30">
        <w:t>“</w:t>
      </w:r>
      <w:r>
        <w:t>(9)</w:t>
      </w:r>
      <w:r>
        <w:tab/>
        <w:t>The Minister shall consider without delay any recommendation submitted to him by the Retrenchment Board and, having regard to the factors referred to in subsection (11), shall-</w:t>
      </w:r>
    </w:p>
    <w:p w:rsidR="009772B1" w:rsidRDefault="009772B1" w:rsidP="009772B1">
      <w:pPr>
        <w:spacing w:after="0" w:line="240" w:lineRule="auto"/>
        <w:ind w:left="2160" w:hanging="720"/>
      </w:pPr>
      <w:r>
        <w:t>(a)</w:t>
      </w:r>
      <w:r>
        <w:tab/>
      </w:r>
      <w:proofErr w:type="gramStart"/>
      <w:r>
        <w:t>approve</w:t>
      </w:r>
      <w:proofErr w:type="gramEnd"/>
      <w:r>
        <w:t xml:space="preserve"> the proposed retrenchment, subject to such terms and conditions as he may consider necessary or desirable to impose; or</w:t>
      </w:r>
    </w:p>
    <w:p w:rsidR="009772B1" w:rsidRDefault="009772B1" w:rsidP="009772B1">
      <w:pPr>
        <w:spacing w:after="0" w:line="240" w:lineRule="auto"/>
      </w:pPr>
      <w:r>
        <w:tab/>
      </w:r>
      <w:r>
        <w:tab/>
        <w:t>(b)</w:t>
      </w:r>
      <w:r>
        <w:tab/>
      </w:r>
      <w:proofErr w:type="gramStart"/>
      <w:r>
        <w:t>refuse</w:t>
      </w:r>
      <w:proofErr w:type="gramEnd"/>
      <w:r>
        <w:t xml:space="preserve"> to approve the proposed retrenchment;</w:t>
      </w:r>
    </w:p>
    <w:p w:rsidR="009772B1" w:rsidRPr="009772B1" w:rsidRDefault="009772B1" w:rsidP="009772B1">
      <w:pPr>
        <w:spacing w:after="0" w:line="240" w:lineRule="auto"/>
      </w:pPr>
      <w:proofErr w:type="gramStart"/>
      <w:r>
        <w:t>and</w:t>
      </w:r>
      <w:proofErr w:type="gramEnd"/>
      <w:r>
        <w:t xml:space="preserve"> shall cause the Retrenchment Board, the works council or employment council, as the case may be, to notify the employer and employees concerned in writing of the decision in the matter.</w:t>
      </w:r>
      <w:r w:rsidR="00DD3E30">
        <w:t>”</w:t>
      </w:r>
    </w:p>
    <w:p w:rsidR="00616CEE" w:rsidRPr="00616CEE" w:rsidRDefault="00616CEE" w:rsidP="00616CEE">
      <w:pPr>
        <w:spacing w:after="0" w:line="240" w:lineRule="auto"/>
        <w:ind w:left="2880" w:hanging="720"/>
      </w:pPr>
    </w:p>
    <w:p w:rsidR="00E87326" w:rsidRDefault="00E87326" w:rsidP="00E87326">
      <w:pPr>
        <w:spacing w:line="360" w:lineRule="auto"/>
        <w:rPr>
          <w:sz w:val="24"/>
          <w:szCs w:val="24"/>
        </w:rPr>
      </w:pPr>
      <w:r>
        <w:rPr>
          <w:sz w:val="24"/>
          <w:szCs w:val="24"/>
        </w:rPr>
        <w:tab/>
        <w:t>It is clea</w:t>
      </w:r>
      <w:r w:rsidR="00AE3A1A">
        <w:rPr>
          <w:sz w:val="24"/>
          <w:szCs w:val="24"/>
        </w:rPr>
        <w:t>r from this provision that the M</w:t>
      </w:r>
      <w:r>
        <w:rPr>
          <w:sz w:val="24"/>
          <w:szCs w:val="24"/>
        </w:rPr>
        <w:t xml:space="preserve">inister acts on the recommendations of the Retrenchment Board.  It is the Retrenchment Board that conducts an inquiry into the </w:t>
      </w:r>
      <w:r>
        <w:rPr>
          <w:sz w:val="24"/>
          <w:szCs w:val="24"/>
        </w:rPr>
        <w:lastRenderedPageBreak/>
        <w:t>matter, and hears submissions from the parties concerned.  After</w:t>
      </w:r>
      <w:r w:rsidR="007A760F">
        <w:rPr>
          <w:sz w:val="24"/>
          <w:szCs w:val="24"/>
        </w:rPr>
        <w:t xml:space="preserve"> its assessment of the submissions from the parties, the Retrenchment Board makes recomme</w:t>
      </w:r>
      <w:r w:rsidR="00AE3A1A">
        <w:rPr>
          <w:sz w:val="24"/>
          <w:szCs w:val="24"/>
        </w:rPr>
        <w:t>ndations to the Minister.  The M</w:t>
      </w:r>
      <w:r w:rsidR="007A760F">
        <w:rPr>
          <w:sz w:val="24"/>
          <w:szCs w:val="24"/>
        </w:rPr>
        <w:t>inister then exercises the powers conferred on him/her by section 9 (</w:t>
      </w:r>
      <w:r w:rsidR="007A760F">
        <w:rPr>
          <w:i/>
          <w:sz w:val="24"/>
          <w:szCs w:val="24"/>
        </w:rPr>
        <w:t>supra)</w:t>
      </w:r>
      <w:r w:rsidR="007A760F">
        <w:rPr>
          <w:sz w:val="24"/>
          <w:szCs w:val="24"/>
        </w:rPr>
        <w:t>.  There is no provision in the Act</w:t>
      </w:r>
      <w:r w:rsidR="00AE3A1A">
        <w:rPr>
          <w:sz w:val="24"/>
          <w:szCs w:val="24"/>
        </w:rPr>
        <w:t>, placing an obligation on the M</w:t>
      </w:r>
      <w:r w:rsidR="007A760F">
        <w:rPr>
          <w:sz w:val="24"/>
          <w:szCs w:val="24"/>
        </w:rPr>
        <w:t xml:space="preserve">inister to give </w:t>
      </w:r>
      <w:r w:rsidR="00001A01">
        <w:rPr>
          <w:sz w:val="24"/>
          <w:szCs w:val="24"/>
        </w:rPr>
        <w:t xml:space="preserve">reasons </w:t>
      </w:r>
      <w:r w:rsidR="007A760F">
        <w:rPr>
          <w:sz w:val="24"/>
          <w:szCs w:val="24"/>
        </w:rPr>
        <w:t>for the approval, the same way a court of law is required to give reasons for judgment.  The Act only outlines</w:t>
      </w:r>
      <w:r w:rsidR="00001A01">
        <w:rPr>
          <w:sz w:val="24"/>
          <w:szCs w:val="24"/>
        </w:rPr>
        <w:t xml:space="preserve"> the factors the M</w:t>
      </w:r>
      <w:r w:rsidR="007A760F">
        <w:rPr>
          <w:sz w:val="24"/>
          <w:szCs w:val="24"/>
        </w:rPr>
        <w:t xml:space="preserve">inister should consider, when </w:t>
      </w:r>
      <w:r w:rsidR="00001A01">
        <w:rPr>
          <w:sz w:val="24"/>
          <w:szCs w:val="24"/>
        </w:rPr>
        <w:t>deciding whether</w:t>
      </w:r>
      <w:r w:rsidR="007A760F">
        <w:rPr>
          <w:sz w:val="24"/>
          <w:szCs w:val="24"/>
        </w:rPr>
        <w:t xml:space="preserve"> to approve or reject a retrenchment package recommended</w:t>
      </w:r>
      <w:r w:rsidR="009F55AA">
        <w:rPr>
          <w:sz w:val="24"/>
          <w:szCs w:val="24"/>
        </w:rPr>
        <w:t xml:space="preserve"> by the Retrenchment Board.  The</w:t>
      </w:r>
      <w:r w:rsidR="007A760F">
        <w:rPr>
          <w:sz w:val="24"/>
          <w:szCs w:val="24"/>
        </w:rPr>
        <w:t xml:space="preserve">se are set out in section 12 C (11) </w:t>
      </w:r>
      <w:r w:rsidR="00001A01">
        <w:rPr>
          <w:sz w:val="24"/>
          <w:szCs w:val="24"/>
        </w:rPr>
        <w:t xml:space="preserve">of the </w:t>
      </w:r>
      <w:r w:rsidR="007A760F">
        <w:rPr>
          <w:sz w:val="24"/>
          <w:szCs w:val="24"/>
        </w:rPr>
        <w:t>Act, which reads:</w:t>
      </w:r>
    </w:p>
    <w:p w:rsidR="008370DA" w:rsidRDefault="00DD3E30" w:rsidP="008370DA">
      <w:pPr>
        <w:spacing w:after="0" w:line="240" w:lineRule="auto"/>
        <w:ind w:firstLine="720"/>
      </w:pPr>
      <w:r>
        <w:t>“</w:t>
      </w:r>
      <w:r w:rsidR="008370DA">
        <w:t>(11)</w:t>
      </w:r>
      <w:r w:rsidR="008370DA">
        <w:tab/>
        <w:t>In deciding whether or not to approve the retrenchment of employees in terms of this section, due regard shall be paid-</w:t>
      </w:r>
    </w:p>
    <w:p w:rsidR="008370DA" w:rsidRDefault="008370DA" w:rsidP="008370DA">
      <w:pPr>
        <w:spacing w:after="0" w:line="240" w:lineRule="auto"/>
        <w:ind w:firstLine="720"/>
      </w:pPr>
      <w:r>
        <w:t>(a)</w:t>
      </w:r>
      <w:r>
        <w:tab/>
      </w:r>
      <w:proofErr w:type="gramStart"/>
      <w:r>
        <w:t>to</w:t>
      </w:r>
      <w:proofErr w:type="gramEnd"/>
      <w:r>
        <w:t xml:space="preserve"> the following general considerations-</w:t>
      </w:r>
    </w:p>
    <w:p w:rsidR="008370DA" w:rsidRDefault="008370DA" w:rsidP="008370DA">
      <w:pPr>
        <w:spacing w:after="0" w:line="240" w:lineRule="auto"/>
        <w:ind w:left="2880" w:hanging="720"/>
      </w:pPr>
      <w:r>
        <w:t>(i)</w:t>
      </w:r>
      <w:r>
        <w:tab/>
        <w:t xml:space="preserve">that the retrenchment of employees should be avoided so far as possible, where this can be done without prejudicing the efficient </w:t>
      </w:r>
      <w:r w:rsidR="00DD3E30">
        <w:t xml:space="preserve"> operation </w:t>
      </w:r>
      <w:r>
        <w:t>of the undertaking in which the employees concerned are employed;</w:t>
      </w:r>
    </w:p>
    <w:p w:rsidR="008370DA" w:rsidRDefault="008370DA" w:rsidP="008370DA">
      <w:pPr>
        <w:spacing w:after="0" w:line="240" w:lineRule="auto"/>
        <w:ind w:left="2880" w:hanging="720"/>
      </w:pPr>
      <w:r>
        <w:t>(ii)</w:t>
      </w:r>
      <w:r>
        <w:tab/>
      </w:r>
      <w:proofErr w:type="gramStart"/>
      <w:r>
        <w:t>that</w:t>
      </w:r>
      <w:proofErr w:type="gramEnd"/>
      <w:r>
        <w:t xml:space="preserve"> the consequences of retrenchment to employees should be mitigated so far as possible;</w:t>
      </w:r>
    </w:p>
    <w:p w:rsidR="008370DA" w:rsidRDefault="008370DA" w:rsidP="008370DA">
      <w:pPr>
        <w:spacing w:after="0" w:line="240" w:lineRule="auto"/>
      </w:pPr>
      <w:r>
        <w:tab/>
        <w:t>(b)</w:t>
      </w:r>
      <w:r>
        <w:tab/>
      </w:r>
      <w:proofErr w:type="gramStart"/>
      <w:r>
        <w:t>to</w:t>
      </w:r>
      <w:proofErr w:type="gramEnd"/>
      <w:r>
        <w:t xml:space="preserve"> the following consideration in particular cases-</w:t>
      </w:r>
    </w:p>
    <w:p w:rsidR="008370DA" w:rsidRDefault="008370DA" w:rsidP="008370DA">
      <w:pPr>
        <w:spacing w:after="0" w:line="240" w:lineRule="auto"/>
      </w:pPr>
      <w:r>
        <w:tab/>
      </w:r>
      <w:r>
        <w:tab/>
      </w:r>
      <w:r>
        <w:tab/>
        <w:t>(i)</w:t>
      </w:r>
      <w:r>
        <w:tab/>
      </w:r>
      <w:proofErr w:type="gramStart"/>
      <w:r>
        <w:t>t</w:t>
      </w:r>
      <w:r w:rsidR="00DD3E30">
        <w:t>he</w:t>
      </w:r>
      <w:proofErr w:type="gramEnd"/>
      <w:r w:rsidR="00DD3E30">
        <w:t xml:space="preserve"> reasons put forward for the </w:t>
      </w:r>
      <w:r>
        <w:t>propose</w:t>
      </w:r>
      <w:r w:rsidR="00DD3E30">
        <w:t>d</w:t>
      </w:r>
      <w:r>
        <w:t xml:space="preserve"> retrenchment; and</w:t>
      </w:r>
    </w:p>
    <w:p w:rsidR="008370DA" w:rsidRDefault="008370DA" w:rsidP="008370DA">
      <w:pPr>
        <w:spacing w:after="0" w:line="240" w:lineRule="auto"/>
        <w:ind w:left="2880" w:hanging="720"/>
      </w:pPr>
      <w:r>
        <w:t>(ii)</w:t>
      </w:r>
      <w:r>
        <w:tab/>
      </w:r>
      <w:proofErr w:type="gramStart"/>
      <w:r>
        <w:t>the</w:t>
      </w:r>
      <w:proofErr w:type="gramEnd"/>
      <w:r>
        <w:t xml:space="preserve"> effect of the proposed retrenchment upon the employees involved, including their prospects of finding alternative employment and the terminal benefits to which they will become entitled.</w:t>
      </w:r>
      <w:r w:rsidR="00DD3E30">
        <w:t>”</w:t>
      </w:r>
    </w:p>
    <w:p w:rsidR="008370DA" w:rsidRPr="008370DA" w:rsidRDefault="008370DA" w:rsidP="008370DA">
      <w:pPr>
        <w:spacing w:after="0" w:line="240" w:lineRule="auto"/>
        <w:ind w:left="2880" w:hanging="720"/>
      </w:pPr>
    </w:p>
    <w:p w:rsidR="007A760F" w:rsidRDefault="009F55AA" w:rsidP="00E87326">
      <w:pPr>
        <w:spacing w:line="360" w:lineRule="auto"/>
        <w:rPr>
          <w:sz w:val="24"/>
          <w:szCs w:val="24"/>
        </w:rPr>
      </w:pPr>
      <w:r>
        <w:rPr>
          <w:sz w:val="24"/>
          <w:szCs w:val="24"/>
        </w:rPr>
        <w:tab/>
        <w:t>The M</w:t>
      </w:r>
      <w:r w:rsidR="007A760F">
        <w:rPr>
          <w:sz w:val="24"/>
          <w:szCs w:val="24"/>
        </w:rPr>
        <w:t xml:space="preserve">inister conducts no hearing.  </w:t>
      </w:r>
      <w:r w:rsidR="00001A01">
        <w:rPr>
          <w:sz w:val="24"/>
          <w:szCs w:val="24"/>
        </w:rPr>
        <w:t>She assesses</w:t>
      </w:r>
      <w:r w:rsidR="007A760F">
        <w:rPr>
          <w:sz w:val="24"/>
          <w:szCs w:val="24"/>
        </w:rPr>
        <w:t xml:space="preserve"> no evidence or </w:t>
      </w:r>
      <w:r w:rsidR="00001A01">
        <w:rPr>
          <w:sz w:val="24"/>
          <w:szCs w:val="24"/>
        </w:rPr>
        <w:t>credibility</w:t>
      </w:r>
      <w:r w:rsidR="007A760F">
        <w:rPr>
          <w:sz w:val="24"/>
          <w:szCs w:val="24"/>
        </w:rPr>
        <w:t xml:space="preserve"> of witnesses, from which she is then expected to produce a judgment, </w:t>
      </w:r>
      <w:r w:rsidR="00001A01">
        <w:rPr>
          <w:sz w:val="24"/>
          <w:szCs w:val="24"/>
        </w:rPr>
        <w:t>like a court of law does.  The M</w:t>
      </w:r>
      <w:r w:rsidR="007A760F">
        <w:rPr>
          <w:sz w:val="24"/>
          <w:szCs w:val="24"/>
        </w:rPr>
        <w:t>inister’s decision is based on the papers subm</w:t>
      </w:r>
      <w:r w:rsidR="00001A01">
        <w:rPr>
          <w:sz w:val="24"/>
          <w:szCs w:val="24"/>
        </w:rPr>
        <w:t>itted by the Retrenchment Board.</w:t>
      </w:r>
      <w:r w:rsidR="007A760F">
        <w:rPr>
          <w:sz w:val="24"/>
          <w:szCs w:val="24"/>
        </w:rPr>
        <w:t xml:space="preserve"> </w:t>
      </w:r>
      <w:r w:rsidR="00001A01">
        <w:rPr>
          <w:sz w:val="24"/>
          <w:szCs w:val="24"/>
        </w:rPr>
        <w:t xml:space="preserve"> </w:t>
      </w:r>
      <w:r w:rsidR="007A760F">
        <w:rPr>
          <w:sz w:val="24"/>
          <w:szCs w:val="24"/>
        </w:rPr>
        <w:t xml:space="preserve">In this regard, the </w:t>
      </w:r>
      <w:proofErr w:type="spellStart"/>
      <w:r w:rsidR="002B7BE5">
        <w:rPr>
          <w:sz w:val="24"/>
          <w:szCs w:val="24"/>
        </w:rPr>
        <w:t>retrenche</w:t>
      </w:r>
      <w:r w:rsidR="00001A01">
        <w:rPr>
          <w:sz w:val="24"/>
          <w:szCs w:val="24"/>
        </w:rPr>
        <w:t>e</w:t>
      </w:r>
      <w:r w:rsidR="002B7BE5">
        <w:rPr>
          <w:sz w:val="24"/>
          <w:szCs w:val="24"/>
        </w:rPr>
        <w:t>s</w:t>
      </w:r>
      <w:proofErr w:type="spellEnd"/>
      <w:r w:rsidR="007A760F">
        <w:rPr>
          <w:sz w:val="24"/>
          <w:szCs w:val="24"/>
        </w:rPr>
        <w:t>, in paragraph 10 of their heads of argument, submitted</w:t>
      </w:r>
      <w:r w:rsidR="00001A01">
        <w:rPr>
          <w:sz w:val="24"/>
          <w:szCs w:val="24"/>
        </w:rPr>
        <w:t>;</w:t>
      </w:r>
      <w:r w:rsidR="007A760F">
        <w:rPr>
          <w:sz w:val="24"/>
          <w:szCs w:val="24"/>
        </w:rPr>
        <w:t xml:space="preserve"> </w:t>
      </w:r>
    </w:p>
    <w:p w:rsidR="007A760F" w:rsidRDefault="00306E08" w:rsidP="007A760F">
      <w:pPr>
        <w:spacing w:line="240" w:lineRule="auto"/>
        <w:ind w:left="1440"/>
      </w:pPr>
      <w:r>
        <w:t xml:space="preserve">“A perusal </w:t>
      </w:r>
      <w:r w:rsidR="007A760F">
        <w:t>of the said p</w:t>
      </w:r>
      <w:r w:rsidR="00001A01">
        <w:t>rovisions will reveal that the M</w:t>
      </w:r>
      <w:r w:rsidR="007A760F">
        <w:t>inister is not there to write a judgment or a decision per ser.  His or her duty is either to refuse or approve with conditions to his or her own consideration proper.  The section does not go on and</w:t>
      </w:r>
      <w:r w:rsidR="00001A01">
        <w:t xml:space="preserve"> expressly outline that the M</w:t>
      </w:r>
      <w:r w:rsidR="007A760F">
        <w:t>inister is to give his/her reason in making a choice to approve or refuse.”</w:t>
      </w:r>
    </w:p>
    <w:p w:rsidR="00773C45" w:rsidRDefault="00773C45" w:rsidP="00773C45">
      <w:pPr>
        <w:spacing w:line="360" w:lineRule="auto"/>
        <w:rPr>
          <w:sz w:val="24"/>
          <w:szCs w:val="24"/>
        </w:rPr>
      </w:pPr>
      <w:r>
        <w:tab/>
      </w:r>
      <w:r w:rsidRPr="00773C45">
        <w:rPr>
          <w:sz w:val="24"/>
          <w:szCs w:val="24"/>
        </w:rPr>
        <w:t>Heads of argument</w:t>
      </w:r>
      <w:r>
        <w:rPr>
          <w:sz w:val="24"/>
          <w:szCs w:val="24"/>
        </w:rPr>
        <w:t xml:space="preserve"> submitted on behalf of the 1</w:t>
      </w:r>
      <w:r w:rsidRPr="00773C45">
        <w:rPr>
          <w:sz w:val="24"/>
          <w:szCs w:val="24"/>
          <w:vertAlign w:val="superscript"/>
        </w:rPr>
        <w:t>st</w:t>
      </w:r>
      <w:r>
        <w:rPr>
          <w:sz w:val="24"/>
          <w:szCs w:val="24"/>
        </w:rPr>
        <w:t xml:space="preserve"> respondent,</w:t>
      </w:r>
      <w:r w:rsidR="009F55AA">
        <w:rPr>
          <w:sz w:val="24"/>
          <w:szCs w:val="24"/>
        </w:rPr>
        <w:t xml:space="preserve"> the M</w:t>
      </w:r>
      <w:r w:rsidR="00001A01">
        <w:rPr>
          <w:sz w:val="24"/>
          <w:szCs w:val="24"/>
        </w:rPr>
        <w:t>inister, reflect the same reasoning</w:t>
      </w:r>
      <w:r w:rsidR="009F55AA">
        <w:rPr>
          <w:sz w:val="24"/>
          <w:szCs w:val="24"/>
        </w:rPr>
        <w:t>.  P</w:t>
      </w:r>
      <w:r>
        <w:rPr>
          <w:sz w:val="24"/>
          <w:szCs w:val="24"/>
        </w:rPr>
        <w:t>aragraphs 5 and 6 of 1</w:t>
      </w:r>
      <w:r w:rsidRPr="00773C45">
        <w:rPr>
          <w:sz w:val="24"/>
          <w:szCs w:val="24"/>
          <w:vertAlign w:val="superscript"/>
        </w:rPr>
        <w:t>st</w:t>
      </w:r>
      <w:r>
        <w:rPr>
          <w:sz w:val="24"/>
          <w:szCs w:val="24"/>
        </w:rPr>
        <w:t xml:space="preserve"> respondent’s heads of argument read;</w:t>
      </w:r>
    </w:p>
    <w:p w:rsidR="002B7BE5" w:rsidRDefault="002B7BE5" w:rsidP="002B7BE5">
      <w:pPr>
        <w:spacing w:line="240" w:lineRule="auto"/>
        <w:ind w:left="1440" w:hanging="720"/>
      </w:pPr>
      <w:r>
        <w:rPr>
          <w:sz w:val="24"/>
          <w:szCs w:val="24"/>
        </w:rPr>
        <w:t>5.</w:t>
      </w:r>
      <w:r>
        <w:rPr>
          <w:sz w:val="24"/>
          <w:szCs w:val="24"/>
        </w:rPr>
        <w:tab/>
      </w:r>
      <w:r w:rsidR="00001A01">
        <w:rPr>
          <w:sz w:val="24"/>
          <w:szCs w:val="24"/>
        </w:rPr>
        <w:t>“</w:t>
      </w:r>
      <w:r w:rsidRPr="002B7BE5">
        <w:t>In terms of Section 12 C of the Labour Act, the Retrenchment Board makes recommendations to the Minister on whether the retrenchment should be permitted and if so, the terms and conditions to be imposed.  In formulating the recommendations</w:t>
      </w:r>
      <w:r>
        <w:t xml:space="preserve"> interested parties</w:t>
      </w:r>
      <w:r w:rsidR="00001A01">
        <w:t xml:space="preserve"> (sic)</w:t>
      </w:r>
      <w:r>
        <w:t xml:space="preserve">.  Thus it is the Retrenchment Board that </w:t>
      </w:r>
      <w:r>
        <w:lastRenderedPageBreak/>
        <w:t>looks into the pros and cons of the retrenchment and then makes the recommendations.</w:t>
      </w:r>
    </w:p>
    <w:p w:rsidR="002B7BE5" w:rsidRPr="002B7BE5" w:rsidRDefault="002B7BE5" w:rsidP="002B7BE5">
      <w:pPr>
        <w:spacing w:line="240" w:lineRule="auto"/>
        <w:ind w:left="1440" w:hanging="720"/>
      </w:pPr>
      <w:r>
        <w:t>6.</w:t>
      </w:r>
      <w:r>
        <w:tab/>
        <w:t>In te</w:t>
      </w:r>
      <w:r w:rsidR="00001A01">
        <w:t>rms of Section 12 C (9) of the L</w:t>
      </w:r>
      <w:r>
        <w:t>abour Act all the 1</w:t>
      </w:r>
      <w:r w:rsidRPr="002B7BE5">
        <w:rPr>
          <w:vertAlign w:val="superscript"/>
        </w:rPr>
        <w:t>st</w:t>
      </w:r>
      <w:r>
        <w:t xml:space="preserve"> respondent has to do is to look at the recommendations in light of Section 12 C (11) o</w:t>
      </w:r>
      <w:r w:rsidR="00001A01">
        <w:t>f the Act and approve or refuse</w:t>
      </w:r>
      <w:r>
        <w:t xml:space="preserve"> the proposed retrenchment.  Thereafter, 1</w:t>
      </w:r>
      <w:r w:rsidRPr="002B7BE5">
        <w:rPr>
          <w:vertAlign w:val="superscript"/>
        </w:rPr>
        <w:t>st</w:t>
      </w:r>
      <w:r>
        <w:t xml:space="preserve"> respondent has to cause the Retrenchment Board to notify the employer and employees of his decision.</w:t>
      </w:r>
      <w:r w:rsidR="00001A01">
        <w:t>”</w:t>
      </w:r>
    </w:p>
    <w:p w:rsidR="00001A01" w:rsidRDefault="002B7BE5" w:rsidP="00773C45">
      <w:pPr>
        <w:spacing w:line="360" w:lineRule="auto"/>
        <w:rPr>
          <w:sz w:val="24"/>
          <w:szCs w:val="24"/>
        </w:rPr>
      </w:pPr>
      <w:r>
        <w:rPr>
          <w:sz w:val="24"/>
          <w:szCs w:val="24"/>
        </w:rPr>
        <w:tab/>
        <w:t xml:space="preserve">In my view, these submissions reflect a correct position of the law, as set out in section 12 C of the Act.  The propriety </w:t>
      </w:r>
      <w:r w:rsidR="00001A01">
        <w:rPr>
          <w:sz w:val="24"/>
          <w:szCs w:val="24"/>
        </w:rPr>
        <w:t xml:space="preserve">or </w:t>
      </w:r>
      <w:r>
        <w:rPr>
          <w:sz w:val="24"/>
          <w:szCs w:val="24"/>
        </w:rPr>
        <w:t xml:space="preserve">otherwise of the </w:t>
      </w:r>
      <w:r w:rsidR="00001A01">
        <w:rPr>
          <w:sz w:val="24"/>
          <w:szCs w:val="24"/>
        </w:rPr>
        <w:t>Ministerial</w:t>
      </w:r>
      <w:r>
        <w:rPr>
          <w:sz w:val="24"/>
          <w:szCs w:val="24"/>
        </w:rPr>
        <w:t xml:space="preserve"> </w:t>
      </w:r>
      <w:r w:rsidR="00942512">
        <w:rPr>
          <w:sz w:val="24"/>
          <w:szCs w:val="24"/>
        </w:rPr>
        <w:t>d</w:t>
      </w:r>
      <w:r>
        <w:rPr>
          <w:sz w:val="24"/>
          <w:szCs w:val="24"/>
        </w:rPr>
        <w:t xml:space="preserve">ecision cannot be based solely on the question of whether or not </w:t>
      </w:r>
      <w:r w:rsidR="00001A01">
        <w:rPr>
          <w:sz w:val="24"/>
          <w:szCs w:val="24"/>
        </w:rPr>
        <w:t xml:space="preserve">reasons were given for </w:t>
      </w:r>
      <w:r w:rsidR="00942512">
        <w:rPr>
          <w:sz w:val="24"/>
          <w:szCs w:val="24"/>
        </w:rPr>
        <w:t>t</w:t>
      </w:r>
      <w:r>
        <w:rPr>
          <w:sz w:val="24"/>
          <w:szCs w:val="24"/>
        </w:rPr>
        <w:t>he decision</w:t>
      </w:r>
      <w:r w:rsidR="00942512">
        <w:rPr>
          <w:sz w:val="24"/>
          <w:szCs w:val="24"/>
        </w:rPr>
        <w:t xml:space="preserve">.  </w:t>
      </w:r>
    </w:p>
    <w:p w:rsidR="00942512" w:rsidRDefault="00942512" w:rsidP="00773C45">
      <w:pPr>
        <w:spacing w:line="360" w:lineRule="auto"/>
        <w:rPr>
          <w:sz w:val="24"/>
          <w:szCs w:val="24"/>
        </w:rPr>
      </w:pPr>
      <w:r>
        <w:rPr>
          <w:sz w:val="24"/>
          <w:szCs w:val="24"/>
        </w:rPr>
        <w:tab/>
        <w:t xml:space="preserve">The </w:t>
      </w:r>
      <w:r w:rsidR="00001A01">
        <w:rPr>
          <w:sz w:val="24"/>
          <w:szCs w:val="24"/>
        </w:rPr>
        <w:t>applicant’s</w:t>
      </w:r>
      <w:r>
        <w:rPr>
          <w:sz w:val="24"/>
          <w:szCs w:val="24"/>
        </w:rPr>
        <w:t xml:space="preserve"> </w:t>
      </w:r>
      <w:r w:rsidR="00001A01">
        <w:rPr>
          <w:sz w:val="24"/>
          <w:szCs w:val="24"/>
        </w:rPr>
        <w:t>contention that the Minister</w:t>
      </w:r>
      <w:r w:rsidR="009F55AA">
        <w:rPr>
          <w:sz w:val="24"/>
          <w:szCs w:val="24"/>
        </w:rPr>
        <w:t>’s</w:t>
      </w:r>
      <w:r w:rsidR="00001A01">
        <w:rPr>
          <w:sz w:val="24"/>
          <w:szCs w:val="24"/>
        </w:rPr>
        <w:t xml:space="preserve"> d</w:t>
      </w:r>
      <w:r>
        <w:rPr>
          <w:sz w:val="24"/>
          <w:szCs w:val="24"/>
        </w:rPr>
        <w:t xml:space="preserve">ecision should be </w:t>
      </w:r>
      <w:r w:rsidR="00001A01">
        <w:rPr>
          <w:sz w:val="24"/>
          <w:szCs w:val="24"/>
        </w:rPr>
        <w:t>vitiated</w:t>
      </w:r>
      <w:r>
        <w:rPr>
          <w:sz w:val="24"/>
          <w:szCs w:val="24"/>
        </w:rPr>
        <w:t xml:space="preserve"> as it is not </w:t>
      </w:r>
      <w:r w:rsidR="00CF76C9">
        <w:rPr>
          <w:sz w:val="24"/>
          <w:szCs w:val="24"/>
        </w:rPr>
        <w:t xml:space="preserve">accompanied </w:t>
      </w:r>
      <w:r>
        <w:rPr>
          <w:sz w:val="24"/>
          <w:szCs w:val="24"/>
        </w:rPr>
        <w:t xml:space="preserve">by reasons, cannot, in the </w:t>
      </w:r>
      <w:r w:rsidR="00CF76C9">
        <w:rPr>
          <w:sz w:val="24"/>
          <w:szCs w:val="24"/>
        </w:rPr>
        <w:t>light of the provisions looked at,</w:t>
      </w:r>
      <w:r>
        <w:rPr>
          <w:sz w:val="24"/>
          <w:szCs w:val="24"/>
        </w:rPr>
        <w:t xml:space="preserve"> be upheld.</w:t>
      </w:r>
    </w:p>
    <w:p w:rsidR="00942512" w:rsidRDefault="00942512" w:rsidP="00773C45">
      <w:pPr>
        <w:spacing w:line="360" w:lineRule="auto"/>
        <w:rPr>
          <w:sz w:val="24"/>
          <w:szCs w:val="24"/>
        </w:rPr>
      </w:pPr>
      <w:r>
        <w:rPr>
          <w:sz w:val="24"/>
          <w:szCs w:val="24"/>
        </w:rPr>
        <w:tab/>
        <w:t xml:space="preserve">The </w:t>
      </w:r>
      <w:r w:rsidR="00CF76C9">
        <w:rPr>
          <w:sz w:val="24"/>
          <w:szCs w:val="24"/>
        </w:rPr>
        <w:t>second i</w:t>
      </w:r>
      <w:r>
        <w:rPr>
          <w:sz w:val="24"/>
          <w:szCs w:val="24"/>
        </w:rPr>
        <w:t>ssue has to do with the viability of the app</w:t>
      </w:r>
      <w:r w:rsidR="00CF76C9">
        <w:rPr>
          <w:sz w:val="24"/>
          <w:szCs w:val="24"/>
        </w:rPr>
        <w:t>licant</w:t>
      </w:r>
      <w:r>
        <w:rPr>
          <w:sz w:val="24"/>
          <w:szCs w:val="24"/>
        </w:rPr>
        <w:t xml:space="preserve"> as a business </w:t>
      </w:r>
      <w:r w:rsidR="00CF76C9">
        <w:rPr>
          <w:sz w:val="24"/>
          <w:szCs w:val="24"/>
        </w:rPr>
        <w:t>enterprise.  The applicant,</w:t>
      </w:r>
      <w:r>
        <w:rPr>
          <w:sz w:val="24"/>
          <w:szCs w:val="24"/>
        </w:rPr>
        <w:t xml:space="preserve"> basically, contends that the </w:t>
      </w:r>
      <w:r w:rsidR="00CF76C9">
        <w:rPr>
          <w:sz w:val="24"/>
          <w:szCs w:val="24"/>
        </w:rPr>
        <w:t>Minister’s</w:t>
      </w:r>
      <w:r>
        <w:rPr>
          <w:sz w:val="24"/>
          <w:szCs w:val="24"/>
        </w:rPr>
        <w:t xml:space="preserve"> decision is grossly </w:t>
      </w:r>
      <w:r w:rsidR="00CF76C9">
        <w:rPr>
          <w:sz w:val="24"/>
          <w:szCs w:val="24"/>
        </w:rPr>
        <w:t>unreasonable</w:t>
      </w:r>
      <w:r>
        <w:rPr>
          <w:sz w:val="24"/>
          <w:szCs w:val="24"/>
        </w:rPr>
        <w:t xml:space="preserve"> in that it </w:t>
      </w:r>
      <w:r w:rsidR="00CF76C9">
        <w:rPr>
          <w:sz w:val="24"/>
          <w:szCs w:val="24"/>
        </w:rPr>
        <w:t xml:space="preserve">threatens </w:t>
      </w:r>
      <w:r>
        <w:rPr>
          <w:sz w:val="24"/>
          <w:szCs w:val="24"/>
        </w:rPr>
        <w:t xml:space="preserve">the </w:t>
      </w:r>
      <w:r w:rsidR="00CF76C9">
        <w:rPr>
          <w:sz w:val="24"/>
          <w:szCs w:val="24"/>
        </w:rPr>
        <w:t>survival</w:t>
      </w:r>
      <w:r>
        <w:rPr>
          <w:sz w:val="24"/>
          <w:szCs w:val="24"/>
        </w:rPr>
        <w:t xml:space="preserve"> of the </w:t>
      </w:r>
      <w:r w:rsidR="00CF76C9">
        <w:rPr>
          <w:sz w:val="24"/>
          <w:szCs w:val="24"/>
        </w:rPr>
        <w:t>applicant.</w:t>
      </w:r>
      <w:r>
        <w:rPr>
          <w:sz w:val="24"/>
          <w:szCs w:val="24"/>
        </w:rPr>
        <w:t xml:space="preserve">  </w:t>
      </w:r>
      <w:r w:rsidR="00CF76C9">
        <w:rPr>
          <w:sz w:val="24"/>
          <w:szCs w:val="24"/>
        </w:rPr>
        <w:t>For</w:t>
      </w:r>
      <w:r>
        <w:rPr>
          <w:sz w:val="24"/>
          <w:szCs w:val="24"/>
        </w:rPr>
        <w:t xml:space="preserve"> a decision to be set aside </w:t>
      </w:r>
      <w:r w:rsidR="00CF76C9">
        <w:rPr>
          <w:sz w:val="24"/>
          <w:szCs w:val="24"/>
        </w:rPr>
        <w:t>on this</w:t>
      </w:r>
      <w:r>
        <w:rPr>
          <w:sz w:val="24"/>
          <w:szCs w:val="24"/>
        </w:rPr>
        <w:t xml:space="preserve"> basis, it </w:t>
      </w:r>
      <w:r w:rsidR="00CF76C9">
        <w:rPr>
          <w:sz w:val="24"/>
          <w:szCs w:val="24"/>
        </w:rPr>
        <w:t>ought t</w:t>
      </w:r>
      <w:r>
        <w:rPr>
          <w:sz w:val="24"/>
          <w:szCs w:val="24"/>
        </w:rPr>
        <w:t xml:space="preserve">o be </w:t>
      </w:r>
      <w:r w:rsidR="00CF76C9">
        <w:rPr>
          <w:sz w:val="24"/>
          <w:szCs w:val="24"/>
        </w:rPr>
        <w:t>clearly demonstrated</w:t>
      </w:r>
      <w:r>
        <w:rPr>
          <w:sz w:val="24"/>
          <w:szCs w:val="24"/>
        </w:rPr>
        <w:t xml:space="preserve"> that it was so grossly </w:t>
      </w:r>
      <w:r w:rsidR="00CF76C9">
        <w:rPr>
          <w:sz w:val="24"/>
          <w:szCs w:val="24"/>
        </w:rPr>
        <w:t xml:space="preserve">unreasonable or irrational that it </w:t>
      </w:r>
      <w:r>
        <w:rPr>
          <w:sz w:val="24"/>
          <w:szCs w:val="24"/>
        </w:rPr>
        <w:t xml:space="preserve">should not be </w:t>
      </w:r>
      <w:r w:rsidR="00CF76C9">
        <w:rPr>
          <w:sz w:val="24"/>
          <w:szCs w:val="24"/>
        </w:rPr>
        <w:t>allowed</w:t>
      </w:r>
      <w:r>
        <w:rPr>
          <w:sz w:val="24"/>
          <w:szCs w:val="24"/>
        </w:rPr>
        <w:t xml:space="preserve"> to stand.  That, </w:t>
      </w:r>
      <w:r w:rsidR="00CF76C9">
        <w:rPr>
          <w:sz w:val="24"/>
          <w:szCs w:val="24"/>
        </w:rPr>
        <w:t>precisely, is what</w:t>
      </w:r>
      <w:r>
        <w:rPr>
          <w:sz w:val="24"/>
          <w:szCs w:val="24"/>
        </w:rPr>
        <w:t xml:space="preserve"> the appellant is </w:t>
      </w:r>
      <w:r w:rsidR="00CF76C9">
        <w:rPr>
          <w:sz w:val="24"/>
          <w:szCs w:val="24"/>
        </w:rPr>
        <w:t xml:space="preserve">averring.  Its </w:t>
      </w:r>
      <w:r>
        <w:rPr>
          <w:sz w:val="24"/>
          <w:szCs w:val="24"/>
        </w:rPr>
        <w:t>first ground of review</w:t>
      </w:r>
      <w:r w:rsidR="00CF76C9">
        <w:rPr>
          <w:sz w:val="24"/>
          <w:szCs w:val="24"/>
        </w:rPr>
        <w:t xml:space="preserve"> read</w:t>
      </w:r>
      <w:r w:rsidR="009F55AA">
        <w:rPr>
          <w:sz w:val="24"/>
          <w:szCs w:val="24"/>
        </w:rPr>
        <w:t>s</w:t>
      </w:r>
      <w:r w:rsidR="00CF76C9">
        <w:rPr>
          <w:sz w:val="24"/>
          <w:szCs w:val="24"/>
        </w:rPr>
        <w:t>;</w:t>
      </w:r>
    </w:p>
    <w:p w:rsidR="00942512" w:rsidRDefault="00376BEC" w:rsidP="00376BEC">
      <w:pPr>
        <w:pStyle w:val="ListParagraph"/>
        <w:spacing w:line="240" w:lineRule="auto"/>
        <w:ind w:left="2160" w:hanging="720"/>
      </w:pPr>
      <w:r>
        <w:t>“1.1</w:t>
      </w:r>
      <w:r>
        <w:tab/>
        <w:t xml:space="preserve"> The decision is grossly unreasonable as to be irrational and outrageous in its defiance of logic or of accepted moral standards that no sensible person who had applied his/her </w:t>
      </w:r>
      <w:proofErr w:type="gramStart"/>
      <w:r>
        <w:t>mind</w:t>
      </w:r>
      <w:proofErr w:type="gramEnd"/>
      <w:r>
        <w:t xml:space="preserve"> to the issue would have arrived at it.”</w:t>
      </w:r>
    </w:p>
    <w:p w:rsidR="00CF76C9" w:rsidRDefault="00942512" w:rsidP="00CF76C9">
      <w:pPr>
        <w:spacing w:after="0" w:line="360" w:lineRule="auto"/>
        <w:rPr>
          <w:i/>
          <w:sz w:val="24"/>
          <w:szCs w:val="24"/>
        </w:rPr>
      </w:pPr>
      <w:r>
        <w:tab/>
      </w:r>
      <w:r>
        <w:rPr>
          <w:sz w:val="24"/>
          <w:szCs w:val="24"/>
        </w:rPr>
        <w:t xml:space="preserve">This position was stated in </w:t>
      </w:r>
      <w:r>
        <w:rPr>
          <w:i/>
          <w:sz w:val="24"/>
          <w:szCs w:val="24"/>
        </w:rPr>
        <w:t xml:space="preserve">Hama </w:t>
      </w:r>
      <w:r>
        <w:rPr>
          <w:sz w:val="24"/>
          <w:szCs w:val="24"/>
        </w:rPr>
        <w:t xml:space="preserve">v </w:t>
      </w:r>
      <w:r w:rsidR="00CF76C9">
        <w:rPr>
          <w:i/>
          <w:sz w:val="24"/>
          <w:szCs w:val="24"/>
        </w:rPr>
        <w:t>National Railways of Zimbabwe</w:t>
      </w:r>
      <w:r w:rsidR="009772B1">
        <w:rPr>
          <w:i/>
          <w:sz w:val="24"/>
          <w:szCs w:val="24"/>
        </w:rPr>
        <w:t xml:space="preserve"> </w:t>
      </w:r>
      <w:r w:rsidR="009772B1">
        <w:rPr>
          <w:sz w:val="24"/>
          <w:szCs w:val="24"/>
        </w:rPr>
        <w:t>1996 (1) ZLR 664</w:t>
      </w:r>
      <w:proofErr w:type="gramStart"/>
      <w:r w:rsidR="009772B1">
        <w:rPr>
          <w:sz w:val="24"/>
          <w:szCs w:val="24"/>
        </w:rPr>
        <w:t>.</w:t>
      </w:r>
      <w:r w:rsidR="00CF76C9">
        <w:rPr>
          <w:i/>
          <w:sz w:val="24"/>
          <w:szCs w:val="24"/>
        </w:rPr>
        <w:t>.</w:t>
      </w:r>
      <w:proofErr w:type="gramEnd"/>
    </w:p>
    <w:p w:rsidR="00D50EB1" w:rsidRDefault="005E0B9E" w:rsidP="00D50EB1">
      <w:pPr>
        <w:spacing w:after="0" w:line="360" w:lineRule="auto"/>
        <w:rPr>
          <w:sz w:val="24"/>
          <w:szCs w:val="24"/>
        </w:rPr>
      </w:pPr>
      <w:r>
        <w:rPr>
          <w:sz w:val="24"/>
          <w:szCs w:val="24"/>
        </w:rPr>
        <w:tab/>
        <w:t xml:space="preserve">A perusal of the documents on record, </w:t>
      </w:r>
      <w:r w:rsidR="00CF76C9">
        <w:rPr>
          <w:sz w:val="24"/>
          <w:szCs w:val="24"/>
        </w:rPr>
        <w:t>wherein are contained</w:t>
      </w:r>
      <w:r>
        <w:rPr>
          <w:sz w:val="24"/>
          <w:szCs w:val="24"/>
        </w:rPr>
        <w:t xml:space="preserve"> submission</w:t>
      </w:r>
      <w:r w:rsidR="00D50EB1">
        <w:rPr>
          <w:sz w:val="24"/>
          <w:szCs w:val="24"/>
        </w:rPr>
        <w:t>s</w:t>
      </w:r>
      <w:r>
        <w:rPr>
          <w:sz w:val="24"/>
          <w:szCs w:val="24"/>
        </w:rPr>
        <w:t xml:space="preserve"> made before the Retrenchment Board, should assist in </w:t>
      </w:r>
      <w:r w:rsidR="009772B1">
        <w:rPr>
          <w:sz w:val="24"/>
          <w:szCs w:val="24"/>
        </w:rPr>
        <w:t>determining whether the decision being impugned was grossly unreasonable</w:t>
      </w:r>
      <w:r w:rsidR="00D50EB1">
        <w:rPr>
          <w:sz w:val="24"/>
          <w:szCs w:val="24"/>
        </w:rPr>
        <w:t>.</w:t>
      </w:r>
      <w:r>
        <w:rPr>
          <w:sz w:val="24"/>
          <w:szCs w:val="24"/>
        </w:rPr>
        <w:t xml:space="preserve"> </w:t>
      </w:r>
    </w:p>
    <w:p w:rsidR="00D50EB1" w:rsidRDefault="00D50EB1" w:rsidP="00D50EB1">
      <w:pPr>
        <w:spacing w:after="0" w:line="360" w:lineRule="auto"/>
        <w:rPr>
          <w:sz w:val="24"/>
          <w:szCs w:val="24"/>
        </w:rPr>
      </w:pPr>
    </w:p>
    <w:p w:rsidR="005E0B9E" w:rsidRPr="00D50EB1" w:rsidRDefault="005E0B9E" w:rsidP="00D50EB1">
      <w:pPr>
        <w:spacing w:after="0" w:line="360" w:lineRule="auto"/>
        <w:rPr>
          <w:rStyle w:val="Emphasis"/>
          <w:i w:val="0"/>
          <w:iCs w:val="0"/>
          <w:sz w:val="24"/>
          <w:szCs w:val="24"/>
        </w:rPr>
      </w:pPr>
      <w:r>
        <w:rPr>
          <w:sz w:val="24"/>
          <w:szCs w:val="24"/>
        </w:rPr>
        <w:t>“ANNEXURE F”</w:t>
      </w:r>
      <w:r w:rsidR="00D50EB1">
        <w:rPr>
          <w:sz w:val="24"/>
          <w:szCs w:val="24"/>
        </w:rPr>
        <w:t>,</w:t>
      </w:r>
      <w:r>
        <w:rPr>
          <w:sz w:val="24"/>
          <w:szCs w:val="24"/>
        </w:rPr>
        <w:t xml:space="preserve"> page 69 of the record</w:t>
      </w:r>
      <w:r w:rsidR="00D50EB1">
        <w:rPr>
          <w:sz w:val="24"/>
          <w:szCs w:val="24"/>
        </w:rPr>
        <w:t>,</w:t>
      </w:r>
      <w:r>
        <w:rPr>
          <w:sz w:val="24"/>
          <w:szCs w:val="24"/>
        </w:rPr>
        <w:t xml:space="preserve"> has a section </w:t>
      </w:r>
      <w:r w:rsidR="00D50EB1">
        <w:rPr>
          <w:sz w:val="24"/>
          <w:szCs w:val="24"/>
        </w:rPr>
        <w:t>under the heading</w:t>
      </w:r>
      <w:r>
        <w:rPr>
          <w:sz w:val="24"/>
          <w:szCs w:val="24"/>
        </w:rPr>
        <w:t xml:space="preserve"> “</w:t>
      </w:r>
      <w:r w:rsidR="00875A8C">
        <w:rPr>
          <w:sz w:val="24"/>
          <w:szCs w:val="24"/>
        </w:rPr>
        <w:t>FINAN</w:t>
      </w:r>
      <w:r>
        <w:rPr>
          <w:sz w:val="24"/>
          <w:szCs w:val="24"/>
        </w:rPr>
        <w:t>C</w:t>
      </w:r>
      <w:r w:rsidR="00875A8C">
        <w:rPr>
          <w:sz w:val="24"/>
          <w:szCs w:val="24"/>
        </w:rPr>
        <w:t>IA</w:t>
      </w:r>
      <w:r>
        <w:rPr>
          <w:sz w:val="24"/>
          <w:szCs w:val="24"/>
        </w:rPr>
        <w:t>L PERFORMANCE”</w:t>
      </w:r>
      <w:r w:rsidR="00D50EB1">
        <w:rPr>
          <w:sz w:val="24"/>
          <w:szCs w:val="24"/>
        </w:rPr>
        <w:t>.  I</w:t>
      </w:r>
      <w:r>
        <w:rPr>
          <w:sz w:val="24"/>
          <w:szCs w:val="24"/>
        </w:rPr>
        <w:t>t reads as follows:</w:t>
      </w:r>
    </w:p>
    <w:p w:rsidR="00126C66" w:rsidRDefault="00126C66" w:rsidP="00875A8C">
      <w:pPr>
        <w:spacing w:after="0" w:line="240" w:lineRule="auto"/>
        <w:ind w:left="1440"/>
        <w:rPr>
          <w:rStyle w:val="Emphasis"/>
          <w:i w:val="0"/>
        </w:rPr>
      </w:pPr>
    </w:p>
    <w:p w:rsidR="00126C66" w:rsidRDefault="00D50EB1" w:rsidP="00875A8C">
      <w:pPr>
        <w:spacing w:after="0" w:line="240" w:lineRule="auto"/>
        <w:ind w:left="1440"/>
        <w:rPr>
          <w:rStyle w:val="Emphasis"/>
          <w:i w:val="0"/>
        </w:rPr>
      </w:pPr>
      <w:r>
        <w:rPr>
          <w:rStyle w:val="Emphasis"/>
          <w:i w:val="0"/>
        </w:rPr>
        <w:t>“</w:t>
      </w:r>
      <w:r w:rsidR="00126C66">
        <w:rPr>
          <w:rStyle w:val="Emphasis"/>
          <w:i w:val="0"/>
        </w:rPr>
        <w:t xml:space="preserve">The gross profit for the period under review was $896 thousand thus 5% </w:t>
      </w:r>
      <w:proofErr w:type="gramStart"/>
      <w:r w:rsidR="00126C66">
        <w:rPr>
          <w:rStyle w:val="Emphasis"/>
          <w:i w:val="0"/>
        </w:rPr>
        <w:t>above  $</w:t>
      </w:r>
      <w:proofErr w:type="gramEnd"/>
      <w:r w:rsidR="00126C66">
        <w:rPr>
          <w:rStyle w:val="Emphasis"/>
          <w:i w:val="0"/>
        </w:rPr>
        <w:t>856 thousand.  The business attained a net profit for the period of $123 thousand against a budgeted loss of $123 thousand.</w:t>
      </w:r>
    </w:p>
    <w:p w:rsidR="00126C66" w:rsidRDefault="00126C66" w:rsidP="00875A8C">
      <w:pPr>
        <w:spacing w:after="0" w:line="240" w:lineRule="auto"/>
        <w:ind w:left="1440"/>
        <w:rPr>
          <w:rStyle w:val="Emphasis"/>
          <w:i w:val="0"/>
        </w:rPr>
      </w:pPr>
    </w:p>
    <w:p w:rsidR="00126C66" w:rsidRDefault="00126C66" w:rsidP="00875A8C">
      <w:pPr>
        <w:spacing w:after="0" w:line="240" w:lineRule="auto"/>
        <w:ind w:left="1440"/>
        <w:rPr>
          <w:rStyle w:val="Emphasis"/>
          <w:i w:val="0"/>
        </w:rPr>
      </w:pPr>
      <w:r>
        <w:rPr>
          <w:rStyle w:val="Emphasis"/>
          <w:i w:val="0"/>
        </w:rPr>
        <w:t xml:space="preserve">Despite showing an improved performance, the business is still burdened by payroll backlogs of more than between 9 and 11 months totalling $710 thousand.  The </w:t>
      </w:r>
      <w:r>
        <w:rPr>
          <w:rStyle w:val="Emphasis"/>
          <w:i w:val="0"/>
        </w:rPr>
        <w:lastRenderedPageBreak/>
        <w:t xml:space="preserve">company has started paying these backlogs including the </w:t>
      </w:r>
      <w:proofErr w:type="spellStart"/>
      <w:r>
        <w:rPr>
          <w:rStyle w:val="Emphasis"/>
          <w:i w:val="0"/>
        </w:rPr>
        <w:t>retrenchees</w:t>
      </w:r>
      <w:proofErr w:type="spellEnd"/>
      <w:r>
        <w:rPr>
          <w:rStyle w:val="Emphasis"/>
          <w:i w:val="0"/>
        </w:rPr>
        <w:t xml:space="preserve"> </w:t>
      </w:r>
      <w:proofErr w:type="gramStart"/>
      <w:r>
        <w:rPr>
          <w:rStyle w:val="Emphasis"/>
          <w:i w:val="0"/>
        </w:rPr>
        <w:t>targeting  to</w:t>
      </w:r>
      <w:proofErr w:type="gramEnd"/>
      <w:r>
        <w:rPr>
          <w:rStyle w:val="Emphasis"/>
          <w:i w:val="0"/>
        </w:rPr>
        <w:t xml:space="preserve"> clear them over </w:t>
      </w:r>
      <w:r w:rsidR="00D50EB1">
        <w:rPr>
          <w:rStyle w:val="Emphasis"/>
          <w:i w:val="0"/>
        </w:rPr>
        <w:t xml:space="preserve">a </w:t>
      </w:r>
      <w:r>
        <w:rPr>
          <w:rStyle w:val="Emphasis"/>
          <w:i w:val="0"/>
        </w:rPr>
        <w:t>period of between 18 and 20 months.”</w:t>
      </w:r>
    </w:p>
    <w:p w:rsidR="00126C66" w:rsidRDefault="00126C66" w:rsidP="00126C66">
      <w:pPr>
        <w:spacing w:after="0" w:line="240" w:lineRule="auto"/>
        <w:rPr>
          <w:rStyle w:val="Emphasis"/>
          <w:i w:val="0"/>
        </w:rPr>
      </w:pPr>
    </w:p>
    <w:p w:rsidR="009C00AD" w:rsidRDefault="00126C66" w:rsidP="009C00AD">
      <w:pPr>
        <w:spacing w:after="0" w:line="360" w:lineRule="auto"/>
        <w:rPr>
          <w:rStyle w:val="Emphasis"/>
          <w:i w:val="0"/>
          <w:sz w:val="24"/>
          <w:szCs w:val="24"/>
        </w:rPr>
      </w:pPr>
      <w:r>
        <w:rPr>
          <w:rStyle w:val="Emphasis"/>
          <w:i w:val="0"/>
        </w:rPr>
        <w:tab/>
      </w:r>
      <w:r>
        <w:rPr>
          <w:rStyle w:val="Emphasis"/>
          <w:i w:val="0"/>
          <w:sz w:val="24"/>
          <w:szCs w:val="24"/>
        </w:rPr>
        <w:t xml:space="preserve">“Annexure H” </w:t>
      </w:r>
      <w:r w:rsidR="00D50EB1">
        <w:rPr>
          <w:rStyle w:val="Emphasis"/>
          <w:i w:val="0"/>
          <w:sz w:val="24"/>
          <w:szCs w:val="24"/>
        </w:rPr>
        <w:t>contains</w:t>
      </w:r>
      <w:r w:rsidR="009C00AD">
        <w:rPr>
          <w:rStyle w:val="Emphasis"/>
          <w:i w:val="0"/>
          <w:sz w:val="24"/>
          <w:szCs w:val="24"/>
        </w:rPr>
        <w:t xml:space="preserve"> a table showing the appellant and respondents retrenchment proposals.</w:t>
      </w:r>
      <w:r w:rsidR="00376BEC">
        <w:rPr>
          <w:rStyle w:val="Emphasis"/>
          <w:i w:val="0"/>
          <w:sz w:val="24"/>
          <w:szCs w:val="24"/>
        </w:rPr>
        <w:t xml:space="preserve"> (See record page 74).</w:t>
      </w:r>
    </w:p>
    <w:p w:rsidR="00D76F90" w:rsidRDefault="009C00AD" w:rsidP="009C00AD">
      <w:pPr>
        <w:spacing w:after="0" w:line="360" w:lineRule="auto"/>
        <w:rPr>
          <w:rStyle w:val="Emphasis"/>
          <w:i w:val="0"/>
          <w:sz w:val="24"/>
          <w:szCs w:val="24"/>
        </w:rPr>
      </w:pPr>
      <w:r>
        <w:rPr>
          <w:rStyle w:val="Emphasis"/>
          <w:i w:val="0"/>
          <w:sz w:val="24"/>
          <w:szCs w:val="24"/>
        </w:rPr>
        <w:tab/>
        <w:t xml:space="preserve">From this information the proposal by the </w:t>
      </w:r>
      <w:proofErr w:type="spellStart"/>
      <w:r>
        <w:rPr>
          <w:rStyle w:val="Emphasis"/>
          <w:i w:val="0"/>
          <w:sz w:val="24"/>
          <w:szCs w:val="24"/>
        </w:rPr>
        <w:t>retrenchees</w:t>
      </w:r>
      <w:proofErr w:type="spellEnd"/>
      <w:r>
        <w:rPr>
          <w:rStyle w:val="Emphasis"/>
          <w:i w:val="0"/>
          <w:sz w:val="24"/>
          <w:szCs w:val="24"/>
        </w:rPr>
        <w:t xml:space="preserve"> gives a total figure of </w:t>
      </w:r>
    </w:p>
    <w:p w:rsidR="009C00AD" w:rsidRDefault="009C00AD" w:rsidP="009C00AD">
      <w:pPr>
        <w:spacing w:after="0" w:line="360" w:lineRule="auto"/>
        <w:rPr>
          <w:rStyle w:val="Emphasis"/>
          <w:i w:val="0"/>
          <w:sz w:val="24"/>
          <w:szCs w:val="24"/>
        </w:rPr>
      </w:pPr>
      <w:proofErr w:type="gramStart"/>
      <w:r>
        <w:rPr>
          <w:rStyle w:val="Emphasis"/>
          <w:i w:val="0"/>
          <w:sz w:val="24"/>
          <w:szCs w:val="24"/>
        </w:rPr>
        <w:t>US$224 517.62.</w:t>
      </w:r>
      <w:proofErr w:type="gramEnd"/>
    </w:p>
    <w:p w:rsidR="00A54D71" w:rsidRDefault="00D76F90" w:rsidP="00D50EB1">
      <w:pPr>
        <w:spacing w:after="0" w:line="360" w:lineRule="auto"/>
        <w:rPr>
          <w:rStyle w:val="Emphasis"/>
          <w:i w:val="0"/>
          <w:sz w:val="24"/>
          <w:szCs w:val="24"/>
        </w:rPr>
      </w:pPr>
      <w:r>
        <w:rPr>
          <w:rStyle w:val="Emphasis"/>
          <w:i w:val="0"/>
          <w:sz w:val="24"/>
          <w:szCs w:val="24"/>
        </w:rPr>
        <w:tab/>
        <w:t xml:space="preserve">The </w:t>
      </w:r>
      <w:r w:rsidR="00D50EB1">
        <w:rPr>
          <w:rStyle w:val="Emphasis"/>
          <w:i w:val="0"/>
          <w:sz w:val="24"/>
          <w:szCs w:val="24"/>
        </w:rPr>
        <w:t>appellant’s p</w:t>
      </w:r>
      <w:r>
        <w:rPr>
          <w:rStyle w:val="Emphasis"/>
          <w:i w:val="0"/>
          <w:sz w:val="24"/>
          <w:szCs w:val="24"/>
        </w:rPr>
        <w:t xml:space="preserve">roposal gives a total of US$101 413.91.  </w:t>
      </w:r>
    </w:p>
    <w:p w:rsidR="000E4ED3" w:rsidRDefault="000E4ED3" w:rsidP="00D50EB1">
      <w:pPr>
        <w:spacing w:after="0" w:line="360" w:lineRule="auto"/>
        <w:rPr>
          <w:rStyle w:val="Emphasis"/>
          <w:i w:val="0"/>
          <w:sz w:val="24"/>
          <w:szCs w:val="24"/>
        </w:rPr>
      </w:pPr>
      <w:r>
        <w:rPr>
          <w:rStyle w:val="Emphasis"/>
          <w:i w:val="0"/>
          <w:sz w:val="24"/>
          <w:szCs w:val="24"/>
        </w:rPr>
        <w:tab/>
        <w:t>The table also shows a total package of US$120 437.62, if service pay were to be a</w:t>
      </w:r>
      <w:r w:rsidR="009F55AA">
        <w:rPr>
          <w:rStyle w:val="Emphasis"/>
          <w:i w:val="0"/>
          <w:sz w:val="24"/>
          <w:szCs w:val="24"/>
        </w:rPr>
        <w:t>t 2 weeks for every year served, a package applicant was also prepared to pay.</w:t>
      </w:r>
    </w:p>
    <w:p w:rsidR="000E4ED3" w:rsidRDefault="009F55AA" w:rsidP="00D50EB1">
      <w:pPr>
        <w:spacing w:after="0" w:line="360" w:lineRule="auto"/>
        <w:rPr>
          <w:rStyle w:val="Emphasis"/>
          <w:i w:val="0"/>
          <w:sz w:val="24"/>
          <w:szCs w:val="24"/>
        </w:rPr>
      </w:pPr>
      <w:r>
        <w:rPr>
          <w:rStyle w:val="Emphasis"/>
          <w:i w:val="0"/>
          <w:sz w:val="24"/>
          <w:szCs w:val="24"/>
        </w:rPr>
        <w:tab/>
        <w:t>The M</w:t>
      </w:r>
      <w:r w:rsidR="000E4ED3">
        <w:rPr>
          <w:rStyle w:val="Emphasis"/>
          <w:i w:val="0"/>
          <w:sz w:val="24"/>
          <w:szCs w:val="24"/>
        </w:rPr>
        <w:t>inisterial package of US$224 517.62 is set against an offer of US120 427.62.  That leaves a difference of US$</w:t>
      </w:r>
      <w:r w:rsidR="009772B1">
        <w:rPr>
          <w:rStyle w:val="Emphasis"/>
          <w:i w:val="0"/>
          <w:sz w:val="24"/>
          <w:szCs w:val="24"/>
        </w:rPr>
        <w:t>104 090.</w:t>
      </w:r>
    </w:p>
    <w:p w:rsidR="000E4ED3" w:rsidRDefault="000E4ED3" w:rsidP="00D50EB1">
      <w:pPr>
        <w:spacing w:after="0" w:line="360" w:lineRule="auto"/>
        <w:rPr>
          <w:rStyle w:val="Emphasis"/>
          <w:i w:val="0"/>
          <w:sz w:val="24"/>
          <w:szCs w:val="24"/>
        </w:rPr>
      </w:pPr>
      <w:r>
        <w:rPr>
          <w:rStyle w:val="Emphasis"/>
          <w:i w:val="0"/>
          <w:sz w:val="24"/>
          <w:szCs w:val="24"/>
        </w:rPr>
        <w:tab/>
        <w:t>Excerpts from the “OPERATIONS AND FINANCIAL REVIEW” (</w:t>
      </w:r>
      <w:r w:rsidRPr="000E4ED3">
        <w:rPr>
          <w:rStyle w:val="Emphasis"/>
          <w:sz w:val="24"/>
          <w:szCs w:val="24"/>
        </w:rPr>
        <w:t>supra</w:t>
      </w:r>
      <w:r>
        <w:rPr>
          <w:rStyle w:val="Emphasis"/>
          <w:i w:val="0"/>
          <w:sz w:val="24"/>
          <w:szCs w:val="24"/>
        </w:rPr>
        <w:t xml:space="preserve">) for the period just before approval of the </w:t>
      </w:r>
      <w:proofErr w:type="gramStart"/>
      <w:r>
        <w:rPr>
          <w:rStyle w:val="Emphasis"/>
          <w:i w:val="0"/>
          <w:sz w:val="24"/>
          <w:szCs w:val="24"/>
        </w:rPr>
        <w:t>retrenchment,</w:t>
      </w:r>
      <w:proofErr w:type="gramEnd"/>
      <w:r>
        <w:rPr>
          <w:rStyle w:val="Emphasis"/>
          <w:i w:val="0"/>
          <w:sz w:val="24"/>
          <w:szCs w:val="24"/>
        </w:rPr>
        <w:t xml:space="preserve"> show that the company was experiencing some improvement in its operations.  Though battling some debts, it was not facing liquidation.  The report does not show that the </w:t>
      </w:r>
      <w:proofErr w:type="gramStart"/>
      <w:r>
        <w:rPr>
          <w:rStyle w:val="Emphasis"/>
          <w:i w:val="0"/>
          <w:sz w:val="24"/>
          <w:szCs w:val="24"/>
        </w:rPr>
        <w:t>enterprises was</w:t>
      </w:r>
      <w:proofErr w:type="gramEnd"/>
      <w:r>
        <w:rPr>
          <w:rStyle w:val="Emphasis"/>
          <w:i w:val="0"/>
          <w:sz w:val="24"/>
          <w:szCs w:val="24"/>
        </w:rPr>
        <w:t xml:space="preserve"> threatened with liquidation.  It had </w:t>
      </w:r>
      <w:proofErr w:type="spellStart"/>
      <w:r>
        <w:rPr>
          <w:rStyle w:val="Emphasis"/>
          <w:i w:val="0"/>
          <w:sz w:val="24"/>
          <w:szCs w:val="24"/>
        </w:rPr>
        <w:t>infact</w:t>
      </w:r>
      <w:proofErr w:type="spellEnd"/>
      <w:r>
        <w:rPr>
          <w:rStyle w:val="Emphasis"/>
          <w:i w:val="0"/>
          <w:sz w:val="24"/>
          <w:szCs w:val="24"/>
        </w:rPr>
        <w:t xml:space="preserve"> put in place a payment plan for clearing salary arrears, described in the report as “payroll backlogs” over a period of 18 to 20 months.  These obligations, it is worth noting</w:t>
      </w:r>
      <w:r w:rsidR="00153121">
        <w:rPr>
          <w:rStyle w:val="Emphasis"/>
          <w:i w:val="0"/>
          <w:sz w:val="24"/>
          <w:szCs w:val="24"/>
        </w:rPr>
        <w:t>,</w:t>
      </w:r>
      <w:r>
        <w:rPr>
          <w:rStyle w:val="Emphasis"/>
          <w:i w:val="0"/>
          <w:sz w:val="24"/>
          <w:szCs w:val="24"/>
        </w:rPr>
        <w:t xml:space="preserve"> included the </w:t>
      </w:r>
      <w:proofErr w:type="spellStart"/>
      <w:r>
        <w:rPr>
          <w:rStyle w:val="Emphasis"/>
          <w:i w:val="0"/>
          <w:sz w:val="24"/>
          <w:szCs w:val="24"/>
        </w:rPr>
        <w:t>retrenche</w:t>
      </w:r>
      <w:r w:rsidR="00153121">
        <w:rPr>
          <w:rStyle w:val="Emphasis"/>
          <w:i w:val="0"/>
          <w:sz w:val="24"/>
          <w:szCs w:val="24"/>
        </w:rPr>
        <w:t>e</w:t>
      </w:r>
      <w:r>
        <w:rPr>
          <w:rStyle w:val="Emphasis"/>
          <w:i w:val="0"/>
          <w:sz w:val="24"/>
          <w:szCs w:val="24"/>
        </w:rPr>
        <w:t>s</w:t>
      </w:r>
      <w:proofErr w:type="spellEnd"/>
      <w:r>
        <w:rPr>
          <w:rStyle w:val="Emphasis"/>
          <w:i w:val="0"/>
          <w:sz w:val="24"/>
          <w:szCs w:val="24"/>
        </w:rPr>
        <w:t>.</w:t>
      </w:r>
    </w:p>
    <w:p w:rsidR="000E4ED3" w:rsidRDefault="000E4ED3" w:rsidP="00D50EB1">
      <w:pPr>
        <w:spacing w:after="0" w:line="360" w:lineRule="auto"/>
        <w:rPr>
          <w:rStyle w:val="Emphasis"/>
          <w:i w:val="0"/>
          <w:sz w:val="24"/>
          <w:szCs w:val="24"/>
        </w:rPr>
      </w:pPr>
      <w:r>
        <w:rPr>
          <w:rStyle w:val="Emphasis"/>
          <w:i w:val="0"/>
          <w:sz w:val="24"/>
          <w:szCs w:val="24"/>
        </w:rPr>
        <w:tab/>
        <w:t>It cannot</w:t>
      </w:r>
      <w:r w:rsidR="00153121">
        <w:rPr>
          <w:rStyle w:val="Emphasis"/>
          <w:i w:val="0"/>
          <w:sz w:val="24"/>
          <w:szCs w:val="24"/>
        </w:rPr>
        <w:t>,</w:t>
      </w:r>
      <w:r>
        <w:rPr>
          <w:rStyle w:val="Emphasis"/>
          <w:i w:val="0"/>
          <w:sz w:val="24"/>
          <w:szCs w:val="24"/>
        </w:rPr>
        <w:t xml:space="preserve"> in the circumstances, be said that the Minister’s package is grossly unreasonable, outrageous or irrational.  It must be borne in mind that this</w:t>
      </w:r>
      <w:r w:rsidR="00153121">
        <w:rPr>
          <w:rStyle w:val="Emphasis"/>
          <w:i w:val="0"/>
          <w:sz w:val="24"/>
          <w:szCs w:val="24"/>
        </w:rPr>
        <w:t xml:space="preserve"> package is to be</w:t>
      </w:r>
      <w:r>
        <w:rPr>
          <w:rStyle w:val="Emphasis"/>
          <w:i w:val="0"/>
          <w:sz w:val="24"/>
          <w:szCs w:val="24"/>
        </w:rPr>
        <w:t xml:space="preserve"> divided among 52 (fifty two) employees.  The court is </w:t>
      </w:r>
      <w:r w:rsidR="00153121">
        <w:rPr>
          <w:rStyle w:val="Emphasis"/>
          <w:i w:val="0"/>
          <w:sz w:val="24"/>
          <w:szCs w:val="24"/>
        </w:rPr>
        <w:t xml:space="preserve">mindful </w:t>
      </w:r>
      <w:r>
        <w:rPr>
          <w:rStyle w:val="Emphasis"/>
          <w:i w:val="0"/>
          <w:sz w:val="24"/>
          <w:szCs w:val="24"/>
        </w:rPr>
        <w:t xml:space="preserve">of the </w:t>
      </w:r>
      <w:r w:rsidR="00153121">
        <w:rPr>
          <w:rStyle w:val="Emphasis"/>
          <w:i w:val="0"/>
          <w:sz w:val="24"/>
          <w:szCs w:val="24"/>
        </w:rPr>
        <w:t xml:space="preserve">need </w:t>
      </w:r>
      <w:r>
        <w:rPr>
          <w:rStyle w:val="Emphasis"/>
          <w:i w:val="0"/>
          <w:sz w:val="24"/>
          <w:szCs w:val="24"/>
        </w:rPr>
        <w:t xml:space="preserve">to ensure the survival of </w:t>
      </w:r>
      <w:r w:rsidR="00153121">
        <w:rPr>
          <w:rStyle w:val="Emphasis"/>
          <w:i w:val="0"/>
          <w:sz w:val="24"/>
          <w:szCs w:val="24"/>
        </w:rPr>
        <w:t xml:space="preserve">an </w:t>
      </w:r>
      <w:r>
        <w:rPr>
          <w:rStyle w:val="Emphasis"/>
          <w:i w:val="0"/>
          <w:sz w:val="24"/>
          <w:szCs w:val="24"/>
        </w:rPr>
        <w:t xml:space="preserve">enterprise when approving retrenchment packages, or any </w:t>
      </w:r>
      <w:r w:rsidR="009772B1">
        <w:rPr>
          <w:rStyle w:val="Emphasis"/>
          <w:i w:val="0"/>
          <w:sz w:val="24"/>
          <w:szCs w:val="24"/>
        </w:rPr>
        <w:t>awards</w:t>
      </w:r>
      <w:r w:rsidR="00E812C3">
        <w:rPr>
          <w:rStyle w:val="Emphasis"/>
          <w:i w:val="0"/>
          <w:sz w:val="24"/>
          <w:szCs w:val="24"/>
        </w:rPr>
        <w:t xml:space="preserve"> </w:t>
      </w:r>
      <w:r>
        <w:rPr>
          <w:rStyle w:val="Emphasis"/>
          <w:i w:val="0"/>
          <w:sz w:val="24"/>
          <w:szCs w:val="24"/>
        </w:rPr>
        <w:t xml:space="preserve">of a financial nature.  </w:t>
      </w:r>
    </w:p>
    <w:p w:rsidR="000E4ED3" w:rsidRPr="009772B1" w:rsidRDefault="000E4ED3" w:rsidP="00D50EB1">
      <w:pPr>
        <w:spacing w:after="0" w:line="360" w:lineRule="auto"/>
        <w:rPr>
          <w:rStyle w:val="Emphasis"/>
          <w:i w:val="0"/>
          <w:sz w:val="24"/>
          <w:szCs w:val="24"/>
        </w:rPr>
      </w:pPr>
      <w:r>
        <w:rPr>
          <w:rStyle w:val="Emphasis"/>
          <w:i w:val="0"/>
          <w:sz w:val="24"/>
          <w:szCs w:val="24"/>
        </w:rPr>
        <w:tab/>
        <w:t>See</w:t>
      </w:r>
      <w:r w:rsidR="009772B1">
        <w:rPr>
          <w:rStyle w:val="Emphasis"/>
          <w:i w:val="0"/>
          <w:sz w:val="24"/>
          <w:szCs w:val="24"/>
        </w:rPr>
        <w:t xml:space="preserve"> </w:t>
      </w:r>
      <w:r w:rsidR="009772B1">
        <w:rPr>
          <w:rStyle w:val="Emphasis"/>
          <w:sz w:val="24"/>
          <w:szCs w:val="24"/>
        </w:rPr>
        <w:t xml:space="preserve">Tel-One (Pvt) Ltd </w:t>
      </w:r>
      <w:r w:rsidR="009772B1">
        <w:rPr>
          <w:rStyle w:val="Emphasis"/>
          <w:i w:val="0"/>
          <w:sz w:val="24"/>
          <w:szCs w:val="24"/>
        </w:rPr>
        <w:t xml:space="preserve">v </w:t>
      </w:r>
      <w:r w:rsidR="009772B1">
        <w:rPr>
          <w:rStyle w:val="Emphasis"/>
          <w:sz w:val="24"/>
          <w:szCs w:val="24"/>
        </w:rPr>
        <w:t xml:space="preserve">Communication &amp; Allied Services Workers Union of Zimbabwe </w:t>
      </w:r>
      <w:r w:rsidR="009772B1">
        <w:rPr>
          <w:rStyle w:val="Emphasis"/>
          <w:i w:val="0"/>
          <w:sz w:val="24"/>
          <w:szCs w:val="24"/>
        </w:rPr>
        <w:t>2007 (2) ZLR 262 (H).</w:t>
      </w:r>
    </w:p>
    <w:p w:rsidR="00DD3E30" w:rsidRPr="00DD3E30" w:rsidRDefault="000E4ED3" w:rsidP="00D50EB1">
      <w:pPr>
        <w:spacing w:after="0" w:line="360" w:lineRule="auto"/>
        <w:rPr>
          <w:rStyle w:val="Emphasis"/>
          <w:sz w:val="24"/>
          <w:szCs w:val="24"/>
        </w:rPr>
      </w:pPr>
      <w:r>
        <w:rPr>
          <w:rStyle w:val="Emphasis"/>
          <w:i w:val="0"/>
          <w:sz w:val="24"/>
          <w:szCs w:val="24"/>
        </w:rPr>
        <w:tab/>
      </w:r>
      <w:r w:rsidRPr="008428DE">
        <w:rPr>
          <w:rStyle w:val="Emphasis"/>
          <w:i w:val="0"/>
          <w:sz w:val="24"/>
          <w:szCs w:val="24"/>
        </w:rPr>
        <w:t>It has not been satisfactor</w:t>
      </w:r>
      <w:r w:rsidR="00E812C3" w:rsidRPr="008428DE">
        <w:rPr>
          <w:rStyle w:val="Emphasis"/>
          <w:i w:val="0"/>
          <w:sz w:val="24"/>
          <w:szCs w:val="24"/>
        </w:rPr>
        <w:t>il</w:t>
      </w:r>
      <w:r w:rsidRPr="008428DE">
        <w:rPr>
          <w:rStyle w:val="Emphasis"/>
          <w:i w:val="0"/>
          <w:sz w:val="24"/>
          <w:szCs w:val="24"/>
        </w:rPr>
        <w:t xml:space="preserve">y demonstrated that the terms and </w:t>
      </w:r>
      <w:r w:rsidR="00E812C3" w:rsidRPr="008428DE">
        <w:rPr>
          <w:rStyle w:val="Emphasis"/>
          <w:i w:val="0"/>
          <w:sz w:val="24"/>
          <w:szCs w:val="24"/>
        </w:rPr>
        <w:t xml:space="preserve">conditions </w:t>
      </w:r>
      <w:r w:rsidRPr="008428DE">
        <w:rPr>
          <w:rStyle w:val="Emphasis"/>
          <w:i w:val="0"/>
          <w:sz w:val="24"/>
          <w:szCs w:val="24"/>
        </w:rPr>
        <w:t xml:space="preserve">approved by the Minister will </w:t>
      </w:r>
      <w:r w:rsidR="00E812C3" w:rsidRPr="008428DE">
        <w:rPr>
          <w:rStyle w:val="Emphasis"/>
          <w:i w:val="0"/>
          <w:sz w:val="24"/>
          <w:szCs w:val="24"/>
        </w:rPr>
        <w:t>drive</w:t>
      </w:r>
      <w:r w:rsidRPr="008428DE">
        <w:rPr>
          <w:rStyle w:val="Emphasis"/>
          <w:i w:val="0"/>
          <w:sz w:val="24"/>
          <w:szCs w:val="24"/>
        </w:rPr>
        <w:t xml:space="preserve"> the company into insolvency</w:t>
      </w:r>
      <w:r w:rsidR="00DD3E30">
        <w:rPr>
          <w:rStyle w:val="Emphasis"/>
          <w:i w:val="0"/>
          <w:sz w:val="24"/>
          <w:szCs w:val="24"/>
        </w:rPr>
        <w:t xml:space="preserve"> or</w:t>
      </w:r>
      <w:r w:rsidRPr="008428DE">
        <w:rPr>
          <w:rStyle w:val="Emphasis"/>
          <w:i w:val="0"/>
          <w:sz w:val="24"/>
          <w:szCs w:val="24"/>
        </w:rPr>
        <w:t xml:space="preserve"> </w:t>
      </w:r>
      <w:r w:rsidR="009772B1" w:rsidRPr="008428DE">
        <w:rPr>
          <w:rStyle w:val="Emphasis"/>
          <w:i w:val="0"/>
          <w:sz w:val="24"/>
          <w:szCs w:val="24"/>
        </w:rPr>
        <w:t>f</w:t>
      </w:r>
      <w:r w:rsidR="00E812C3" w:rsidRPr="008428DE">
        <w:rPr>
          <w:rStyle w:val="Emphasis"/>
          <w:i w:val="0"/>
          <w:sz w:val="24"/>
          <w:szCs w:val="24"/>
        </w:rPr>
        <w:t>o</w:t>
      </w:r>
      <w:r w:rsidR="009772B1" w:rsidRPr="008428DE">
        <w:rPr>
          <w:rStyle w:val="Emphasis"/>
          <w:i w:val="0"/>
          <w:sz w:val="24"/>
          <w:szCs w:val="24"/>
        </w:rPr>
        <w:t>r</w:t>
      </w:r>
      <w:r w:rsidR="00E812C3" w:rsidRPr="008428DE">
        <w:rPr>
          <w:rStyle w:val="Emphasis"/>
          <w:i w:val="0"/>
          <w:sz w:val="24"/>
          <w:szCs w:val="24"/>
        </w:rPr>
        <w:t>ce</w:t>
      </w:r>
      <w:r w:rsidR="00190DDD" w:rsidRPr="008428DE">
        <w:rPr>
          <w:rStyle w:val="Emphasis"/>
          <w:i w:val="0"/>
          <w:sz w:val="24"/>
          <w:szCs w:val="24"/>
        </w:rPr>
        <w:t xml:space="preserve"> it to </w:t>
      </w:r>
      <w:r w:rsidR="00E812C3" w:rsidRPr="008428DE">
        <w:rPr>
          <w:rStyle w:val="Emphasis"/>
          <w:i w:val="0"/>
          <w:sz w:val="24"/>
          <w:szCs w:val="24"/>
        </w:rPr>
        <w:t>close shop</w:t>
      </w:r>
      <w:r w:rsidR="009772B1" w:rsidRPr="008428DE">
        <w:rPr>
          <w:rStyle w:val="Emphasis"/>
          <w:i w:val="0"/>
          <w:sz w:val="24"/>
          <w:szCs w:val="24"/>
        </w:rPr>
        <w:t xml:space="preserve">. </w:t>
      </w:r>
      <w:r w:rsidR="00DD3E30">
        <w:rPr>
          <w:rStyle w:val="Emphasis"/>
          <w:i w:val="0"/>
          <w:sz w:val="24"/>
          <w:szCs w:val="24"/>
        </w:rPr>
        <w:t xml:space="preserve">It is not a package “that plunges the apple cart over the cliff,” to borrow </w:t>
      </w:r>
      <w:r w:rsidR="00DD3E30">
        <w:rPr>
          <w:rStyle w:val="Emphasis"/>
          <w:i w:val="0"/>
        </w:rPr>
        <w:t xml:space="preserve">HUNGWE J’s </w:t>
      </w:r>
      <w:r w:rsidR="00DD3E30">
        <w:rPr>
          <w:rStyle w:val="Emphasis"/>
          <w:i w:val="0"/>
          <w:sz w:val="24"/>
          <w:szCs w:val="24"/>
        </w:rPr>
        <w:t xml:space="preserve">expression in </w:t>
      </w:r>
      <w:r w:rsidR="00DD3E30" w:rsidRPr="00FB5933">
        <w:rPr>
          <w:rStyle w:val="Emphasis"/>
          <w:sz w:val="24"/>
          <w:szCs w:val="24"/>
        </w:rPr>
        <w:t>Tel-One (Pvt)</w:t>
      </w:r>
      <w:r w:rsidR="00DD3E30">
        <w:rPr>
          <w:rStyle w:val="Emphasis"/>
          <w:i w:val="0"/>
          <w:sz w:val="24"/>
          <w:szCs w:val="24"/>
        </w:rPr>
        <w:t xml:space="preserve"> </w:t>
      </w:r>
      <w:r w:rsidR="00DD3E30" w:rsidRPr="00FB5933">
        <w:rPr>
          <w:rStyle w:val="Emphasis"/>
          <w:sz w:val="24"/>
          <w:szCs w:val="24"/>
        </w:rPr>
        <w:t>Ltd</w:t>
      </w:r>
      <w:r w:rsidR="00DD3E30">
        <w:rPr>
          <w:rStyle w:val="Emphasis"/>
          <w:i w:val="0"/>
          <w:sz w:val="24"/>
          <w:szCs w:val="24"/>
        </w:rPr>
        <w:t xml:space="preserve">, </w:t>
      </w:r>
      <w:r w:rsidR="00DD3E30">
        <w:rPr>
          <w:rStyle w:val="Emphasis"/>
          <w:sz w:val="24"/>
          <w:szCs w:val="24"/>
        </w:rPr>
        <w:t>supra.</w:t>
      </w:r>
    </w:p>
    <w:p w:rsidR="00DD3E30" w:rsidRDefault="00DD3E30" w:rsidP="00D50EB1">
      <w:pPr>
        <w:spacing w:after="0" w:line="360" w:lineRule="auto"/>
        <w:rPr>
          <w:rStyle w:val="Emphasis"/>
          <w:i w:val="0"/>
          <w:sz w:val="24"/>
          <w:szCs w:val="24"/>
        </w:rPr>
      </w:pPr>
    </w:p>
    <w:p w:rsidR="00190DDD" w:rsidRDefault="00190DDD" w:rsidP="00D50EB1">
      <w:pPr>
        <w:spacing w:after="0" w:line="360" w:lineRule="auto"/>
        <w:rPr>
          <w:rStyle w:val="Emphasis"/>
          <w:i w:val="0"/>
          <w:sz w:val="24"/>
          <w:szCs w:val="24"/>
        </w:rPr>
      </w:pPr>
      <w:r>
        <w:rPr>
          <w:rStyle w:val="Emphasis"/>
          <w:i w:val="0"/>
          <w:sz w:val="24"/>
          <w:szCs w:val="24"/>
        </w:rPr>
        <w:lastRenderedPageBreak/>
        <w:tab/>
        <w:t xml:space="preserve">If any intervention has to be made, in my view, it will only be in respect of the payment period.  There is no </w:t>
      </w:r>
      <w:r w:rsidR="00E812C3">
        <w:rPr>
          <w:rStyle w:val="Emphasis"/>
          <w:i w:val="0"/>
          <w:sz w:val="24"/>
          <w:szCs w:val="24"/>
        </w:rPr>
        <w:t>definitive pronouncement</w:t>
      </w:r>
      <w:r>
        <w:rPr>
          <w:rStyle w:val="Emphasis"/>
          <w:i w:val="0"/>
          <w:sz w:val="24"/>
          <w:szCs w:val="24"/>
        </w:rPr>
        <w:t xml:space="preserve"> in the Minister’s terms and </w:t>
      </w:r>
      <w:r w:rsidR="00E812C3">
        <w:rPr>
          <w:rStyle w:val="Emphasis"/>
          <w:i w:val="0"/>
          <w:sz w:val="24"/>
          <w:szCs w:val="24"/>
        </w:rPr>
        <w:t xml:space="preserve">conditions. </w:t>
      </w:r>
      <w:r w:rsidR="00DD3E30">
        <w:rPr>
          <w:rStyle w:val="Emphasis"/>
          <w:i w:val="0"/>
          <w:sz w:val="24"/>
          <w:szCs w:val="24"/>
        </w:rPr>
        <w:t xml:space="preserve">This item is </w:t>
      </w:r>
      <w:r>
        <w:rPr>
          <w:rStyle w:val="Emphasis"/>
          <w:i w:val="0"/>
          <w:sz w:val="24"/>
          <w:szCs w:val="24"/>
        </w:rPr>
        <w:t>vaguely stated as:</w:t>
      </w:r>
    </w:p>
    <w:p w:rsidR="00190DDD" w:rsidRDefault="00190DDD" w:rsidP="00190DDD">
      <w:pPr>
        <w:spacing w:after="0" w:line="240" w:lineRule="auto"/>
        <w:ind w:left="1440"/>
        <w:rPr>
          <w:rStyle w:val="Emphasis"/>
          <w:i w:val="0"/>
        </w:rPr>
      </w:pPr>
      <w:proofErr w:type="gramStart"/>
      <w:r>
        <w:rPr>
          <w:rStyle w:val="Emphasis"/>
          <w:i w:val="0"/>
        </w:rPr>
        <w:t xml:space="preserve">“Period of payment </w:t>
      </w:r>
      <w:r w:rsidR="00E812C3">
        <w:rPr>
          <w:rStyle w:val="Emphasis"/>
          <w:i w:val="0"/>
        </w:rPr>
        <w:t xml:space="preserve">requested </w:t>
      </w:r>
      <w:r>
        <w:rPr>
          <w:rStyle w:val="Emphasis"/>
          <w:i w:val="0"/>
        </w:rPr>
        <w:t>by parties – Retrenchment Board recommended 6 months.”</w:t>
      </w:r>
      <w:proofErr w:type="gramEnd"/>
    </w:p>
    <w:p w:rsidR="00190DDD" w:rsidRPr="00190DDD" w:rsidRDefault="00190DDD" w:rsidP="00D50EB1">
      <w:pPr>
        <w:spacing w:after="0" w:line="360" w:lineRule="auto"/>
        <w:rPr>
          <w:rStyle w:val="Emphasis"/>
          <w:i w:val="0"/>
        </w:rPr>
      </w:pPr>
    </w:p>
    <w:p w:rsidR="000E4ED3" w:rsidRDefault="00190DDD" w:rsidP="00D50EB1">
      <w:pPr>
        <w:spacing w:after="0" w:line="360" w:lineRule="auto"/>
        <w:rPr>
          <w:rStyle w:val="Emphasis"/>
          <w:i w:val="0"/>
          <w:sz w:val="24"/>
          <w:szCs w:val="24"/>
        </w:rPr>
      </w:pPr>
      <w:r>
        <w:rPr>
          <w:rStyle w:val="Emphasis"/>
          <w:i w:val="0"/>
          <w:sz w:val="24"/>
          <w:szCs w:val="24"/>
        </w:rPr>
        <w:tab/>
        <w:t>The respondents had proposed 3 months against the applicant’s 24 months.</w:t>
      </w:r>
    </w:p>
    <w:p w:rsidR="00190DDD" w:rsidRDefault="00190DDD" w:rsidP="00D50EB1">
      <w:pPr>
        <w:spacing w:after="0" w:line="360" w:lineRule="auto"/>
        <w:rPr>
          <w:rStyle w:val="Emphasis"/>
          <w:i w:val="0"/>
          <w:sz w:val="24"/>
          <w:szCs w:val="24"/>
        </w:rPr>
      </w:pPr>
      <w:r>
        <w:rPr>
          <w:rStyle w:val="Emphasis"/>
          <w:i w:val="0"/>
          <w:sz w:val="24"/>
          <w:szCs w:val="24"/>
        </w:rPr>
        <w:tab/>
        <w:t xml:space="preserve">One would have expected something as precise and </w:t>
      </w:r>
      <w:r w:rsidR="00E812C3">
        <w:rPr>
          <w:rStyle w:val="Emphasis"/>
          <w:i w:val="0"/>
          <w:sz w:val="24"/>
          <w:szCs w:val="24"/>
        </w:rPr>
        <w:t xml:space="preserve">concise as the other 3 items, </w:t>
      </w:r>
      <w:proofErr w:type="spellStart"/>
      <w:r w:rsidRPr="00E3485A">
        <w:rPr>
          <w:rStyle w:val="Emphasis"/>
          <w:sz w:val="24"/>
          <w:szCs w:val="24"/>
        </w:rPr>
        <w:t>viz</w:t>
      </w:r>
      <w:proofErr w:type="spellEnd"/>
      <w:r w:rsidRPr="00E3485A">
        <w:rPr>
          <w:rStyle w:val="Emphasis"/>
          <w:sz w:val="24"/>
          <w:szCs w:val="24"/>
        </w:rPr>
        <w:t xml:space="preserve"> </w:t>
      </w:r>
      <w:r>
        <w:rPr>
          <w:rStyle w:val="Emphasis"/>
          <w:i w:val="0"/>
          <w:sz w:val="24"/>
          <w:szCs w:val="24"/>
        </w:rPr>
        <w:t xml:space="preserve">service pay, severance pay </w:t>
      </w:r>
      <w:r w:rsidR="00E812C3">
        <w:rPr>
          <w:rStyle w:val="Emphasis"/>
          <w:i w:val="0"/>
          <w:sz w:val="24"/>
          <w:szCs w:val="24"/>
        </w:rPr>
        <w:t>and</w:t>
      </w:r>
      <w:r>
        <w:rPr>
          <w:rStyle w:val="Emphasis"/>
          <w:i w:val="0"/>
          <w:sz w:val="24"/>
          <w:szCs w:val="24"/>
        </w:rPr>
        <w:t xml:space="preserve"> relocation allowance.  One is left wondering whether the Minister endorsed the recommended 6 months as this is still state</w:t>
      </w:r>
      <w:r w:rsidR="00E812C3">
        <w:rPr>
          <w:rStyle w:val="Emphasis"/>
          <w:i w:val="0"/>
          <w:sz w:val="24"/>
          <w:szCs w:val="24"/>
        </w:rPr>
        <w:t>d</w:t>
      </w:r>
      <w:r>
        <w:rPr>
          <w:rStyle w:val="Emphasis"/>
          <w:i w:val="0"/>
          <w:sz w:val="24"/>
          <w:szCs w:val="24"/>
        </w:rPr>
        <w:t xml:space="preserve"> as a recommendation.</w:t>
      </w:r>
    </w:p>
    <w:p w:rsidR="00190DDD" w:rsidRDefault="00190DDD" w:rsidP="00D50EB1">
      <w:pPr>
        <w:spacing w:after="0" w:line="360" w:lineRule="auto"/>
        <w:rPr>
          <w:rStyle w:val="Emphasis"/>
          <w:i w:val="0"/>
          <w:sz w:val="24"/>
          <w:szCs w:val="24"/>
        </w:rPr>
      </w:pPr>
      <w:r>
        <w:rPr>
          <w:rStyle w:val="Emphasis"/>
          <w:i w:val="0"/>
          <w:sz w:val="24"/>
          <w:szCs w:val="24"/>
        </w:rPr>
        <w:tab/>
        <w:t>As already indicated</w:t>
      </w:r>
      <w:r w:rsidR="00E812C3">
        <w:rPr>
          <w:rStyle w:val="Emphasis"/>
          <w:i w:val="0"/>
          <w:sz w:val="24"/>
          <w:szCs w:val="24"/>
        </w:rPr>
        <w:t>,</w:t>
      </w:r>
      <w:r>
        <w:rPr>
          <w:rStyle w:val="Emphasis"/>
          <w:i w:val="0"/>
          <w:sz w:val="24"/>
          <w:szCs w:val="24"/>
        </w:rPr>
        <w:t xml:space="preserve"> the applicant expressed an intention to </w:t>
      </w:r>
      <w:r w:rsidR="00E812C3">
        <w:rPr>
          <w:rStyle w:val="Emphasis"/>
          <w:i w:val="0"/>
          <w:sz w:val="24"/>
          <w:szCs w:val="24"/>
        </w:rPr>
        <w:t>liquidate</w:t>
      </w:r>
      <w:r>
        <w:rPr>
          <w:rStyle w:val="Emphasis"/>
          <w:i w:val="0"/>
          <w:sz w:val="24"/>
          <w:szCs w:val="24"/>
        </w:rPr>
        <w:t xml:space="preserve"> its payroll backlog over a period of about 18 months.  This inclu</w:t>
      </w:r>
      <w:r w:rsidR="00E3485A">
        <w:rPr>
          <w:rStyle w:val="Emphasis"/>
          <w:i w:val="0"/>
          <w:sz w:val="24"/>
          <w:szCs w:val="24"/>
        </w:rPr>
        <w:t xml:space="preserve">ded the </w:t>
      </w:r>
      <w:proofErr w:type="spellStart"/>
      <w:r w:rsidR="00E3485A">
        <w:rPr>
          <w:rStyle w:val="Emphasis"/>
          <w:i w:val="0"/>
          <w:sz w:val="24"/>
          <w:szCs w:val="24"/>
        </w:rPr>
        <w:t>retrenchees</w:t>
      </w:r>
      <w:proofErr w:type="spellEnd"/>
      <w:r w:rsidR="00E3485A">
        <w:rPr>
          <w:rStyle w:val="Emphasis"/>
          <w:i w:val="0"/>
          <w:sz w:val="24"/>
          <w:szCs w:val="24"/>
        </w:rPr>
        <w:t>’ payments.  A</w:t>
      </w:r>
      <w:r>
        <w:rPr>
          <w:rStyle w:val="Emphasis"/>
          <w:i w:val="0"/>
          <w:sz w:val="24"/>
          <w:szCs w:val="24"/>
        </w:rPr>
        <w:t xml:space="preserve"> period of 12 months </w:t>
      </w:r>
      <w:r w:rsidR="00E812C3">
        <w:rPr>
          <w:rStyle w:val="Emphasis"/>
          <w:i w:val="0"/>
          <w:sz w:val="24"/>
          <w:szCs w:val="24"/>
        </w:rPr>
        <w:t>would</w:t>
      </w:r>
      <w:r w:rsidR="00E3485A">
        <w:rPr>
          <w:rStyle w:val="Emphasis"/>
          <w:i w:val="0"/>
          <w:sz w:val="24"/>
          <w:szCs w:val="24"/>
        </w:rPr>
        <w:t>,</w:t>
      </w:r>
      <w:r>
        <w:rPr>
          <w:rStyle w:val="Emphasis"/>
          <w:i w:val="0"/>
          <w:sz w:val="24"/>
          <w:szCs w:val="24"/>
        </w:rPr>
        <w:t xml:space="preserve"> in the circumstances, be </w:t>
      </w:r>
      <w:r w:rsidR="00E812C3">
        <w:rPr>
          <w:rStyle w:val="Emphasis"/>
          <w:i w:val="0"/>
          <w:sz w:val="24"/>
          <w:szCs w:val="24"/>
        </w:rPr>
        <w:t>equitable as it is not too way out of applicant’s debt liquidation strategy.</w:t>
      </w:r>
    </w:p>
    <w:p w:rsidR="00342D01" w:rsidRDefault="00342D01" w:rsidP="00D50EB1">
      <w:pPr>
        <w:spacing w:after="0" w:line="360" w:lineRule="auto"/>
        <w:rPr>
          <w:rStyle w:val="Emphasis"/>
          <w:i w:val="0"/>
          <w:sz w:val="24"/>
          <w:szCs w:val="24"/>
        </w:rPr>
      </w:pPr>
    </w:p>
    <w:p w:rsidR="00190DDD" w:rsidRDefault="00190DDD" w:rsidP="00D50EB1">
      <w:pPr>
        <w:spacing w:after="0" w:line="360" w:lineRule="auto"/>
        <w:rPr>
          <w:rStyle w:val="Emphasis"/>
          <w:i w:val="0"/>
          <w:sz w:val="24"/>
          <w:szCs w:val="24"/>
        </w:rPr>
      </w:pPr>
      <w:r>
        <w:rPr>
          <w:rStyle w:val="Emphasis"/>
          <w:i w:val="0"/>
          <w:sz w:val="24"/>
          <w:szCs w:val="24"/>
        </w:rPr>
        <w:tab/>
        <w:t>In the result, it is ordered that;</w:t>
      </w:r>
    </w:p>
    <w:p w:rsidR="00190DDD" w:rsidRDefault="00190DDD" w:rsidP="00190DDD">
      <w:pPr>
        <w:pStyle w:val="ListParagraph"/>
        <w:numPr>
          <w:ilvl w:val="0"/>
          <w:numId w:val="7"/>
        </w:numPr>
        <w:spacing w:after="0" w:line="360" w:lineRule="auto"/>
        <w:rPr>
          <w:rStyle w:val="Emphasis"/>
          <w:i w:val="0"/>
          <w:sz w:val="24"/>
          <w:szCs w:val="24"/>
        </w:rPr>
      </w:pPr>
      <w:r>
        <w:rPr>
          <w:rStyle w:val="Emphasis"/>
          <w:i w:val="0"/>
          <w:sz w:val="24"/>
          <w:szCs w:val="24"/>
        </w:rPr>
        <w:t>The applica</w:t>
      </w:r>
      <w:r w:rsidR="00E812C3">
        <w:rPr>
          <w:rStyle w:val="Emphasis"/>
          <w:i w:val="0"/>
          <w:sz w:val="24"/>
          <w:szCs w:val="24"/>
        </w:rPr>
        <w:t>tion</w:t>
      </w:r>
      <w:r>
        <w:rPr>
          <w:rStyle w:val="Emphasis"/>
          <w:i w:val="0"/>
          <w:sz w:val="24"/>
          <w:szCs w:val="24"/>
        </w:rPr>
        <w:t xml:space="preserve"> for review be and is hereby dismissed.</w:t>
      </w:r>
    </w:p>
    <w:p w:rsidR="00190DDD" w:rsidRDefault="00190DDD" w:rsidP="00190DDD">
      <w:pPr>
        <w:pStyle w:val="ListParagraph"/>
        <w:numPr>
          <w:ilvl w:val="0"/>
          <w:numId w:val="7"/>
        </w:numPr>
        <w:spacing w:after="0" w:line="360" w:lineRule="auto"/>
        <w:rPr>
          <w:rStyle w:val="Emphasis"/>
          <w:i w:val="0"/>
          <w:sz w:val="24"/>
          <w:szCs w:val="24"/>
        </w:rPr>
      </w:pPr>
      <w:r>
        <w:rPr>
          <w:rStyle w:val="Emphasis"/>
          <w:i w:val="0"/>
          <w:sz w:val="24"/>
          <w:szCs w:val="24"/>
        </w:rPr>
        <w:t xml:space="preserve">The terms and conditions of retrenchment approved by the Minister on 24 August 2015 be and are hereby upheld, save for the period of payment, which is hereby </w:t>
      </w:r>
      <w:r w:rsidR="00E812C3">
        <w:rPr>
          <w:rStyle w:val="Emphasis"/>
          <w:i w:val="0"/>
          <w:sz w:val="24"/>
          <w:szCs w:val="24"/>
        </w:rPr>
        <w:t>varied</w:t>
      </w:r>
      <w:r>
        <w:rPr>
          <w:rStyle w:val="Emphasis"/>
          <w:i w:val="0"/>
          <w:sz w:val="24"/>
          <w:szCs w:val="24"/>
        </w:rPr>
        <w:t xml:space="preserve"> from 6 months to 12 months.</w:t>
      </w:r>
    </w:p>
    <w:p w:rsidR="00190DDD" w:rsidRDefault="00190DDD" w:rsidP="00190DDD">
      <w:pPr>
        <w:pStyle w:val="ListParagraph"/>
        <w:numPr>
          <w:ilvl w:val="0"/>
          <w:numId w:val="7"/>
        </w:numPr>
        <w:spacing w:after="0" w:line="360" w:lineRule="auto"/>
        <w:rPr>
          <w:rStyle w:val="Emphasis"/>
          <w:i w:val="0"/>
          <w:sz w:val="24"/>
          <w:szCs w:val="24"/>
        </w:rPr>
      </w:pPr>
      <w:r>
        <w:rPr>
          <w:rStyle w:val="Emphasis"/>
          <w:i w:val="0"/>
          <w:sz w:val="24"/>
          <w:szCs w:val="24"/>
        </w:rPr>
        <w:t xml:space="preserve">Each party bears </w:t>
      </w:r>
      <w:r w:rsidR="00E812C3">
        <w:rPr>
          <w:rStyle w:val="Emphasis"/>
          <w:i w:val="0"/>
          <w:sz w:val="24"/>
          <w:szCs w:val="24"/>
        </w:rPr>
        <w:t xml:space="preserve">its </w:t>
      </w:r>
      <w:r>
        <w:rPr>
          <w:rStyle w:val="Emphasis"/>
          <w:i w:val="0"/>
          <w:sz w:val="24"/>
          <w:szCs w:val="24"/>
        </w:rPr>
        <w:t>own costs.</w:t>
      </w:r>
    </w:p>
    <w:p w:rsidR="00190DDD" w:rsidRDefault="00190DDD" w:rsidP="00190DDD">
      <w:pPr>
        <w:spacing w:after="0" w:line="360" w:lineRule="auto"/>
        <w:rPr>
          <w:rStyle w:val="Emphasis"/>
          <w:i w:val="0"/>
          <w:sz w:val="24"/>
          <w:szCs w:val="24"/>
        </w:rPr>
      </w:pPr>
    </w:p>
    <w:p w:rsidR="00190DDD" w:rsidRDefault="00190DDD" w:rsidP="00190DDD">
      <w:pPr>
        <w:spacing w:after="0" w:line="360" w:lineRule="auto"/>
        <w:rPr>
          <w:rStyle w:val="Emphasis"/>
          <w:i w:val="0"/>
          <w:sz w:val="24"/>
          <w:szCs w:val="24"/>
        </w:rPr>
      </w:pPr>
    </w:p>
    <w:p w:rsidR="00342D01" w:rsidRDefault="00342D01" w:rsidP="00190DDD">
      <w:pPr>
        <w:spacing w:after="0" w:line="360" w:lineRule="auto"/>
        <w:rPr>
          <w:rStyle w:val="Emphasis"/>
          <w:i w:val="0"/>
          <w:sz w:val="24"/>
          <w:szCs w:val="24"/>
        </w:rPr>
      </w:pPr>
    </w:p>
    <w:p w:rsidR="00190DDD" w:rsidRDefault="00190DDD" w:rsidP="00190DDD">
      <w:pPr>
        <w:spacing w:after="0" w:line="360" w:lineRule="auto"/>
        <w:rPr>
          <w:rStyle w:val="Emphasis"/>
          <w:i w:val="0"/>
        </w:rPr>
      </w:pPr>
      <w:proofErr w:type="spellStart"/>
      <w:r>
        <w:rPr>
          <w:rStyle w:val="Emphasis"/>
        </w:rPr>
        <w:t>Bere</w:t>
      </w:r>
      <w:proofErr w:type="spellEnd"/>
      <w:r>
        <w:rPr>
          <w:rStyle w:val="Emphasis"/>
        </w:rPr>
        <w:t xml:space="preserve"> Brothers, </w:t>
      </w:r>
      <w:r>
        <w:rPr>
          <w:rStyle w:val="Emphasis"/>
          <w:i w:val="0"/>
        </w:rPr>
        <w:t>appellant’s legal practitioners</w:t>
      </w:r>
    </w:p>
    <w:p w:rsidR="00342D01" w:rsidRDefault="00342D01" w:rsidP="00190DDD">
      <w:pPr>
        <w:spacing w:after="0" w:line="360" w:lineRule="auto"/>
        <w:rPr>
          <w:rStyle w:val="Emphasis"/>
          <w:i w:val="0"/>
        </w:rPr>
      </w:pPr>
      <w:r>
        <w:rPr>
          <w:rStyle w:val="Emphasis"/>
        </w:rPr>
        <w:t xml:space="preserve">Civil Division of the Attorney General’s Office, </w:t>
      </w:r>
      <w:r>
        <w:rPr>
          <w:rStyle w:val="Emphasis"/>
          <w:i w:val="0"/>
        </w:rPr>
        <w:t>1</w:t>
      </w:r>
      <w:r w:rsidRPr="00342D01">
        <w:rPr>
          <w:rStyle w:val="Emphasis"/>
          <w:i w:val="0"/>
          <w:vertAlign w:val="superscript"/>
        </w:rPr>
        <w:t>st</w:t>
      </w:r>
      <w:r>
        <w:rPr>
          <w:rStyle w:val="Emphasis"/>
          <w:i w:val="0"/>
        </w:rPr>
        <w:t xml:space="preserve"> respondent’s legal practitioners</w:t>
      </w:r>
    </w:p>
    <w:p w:rsidR="00E812C3" w:rsidRDefault="00342D01" w:rsidP="00AA295E">
      <w:pPr>
        <w:spacing w:after="0" w:line="360" w:lineRule="auto"/>
        <w:rPr>
          <w:rStyle w:val="Emphasis"/>
          <w:i w:val="0"/>
        </w:rPr>
      </w:pPr>
      <w:proofErr w:type="spellStart"/>
      <w:r w:rsidRPr="00342D01">
        <w:rPr>
          <w:rStyle w:val="Emphasis"/>
        </w:rPr>
        <w:t>Chibaya</w:t>
      </w:r>
      <w:proofErr w:type="spellEnd"/>
      <w:r w:rsidRPr="00342D01">
        <w:rPr>
          <w:rStyle w:val="Emphasis"/>
        </w:rPr>
        <w:t xml:space="preserve"> &amp; Partners</w:t>
      </w:r>
      <w:r>
        <w:rPr>
          <w:rStyle w:val="Emphasis"/>
          <w:i w:val="0"/>
        </w:rPr>
        <w:t>, 2</w:t>
      </w:r>
      <w:r w:rsidRPr="00342D01">
        <w:rPr>
          <w:rStyle w:val="Emphasis"/>
          <w:i w:val="0"/>
          <w:vertAlign w:val="superscript"/>
        </w:rPr>
        <w:t>nd</w:t>
      </w:r>
      <w:r>
        <w:rPr>
          <w:rStyle w:val="Emphasis"/>
          <w:i w:val="0"/>
        </w:rPr>
        <w:t xml:space="preserve"> – 52</w:t>
      </w:r>
      <w:r w:rsidRPr="00342D01">
        <w:rPr>
          <w:rStyle w:val="Emphasis"/>
          <w:i w:val="0"/>
          <w:vertAlign w:val="superscript"/>
        </w:rPr>
        <w:t>nd</w:t>
      </w:r>
      <w:r>
        <w:rPr>
          <w:rStyle w:val="Emphasis"/>
          <w:i w:val="0"/>
        </w:rPr>
        <w:t xml:space="preserve"> </w:t>
      </w:r>
      <w:r w:rsidR="00E3485A">
        <w:rPr>
          <w:rStyle w:val="Emphasis"/>
          <w:i w:val="0"/>
        </w:rPr>
        <w:t>respondents’ legal practitioners</w:t>
      </w:r>
      <w:bookmarkStart w:id="0" w:name="_GoBack"/>
      <w:bookmarkEnd w:id="0"/>
    </w:p>
    <w:p w:rsidR="00E812C3" w:rsidRDefault="00E812C3" w:rsidP="00575D51">
      <w:pPr>
        <w:spacing w:after="0" w:line="240" w:lineRule="auto"/>
        <w:ind w:left="1440"/>
        <w:rPr>
          <w:rStyle w:val="Emphasis"/>
          <w:i w:val="0"/>
        </w:rPr>
      </w:pPr>
    </w:p>
    <w:p w:rsidR="00E812C3" w:rsidRDefault="00E812C3" w:rsidP="00575D51">
      <w:pPr>
        <w:spacing w:after="0" w:line="240" w:lineRule="auto"/>
        <w:ind w:left="1440"/>
        <w:rPr>
          <w:rStyle w:val="Emphasis"/>
          <w:i w:val="0"/>
        </w:rPr>
      </w:pPr>
    </w:p>
    <w:p w:rsidR="00E812C3" w:rsidRDefault="00E812C3" w:rsidP="00575D51">
      <w:pPr>
        <w:spacing w:after="0" w:line="240" w:lineRule="auto"/>
        <w:ind w:left="1440"/>
        <w:rPr>
          <w:rStyle w:val="Emphasis"/>
          <w:i w:val="0"/>
        </w:rPr>
      </w:pPr>
    </w:p>
    <w:p w:rsidR="00E812C3" w:rsidRDefault="00E812C3" w:rsidP="00575D51">
      <w:pPr>
        <w:spacing w:after="0" w:line="240" w:lineRule="auto"/>
        <w:ind w:left="1440"/>
        <w:rPr>
          <w:rStyle w:val="Emphasis"/>
          <w:i w:val="0"/>
        </w:rPr>
      </w:pPr>
    </w:p>
    <w:p w:rsidR="00E812C3" w:rsidRDefault="00E812C3" w:rsidP="00575D51">
      <w:pPr>
        <w:spacing w:after="0" w:line="240" w:lineRule="auto"/>
        <w:ind w:left="1440"/>
        <w:rPr>
          <w:rStyle w:val="Emphasis"/>
          <w:i w:val="0"/>
        </w:rPr>
      </w:pPr>
    </w:p>
    <w:p w:rsidR="00E812C3" w:rsidRDefault="00E812C3" w:rsidP="00575D51">
      <w:pPr>
        <w:spacing w:after="0" w:line="240" w:lineRule="auto"/>
        <w:ind w:left="1440"/>
        <w:rPr>
          <w:rStyle w:val="Emphasis"/>
          <w:i w:val="0"/>
        </w:rPr>
      </w:pPr>
    </w:p>
    <w:p w:rsidR="00D50EB1" w:rsidRDefault="00D50EB1" w:rsidP="00575D51">
      <w:pPr>
        <w:spacing w:after="0" w:line="240" w:lineRule="auto"/>
        <w:ind w:left="1440"/>
        <w:rPr>
          <w:rStyle w:val="Emphasis"/>
          <w:i w:val="0"/>
        </w:rPr>
      </w:pPr>
    </w:p>
    <w:p w:rsidR="00D50EB1" w:rsidRDefault="00D50EB1" w:rsidP="00575D51">
      <w:pPr>
        <w:spacing w:after="0" w:line="240" w:lineRule="auto"/>
        <w:ind w:left="1440"/>
        <w:rPr>
          <w:rStyle w:val="Emphasis"/>
          <w:i w:val="0"/>
        </w:rPr>
      </w:pPr>
    </w:p>
    <w:p w:rsidR="00D50EB1" w:rsidRDefault="00D50EB1" w:rsidP="00575D51">
      <w:pPr>
        <w:spacing w:after="0" w:line="240" w:lineRule="auto"/>
        <w:ind w:left="1440"/>
        <w:rPr>
          <w:rStyle w:val="Emphasis"/>
          <w:i w:val="0"/>
        </w:rPr>
      </w:pPr>
    </w:p>
    <w:sectPr w:rsidR="00D50EB1" w:rsidSect="009C1F3E">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8F" w:rsidRDefault="0039148F" w:rsidP="009C1F3E">
      <w:pPr>
        <w:spacing w:after="0" w:line="240" w:lineRule="auto"/>
      </w:pPr>
      <w:r>
        <w:separator/>
      </w:r>
    </w:p>
  </w:endnote>
  <w:endnote w:type="continuationSeparator" w:id="0">
    <w:p w:rsidR="0039148F" w:rsidRDefault="0039148F" w:rsidP="009C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164307"/>
      <w:docPartObj>
        <w:docPartGallery w:val="Page Numbers (Bottom of Page)"/>
        <w:docPartUnique/>
      </w:docPartObj>
    </w:sdtPr>
    <w:sdtEndPr>
      <w:rPr>
        <w:noProof/>
      </w:rPr>
    </w:sdtEndPr>
    <w:sdtContent>
      <w:p w:rsidR="00616CEE" w:rsidRDefault="00616CEE">
        <w:pPr>
          <w:pStyle w:val="Footer"/>
          <w:jc w:val="right"/>
        </w:pPr>
        <w:r>
          <w:fldChar w:fldCharType="begin"/>
        </w:r>
        <w:r>
          <w:instrText xml:space="preserve"> PAGE   \* MERGEFORMAT </w:instrText>
        </w:r>
        <w:r>
          <w:fldChar w:fldCharType="separate"/>
        </w:r>
        <w:r w:rsidR="00AA295E">
          <w:rPr>
            <w:noProof/>
          </w:rPr>
          <w:t>6</w:t>
        </w:r>
        <w:r>
          <w:rPr>
            <w:noProof/>
          </w:rPr>
          <w:fldChar w:fldCharType="end"/>
        </w:r>
      </w:p>
    </w:sdtContent>
  </w:sdt>
  <w:p w:rsidR="00616CEE" w:rsidRDefault="00616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8F" w:rsidRDefault="0039148F" w:rsidP="009C1F3E">
      <w:pPr>
        <w:spacing w:after="0" w:line="240" w:lineRule="auto"/>
      </w:pPr>
      <w:r>
        <w:separator/>
      </w:r>
    </w:p>
  </w:footnote>
  <w:footnote w:type="continuationSeparator" w:id="0">
    <w:p w:rsidR="0039148F" w:rsidRDefault="0039148F" w:rsidP="009C1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CEE" w:rsidRDefault="00616CEE" w:rsidP="009C1F3E">
    <w:pPr>
      <w:ind w:left="5040" w:firstLine="720"/>
      <w:rPr>
        <w:b/>
        <w:sz w:val="24"/>
        <w:szCs w:val="24"/>
      </w:rPr>
    </w:pPr>
    <w:r>
      <w:rPr>
        <w:b/>
        <w:sz w:val="24"/>
        <w:szCs w:val="24"/>
      </w:rPr>
      <w:t>JUDGMENT NO LC/H/</w:t>
    </w:r>
    <w:r w:rsidR="00BA0B63">
      <w:rPr>
        <w:b/>
        <w:sz w:val="24"/>
        <w:szCs w:val="24"/>
      </w:rPr>
      <w:t>435</w:t>
    </w:r>
    <w:r>
      <w:rPr>
        <w:b/>
        <w:sz w:val="24"/>
        <w:szCs w:val="24"/>
      </w:rPr>
      <w:t>/16</w:t>
    </w:r>
  </w:p>
  <w:p w:rsidR="00616CEE" w:rsidRDefault="00616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F61"/>
    <w:multiLevelType w:val="multilevel"/>
    <w:tmpl w:val="2C1A29B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nsid w:val="2CC52F3F"/>
    <w:multiLevelType w:val="multilevel"/>
    <w:tmpl w:val="90688DC4"/>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
    <w:nsid w:val="2F686A9B"/>
    <w:multiLevelType w:val="hybridMultilevel"/>
    <w:tmpl w:val="1640EB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AFA502C"/>
    <w:multiLevelType w:val="multilevel"/>
    <w:tmpl w:val="2C1A29B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4AC81796"/>
    <w:multiLevelType w:val="hybridMultilevel"/>
    <w:tmpl w:val="0C7442E0"/>
    <w:lvl w:ilvl="0" w:tplc="B7BADB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E7E588C"/>
    <w:multiLevelType w:val="multilevel"/>
    <w:tmpl w:val="610CA47C"/>
    <w:lvl w:ilvl="0">
      <w:start w:val="1"/>
      <w:numFmt w:val="decimal"/>
      <w:lvlText w:val="%1"/>
      <w:lvlJc w:val="left"/>
      <w:pPr>
        <w:ind w:left="435" w:hanging="435"/>
      </w:pPr>
      <w:rPr>
        <w:rFonts w:hint="default"/>
      </w:rPr>
    </w:lvl>
    <w:lvl w:ilvl="1">
      <w:start w:val="2"/>
      <w:numFmt w:val="decimal"/>
      <w:lvlText w:val="%1.%2"/>
      <w:lvlJc w:val="left"/>
      <w:pPr>
        <w:ind w:left="1875" w:hanging="435"/>
      </w:pPr>
      <w:rPr>
        <w:rFonts w:hint="default"/>
      </w:rPr>
    </w:lvl>
    <w:lvl w:ilvl="2">
      <w:start w:val="2"/>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
    <w:nsid w:val="79394458"/>
    <w:multiLevelType w:val="hybridMultilevel"/>
    <w:tmpl w:val="967C80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44"/>
    <w:rsid w:val="00001A01"/>
    <w:rsid w:val="00006F4C"/>
    <w:rsid w:val="000E4ED3"/>
    <w:rsid w:val="00126C66"/>
    <w:rsid w:val="00153121"/>
    <w:rsid w:val="00190DDD"/>
    <w:rsid w:val="0019718B"/>
    <w:rsid w:val="001A245F"/>
    <w:rsid w:val="002B7BE5"/>
    <w:rsid w:val="00306E08"/>
    <w:rsid w:val="00342D01"/>
    <w:rsid w:val="00376BEC"/>
    <w:rsid w:val="0038245F"/>
    <w:rsid w:val="003868D7"/>
    <w:rsid w:val="0039148F"/>
    <w:rsid w:val="003E27AD"/>
    <w:rsid w:val="005049B6"/>
    <w:rsid w:val="005306FA"/>
    <w:rsid w:val="00575D51"/>
    <w:rsid w:val="005E0B9E"/>
    <w:rsid w:val="00616CEE"/>
    <w:rsid w:val="006C1644"/>
    <w:rsid w:val="006F59C0"/>
    <w:rsid w:val="00753D3F"/>
    <w:rsid w:val="00773C45"/>
    <w:rsid w:val="007A760F"/>
    <w:rsid w:val="007E5CEE"/>
    <w:rsid w:val="008370DA"/>
    <w:rsid w:val="008428DE"/>
    <w:rsid w:val="00875A8C"/>
    <w:rsid w:val="00942512"/>
    <w:rsid w:val="00960858"/>
    <w:rsid w:val="00971371"/>
    <w:rsid w:val="009772B1"/>
    <w:rsid w:val="00985813"/>
    <w:rsid w:val="009C00AD"/>
    <w:rsid w:val="009C1F3E"/>
    <w:rsid w:val="009C6510"/>
    <w:rsid w:val="009D5773"/>
    <w:rsid w:val="009E05F2"/>
    <w:rsid w:val="009F55AA"/>
    <w:rsid w:val="00A03752"/>
    <w:rsid w:val="00A167DD"/>
    <w:rsid w:val="00A54D71"/>
    <w:rsid w:val="00A61843"/>
    <w:rsid w:val="00AA295E"/>
    <w:rsid w:val="00AA6938"/>
    <w:rsid w:val="00AE3A1A"/>
    <w:rsid w:val="00B01050"/>
    <w:rsid w:val="00BA0B63"/>
    <w:rsid w:val="00BE640D"/>
    <w:rsid w:val="00C622BD"/>
    <w:rsid w:val="00C63E9F"/>
    <w:rsid w:val="00CC4CCA"/>
    <w:rsid w:val="00CE1B6F"/>
    <w:rsid w:val="00CF76C9"/>
    <w:rsid w:val="00D50EB1"/>
    <w:rsid w:val="00D76F90"/>
    <w:rsid w:val="00D811CC"/>
    <w:rsid w:val="00DD3E30"/>
    <w:rsid w:val="00E132E4"/>
    <w:rsid w:val="00E3485A"/>
    <w:rsid w:val="00E812C3"/>
    <w:rsid w:val="00E87326"/>
    <w:rsid w:val="00EA33B8"/>
    <w:rsid w:val="00EE2675"/>
    <w:rsid w:val="00FB59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1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F3E"/>
  </w:style>
  <w:style w:type="paragraph" w:styleId="Footer">
    <w:name w:val="footer"/>
    <w:basedOn w:val="Normal"/>
    <w:link w:val="FooterChar"/>
    <w:uiPriority w:val="99"/>
    <w:unhideWhenUsed/>
    <w:rsid w:val="009C1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F3E"/>
  </w:style>
  <w:style w:type="paragraph" w:styleId="ListParagraph">
    <w:name w:val="List Paragraph"/>
    <w:basedOn w:val="Normal"/>
    <w:uiPriority w:val="34"/>
    <w:qFormat/>
    <w:rsid w:val="00985813"/>
    <w:pPr>
      <w:ind w:left="720"/>
      <w:contextualSpacing/>
    </w:pPr>
  </w:style>
  <w:style w:type="character" w:styleId="Emphasis">
    <w:name w:val="Emphasis"/>
    <w:basedOn w:val="DefaultParagraphFont"/>
    <w:uiPriority w:val="20"/>
    <w:qFormat/>
    <w:rsid w:val="00753D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1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F3E"/>
  </w:style>
  <w:style w:type="paragraph" w:styleId="Footer">
    <w:name w:val="footer"/>
    <w:basedOn w:val="Normal"/>
    <w:link w:val="FooterChar"/>
    <w:uiPriority w:val="99"/>
    <w:unhideWhenUsed/>
    <w:rsid w:val="009C1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F3E"/>
  </w:style>
  <w:style w:type="paragraph" w:styleId="ListParagraph">
    <w:name w:val="List Paragraph"/>
    <w:basedOn w:val="Normal"/>
    <w:uiPriority w:val="34"/>
    <w:qFormat/>
    <w:rsid w:val="00985813"/>
    <w:pPr>
      <w:ind w:left="720"/>
      <w:contextualSpacing/>
    </w:pPr>
  </w:style>
  <w:style w:type="character" w:styleId="Emphasis">
    <w:name w:val="Emphasis"/>
    <w:basedOn w:val="DefaultParagraphFont"/>
    <w:uiPriority w:val="20"/>
    <w:qFormat/>
    <w:rsid w:val="00753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A8C68-3DFE-496B-9527-17DE9699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7</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2016-07-13T07:48:00Z</cp:lastPrinted>
  <dcterms:created xsi:type="dcterms:W3CDTF">2016-06-06T10:03:00Z</dcterms:created>
  <dcterms:modified xsi:type="dcterms:W3CDTF">2016-07-18T13:13:00Z</dcterms:modified>
</cp:coreProperties>
</file>