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61B" w:rsidRDefault="003A2C53" w:rsidP="003A2C53">
      <w:p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W &amp; E SILKS (PVT) LTD</w:t>
      </w:r>
    </w:p>
    <w:p w:rsidR="003A2C53" w:rsidRDefault="003A2C53" w:rsidP="003A2C53">
      <w:pPr>
        <w:spacing w:after="0"/>
        <w:rPr>
          <w:rFonts w:ascii="Times New Roman" w:hAnsi="Times New Roman" w:cs="Times New Roman"/>
          <w:sz w:val="24"/>
          <w:szCs w:val="24"/>
        </w:rPr>
      </w:pPr>
      <w:r>
        <w:rPr>
          <w:rFonts w:ascii="Times New Roman" w:hAnsi="Times New Roman" w:cs="Times New Roman"/>
          <w:sz w:val="24"/>
          <w:szCs w:val="24"/>
        </w:rPr>
        <w:t>versus</w:t>
      </w:r>
    </w:p>
    <w:p w:rsidR="003A2C53" w:rsidRDefault="003A2C53" w:rsidP="003A2C53">
      <w:pPr>
        <w:spacing w:after="0"/>
        <w:rPr>
          <w:rFonts w:ascii="Times New Roman" w:hAnsi="Times New Roman" w:cs="Times New Roman"/>
          <w:sz w:val="24"/>
          <w:szCs w:val="24"/>
        </w:rPr>
      </w:pPr>
      <w:r>
        <w:rPr>
          <w:rFonts w:ascii="Times New Roman" w:hAnsi="Times New Roman" w:cs="Times New Roman"/>
          <w:sz w:val="24"/>
          <w:szCs w:val="24"/>
        </w:rPr>
        <w:t>FYNATEX DISTRIBUTORS (PVT) LTD</w:t>
      </w:r>
    </w:p>
    <w:p w:rsidR="0056069C" w:rsidRDefault="0056069C">
      <w:pPr>
        <w:rPr>
          <w:rFonts w:ascii="Times New Roman" w:hAnsi="Times New Roman" w:cs="Times New Roman"/>
          <w:sz w:val="24"/>
          <w:szCs w:val="24"/>
        </w:rPr>
      </w:pPr>
    </w:p>
    <w:p w:rsidR="0056069C" w:rsidRDefault="0056069C" w:rsidP="003A2C53">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56069C" w:rsidRDefault="00767525" w:rsidP="003A2C53">
      <w:pPr>
        <w:spacing w:after="0"/>
        <w:rPr>
          <w:rFonts w:ascii="Times New Roman" w:hAnsi="Times New Roman" w:cs="Times New Roman"/>
          <w:sz w:val="24"/>
          <w:szCs w:val="24"/>
        </w:rPr>
      </w:pPr>
      <w:r>
        <w:rPr>
          <w:rFonts w:ascii="Times New Roman" w:hAnsi="Times New Roman" w:cs="Times New Roman"/>
          <w:sz w:val="24"/>
          <w:szCs w:val="24"/>
        </w:rPr>
        <w:t>CHITAPI AND CHIRAWU-MUGOMBAJJ</w:t>
      </w:r>
    </w:p>
    <w:p w:rsidR="0056069C" w:rsidRDefault="0056069C" w:rsidP="003A2C53">
      <w:pPr>
        <w:spacing w:after="0"/>
        <w:rPr>
          <w:rFonts w:ascii="Times New Roman" w:hAnsi="Times New Roman" w:cs="Times New Roman"/>
          <w:sz w:val="24"/>
          <w:szCs w:val="24"/>
        </w:rPr>
      </w:pPr>
      <w:r>
        <w:rPr>
          <w:rFonts w:ascii="Times New Roman" w:hAnsi="Times New Roman" w:cs="Times New Roman"/>
          <w:sz w:val="24"/>
          <w:szCs w:val="24"/>
        </w:rPr>
        <w:t xml:space="preserve">HARARE, 16 July 2020 and </w:t>
      </w:r>
      <w:r w:rsidR="00E03973">
        <w:rPr>
          <w:rFonts w:ascii="Times New Roman" w:hAnsi="Times New Roman" w:cs="Times New Roman"/>
          <w:sz w:val="24"/>
          <w:szCs w:val="24"/>
        </w:rPr>
        <w:t xml:space="preserve">29 </w:t>
      </w:r>
      <w:r>
        <w:rPr>
          <w:rFonts w:ascii="Times New Roman" w:hAnsi="Times New Roman" w:cs="Times New Roman"/>
          <w:sz w:val="24"/>
          <w:szCs w:val="24"/>
        </w:rPr>
        <w:t>September 2021</w:t>
      </w:r>
    </w:p>
    <w:p w:rsidR="0056069C" w:rsidRDefault="0056069C">
      <w:pPr>
        <w:rPr>
          <w:rFonts w:ascii="Times New Roman" w:hAnsi="Times New Roman" w:cs="Times New Roman"/>
          <w:sz w:val="24"/>
          <w:szCs w:val="24"/>
        </w:rPr>
      </w:pPr>
    </w:p>
    <w:p w:rsidR="0056069C" w:rsidRPr="003A2C53" w:rsidRDefault="0056069C">
      <w:pPr>
        <w:rPr>
          <w:rFonts w:ascii="Times New Roman" w:hAnsi="Times New Roman" w:cs="Times New Roman"/>
          <w:b/>
          <w:sz w:val="24"/>
          <w:szCs w:val="24"/>
        </w:rPr>
      </w:pPr>
      <w:r w:rsidRPr="003A2C53">
        <w:rPr>
          <w:rFonts w:ascii="Times New Roman" w:hAnsi="Times New Roman" w:cs="Times New Roman"/>
          <w:b/>
          <w:sz w:val="24"/>
          <w:szCs w:val="24"/>
        </w:rPr>
        <w:t>Civil Appeal</w:t>
      </w:r>
    </w:p>
    <w:p w:rsidR="003A2C53" w:rsidRDefault="003A2C53" w:rsidP="003A2C53">
      <w:pPr>
        <w:spacing w:after="0"/>
        <w:rPr>
          <w:rFonts w:ascii="Times New Roman" w:hAnsi="Times New Roman" w:cs="Times New Roman"/>
          <w:sz w:val="24"/>
          <w:szCs w:val="24"/>
        </w:rPr>
      </w:pPr>
    </w:p>
    <w:p w:rsidR="0056069C" w:rsidRDefault="0056069C" w:rsidP="003A2C53">
      <w:pPr>
        <w:spacing w:after="0" w:line="240" w:lineRule="auto"/>
        <w:rPr>
          <w:rFonts w:ascii="Times New Roman" w:hAnsi="Times New Roman" w:cs="Times New Roman"/>
          <w:sz w:val="24"/>
          <w:szCs w:val="24"/>
        </w:rPr>
      </w:pPr>
      <w:r w:rsidRPr="00F80430">
        <w:rPr>
          <w:rFonts w:ascii="Times New Roman" w:hAnsi="Times New Roman" w:cs="Times New Roman"/>
          <w:i/>
          <w:sz w:val="24"/>
          <w:szCs w:val="24"/>
        </w:rPr>
        <w:t>V Tivadar</w:t>
      </w:r>
      <w:r w:rsidR="00003ACE">
        <w:rPr>
          <w:rFonts w:ascii="Times New Roman" w:hAnsi="Times New Roman" w:cs="Times New Roman"/>
          <w:sz w:val="24"/>
          <w:szCs w:val="24"/>
        </w:rPr>
        <w:t xml:space="preserve">, </w:t>
      </w:r>
      <w:r>
        <w:rPr>
          <w:rFonts w:ascii="Times New Roman" w:hAnsi="Times New Roman" w:cs="Times New Roman"/>
          <w:sz w:val="24"/>
          <w:szCs w:val="24"/>
        </w:rPr>
        <w:t>for the applicant</w:t>
      </w:r>
    </w:p>
    <w:p w:rsidR="0056069C" w:rsidRDefault="0056069C" w:rsidP="003A2C53">
      <w:pPr>
        <w:spacing w:after="0"/>
        <w:rPr>
          <w:rFonts w:ascii="Times New Roman" w:hAnsi="Times New Roman" w:cs="Times New Roman"/>
          <w:sz w:val="24"/>
          <w:szCs w:val="24"/>
        </w:rPr>
      </w:pPr>
      <w:r w:rsidRPr="00F80430">
        <w:rPr>
          <w:rFonts w:ascii="Times New Roman" w:hAnsi="Times New Roman" w:cs="Times New Roman"/>
          <w:i/>
          <w:sz w:val="24"/>
          <w:szCs w:val="24"/>
        </w:rPr>
        <w:t>T S Mujungwa</w:t>
      </w:r>
      <w:r w:rsidR="00003ACE">
        <w:rPr>
          <w:rFonts w:ascii="Times New Roman" w:hAnsi="Times New Roman" w:cs="Times New Roman"/>
          <w:sz w:val="24"/>
          <w:szCs w:val="24"/>
        </w:rPr>
        <w:t xml:space="preserve">, </w:t>
      </w:r>
      <w:r>
        <w:rPr>
          <w:rFonts w:ascii="Times New Roman" w:hAnsi="Times New Roman" w:cs="Times New Roman"/>
          <w:sz w:val="24"/>
          <w:szCs w:val="24"/>
        </w:rPr>
        <w:t>for the respondent</w:t>
      </w:r>
    </w:p>
    <w:p w:rsidR="0056069C" w:rsidRDefault="0056069C" w:rsidP="0056069C">
      <w:pPr>
        <w:spacing w:line="360" w:lineRule="auto"/>
        <w:rPr>
          <w:rFonts w:ascii="Times New Roman" w:hAnsi="Times New Roman" w:cs="Times New Roman"/>
          <w:sz w:val="24"/>
          <w:szCs w:val="24"/>
        </w:rPr>
      </w:pPr>
    </w:p>
    <w:p w:rsidR="00F80430" w:rsidRDefault="0056069C" w:rsidP="00F80430">
      <w:pPr>
        <w:spacing w:line="360" w:lineRule="auto"/>
        <w:jc w:val="both"/>
        <w:rPr>
          <w:rFonts w:ascii="Times New Roman" w:hAnsi="Times New Roman" w:cs="Times New Roman"/>
          <w:sz w:val="24"/>
          <w:szCs w:val="24"/>
        </w:rPr>
      </w:pPr>
      <w:r>
        <w:rPr>
          <w:rFonts w:ascii="Times New Roman" w:hAnsi="Times New Roman" w:cs="Times New Roman"/>
          <w:sz w:val="24"/>
          <w:szCs w:val="24"/>
        </w:rPr>
        <w:tab/>
        <w:t>CHITAPI J:</w:t>
      </w:r>
      <w:r>
        <w:rPr>
          <w:rFonts w:ascii="Times New Roman" w:hAnsi="Times New Roman" w:cs="Times New Roman"/>
          <w:sz w:val="24"/>
          <w:szCs w:val="24"/>
        </w:rPr>
        <w:tab/>
        <w:t>The appellant and the respondent were landlord and tenant by virtue of a written lease agreement over a fixed property called stand 7449A (also called Shop No. 1, 32 Julius Nyerere Way, Harare.  The lease agreemen</w:t>
      </w:r>
      <w:r w:rsidR="002F77B7">
        <w:rPr>
          <w:rFonts w:ascii="Times New Roman" w:hAnsi="Times New Roman" w:cs="Times New Roman"/>
          <w:sz w:val="24"/>
          <w:szCs w:val="24"/>
        </w:rPr>
        <w:t>t was executed on 17 January 20</w:t>
      </w:r>
      <w:r>
        <w:rPr>
          <w:rFonts w:ascii="Times New Roman" w:hAnsi="Times New Roman" w:cs="Times New Roman"/>
          <w:sz w:val="24"/>
          <w:szCs w:val="24"/>
        </w:rPr>
        <w:t xml:space="preserve">18.  The agreement was due to terminate on 31 March 2018.  The appellant instituted proceedings against the respondent in the court </w:t>
      </w:r>
      <w:r w:rsidRPr="003615A6">
        <w:rPr>
          <w:rFonts w:ascii="Times New Roman" w:hAnsi="Times New Roman" w:cs="Times New Roman"/>
          <w:i/>
          <w:sz w:val="24"/>
          <w:szCs w:val="24"/>
        </w:rPr>
        <w:t>a quo</w:t>
      </w:r>
      <w:r>
        <w:rPr>
          <w:rFonts w:ascii="Times New Roman" w:hAnsi="Times New Roman" w:cs="Times New Roman"/>
          <w:sz w:val="24"/>
          <w:szCs w:val="24"/>
        </w:rPr>
        <w:t xml:space="preserve"> in which it prayed for an order to confirm the termination of the lease agreement, ejectment of the respondent from the leased premises and costs of suit.  The appellant based its case for the relief sought on the grounds that the agreed agreement had expired by the effluxion of time thus </w:t>
      </w:r>
      <w:r w:rsidR="00F80430">
        <w:rPr>
          <w:rFonts w:ascii="Times New Roman" w:hAnsi="Times New Roman" w:cs="Times New Roman"/>
          <w:sz w:val="24"/>
          <w:szCs w:val="24"/>
        </w:rPr>
        <w:t xml:space="preserve">ending the rights of the respondent to </w:t>
      </w:r>
      <w:r w:rsidR="00767525">
        <w:rPr>
          <w:rFonts w:ascii="Times New Roman" w:hAnsi="Times New Roman" w:cs="Times New Roman"/>
          <w:sz w:val="24"/>
          <w:szCs w:val="24"/>
        </w:rPr>
        <w:t xml:space="preserve">its </w:t>
      </w:r>
      <w:r w:rsidR="00F80430">
        <w:rPr>
          <w:rFonts w:ascii="Times New Roman" w:hAnsi="Times New Roman" w:cs="Times New Roman"/>
          <w:sz w:val="24"/>
          <w:szCs w:val="24"/>
        </w:rPr>
        <w:t>continued occupancy of the property.  Additionally the appellant pleaded that it required vacant possession of the property in order to carry out substantial renovations thereon.</w:t>
      </w:r>
    </w:p>
    <w:p w:rsidR="00F80430" w:rsidRDefault="00F80430" w:rsidP="00F80430">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respondent in its plea resisted the appellant’s claim on the grounds that the respondent had upon the expiry of the period of the lease agreement, remained in occupation of the property.  It pleaded that, it had by virtue of its continued</w:t>
      </w:r>
      <w:r w:rsidR="00767525">
        <w:rPr>
          <w:rFonts w:ascii="Times New Roman" w:hAnsi="Times New Roman" w:cs="Times New Roman"/>
          <w:sz w:val="24"/>
          <w:szCs w:val="24"/>
        </w:rPr>
        <w:t xml:space="preserve"> occupation of the property beco</w:t>
      </w:r>
      <w:r>
        <w:rPr>
          <w:rFonts w:ascii="Times New Roman" w:hAnsi="Times New Roman" w:cs="Times New Roman"/>
          <w:sz w:val="24"/>
          <w:szCs w:val="24"/>
        </w:rPr>
        <w:t>me a statutory tenant as contemplated by the Commercial Premises (Rent) Regulations, S.I. 676/1983.  In consequence of its assumed status of a statutory tenant, the respondent pleaded that is was protected from eviction by virtue of the regulations.  The respondent further denied that the applicant intended to carry out renovations and averred that the proposed renovations were a ploy to justify the otherwise undeserved eviction of the respondent.</w:t>
      </w:r>
    </w:p>
    <w:p w:rsidR="00F56899" w:rsidRDefault="00767525" w:rsidP="00F80430">
      <w:pPr>
        <w:spacing w:line="360" w:lineRule="auto"/>
        <w:jc w:val="both"/>
        <w:rPr>
          <w:rFonts w:ascii="Times New Roman" w:hAnsi="Times New Roman" w:cs="Times New Roman"/>
          <w:sz w:val="24"/>
          <w:szCs w:val="24"/>
        </w:rPr>
      </w:pPr>
      <w:r>
        <w:rPr>
          <w:rFonts w:ascii="Times New Roman" w:hAnsi="Times New Roman" w:cs="Times New Roman"/>
          <w:sz w:val="24"/>
          <w:szCs w:val="24"/>
        </w:rPr>
        <w:tab/>
        <w:t>When the matter was heard i</w:t>
      </w:r>
      <w:r w:rsidR="00F80430">
        <w:rPr>
          <w:rFonts w:ascii="Times New Roman" w:hAnsi="Times New Roman" w:cs="Times New Roman"/>
          <w:sz w:val="24"/>
          <w:szCs w:val="24"/>
        </w:rPr>
        <w:t xml:space="preserve">n the court </w:t>
      </w:r>
      <w:r w:rsidR="00F80430" w:rsidRPr="00767525">
        <w:rPr>
          <w:rFonts w:ascii="Times New Roman" w:hAnsi="Times New Roman" w:cs="Times New Roman"/>
          <w:i/>
          <w:sz w:val="24"/>
          <w:szCs w:val="24"/>
        </w:rPr>
        <w:t>a quo</w:t>
      </w:r>
      <w:r w:rsidR="00F80430">
        <w:rPr>
          <w:rFonts w:ascii="Times New Roman" w:hAnsi="Times New Roman" w:cs="Times New Roman"/>
          <w:sz w:val="24"/>
          <w:szCs w:val="24"/>
        </w:rPr>
        <w:t xml:space="preserve">, the learned magistrate dismissed the appellant’s case.  He reasoned that the respondent enjoyed protection from eviction as a </w:t>
      </w:r>
      <w:r w:rsidR="00F80430">
        <w:rPr>
          <w:rFonts w:ascii="Times New Roman" w:hAnsi="Times New Roman" w:cs="Times New Roman"/>
          <w:sz w:val="24"/>
          <w:szCs w:val="24"/>
        </w:rPr>
        <w:lastRenderedPageBreak/>
        <w:t>statutory tenant.  The learned magistrate also determined that the app</w:t>
      </w:r>
      <w:r w:rsidR="00F56899">
        <w:rPr>
          <w:rFonts w:ascii="Times New Roman" w:hAnsi="Times New Roman" w:cs="Times New Roman"/>
          <w:sz w:val="24"/>
          <w:szCs w:val="24"/>
        </w:rPr>
        <w:t>ellant’s claim that it required the property for renovations was no</w:t>
      </w:r>
      <w:r>
        <w:rPr>
          <w:rFonts w:ascii="Times New Roman" w:hAnsi="Times New Roman" w:cs="Times New Roman"/>
          <w:sz w:val="24"/>
          <w:szCs w:val="24"/>
        </w:rPr>
        <w:t>t</w:t>
      </w:r>
      <w:r w:rsidR="00F56899">
        <w:rPr>
          <w:rFonts w:ascii="Times New Roman" w:hAnsi="Times New Roman" w:cs="Times New Roman"/>
          <w:sz w:val="24"/>
          <w:szCs w:val="24"/>
        </w:rPr>
        <w:t xml:space="preserve"> </w:t>
      </w:r>
      <w:r w:rsidR="00F56899" w:rsidRPr="00767525">
        <w:rPr>
          <w:rFonts w:ascii="Times New Roman" w:hAnsi="Times New Roman" w:cs="Times New Roman"/>
          <w:i/>
          <w:sz w:val="24"/>
          <w:szCs w:val="24"/>
        </w:rPr>
        <w:t>bona fide</w:t>
      </w:r>
      <w:r w:rsidR="00F56899">
        <w:rPr>
          <w:rFonts w:ascii="Times New Roman" w:hAnsi="Times New Roman" w:cs="Times New Roman"/>
          <w:sz w:val="24"/>
          <w:szCs w:val="24"/>
        </w:rPr>
        <w:t>.  It is against the dismissal of its claim as outlined above that the appellant, being dissatisfied with the judgment of the learned magistrate, file this appeal.</w:t>
      </w:r>
    </w:p>
    <w:p w:rsidR="00F56899" w:rsidRDefault="00F56899" w:rsidP="00F80430">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appellant’s grounds of appeal were couched as follows:</w:t>
      </w:r>
    </w:p>
    <w:p w:rsidR="00F56899" w:rsidRDefault="00F56899" w:rsidP="00F5689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 xml:space="preserve">The court </w:t>
      </w:r>
      <w:r w:rsidRPr="00F56899">
        <w:rPr>
          <w:rFonts w:ascii="Times New Roman" w:hAnsi="Times New Roman" w:cs="Times New Roman"/>
          <w:i/>
          <w:sz w:val="24"/>
          <w:szCs w:val="24"/>
        </w:rPr>
        <w:t>a quo</w:t>
      </w:r>
      <w:r>
        <w:rPr>
          <w:rFonts w:ascii="Times New Roman" w:hAnsi="Times New Roman" w:cs="Times New Roman"/>
          <w:sz w:val="24"/>
          <w:szCs w:val="24"/>
        </w:rPr>
        <w:t xml:space="preserve"> erred and misdirect itself at law in finding that the respondent is in occupation of the appellant’s premises legally as a statutory tenant, notwithstanding the clear evidence and admission by the respondent that it had failed to pay its rentals within seven days of due date.</w:t>
      </w:r>
    </w:p>
    <w:p w:rsidR="00774FEF" w:rsidRDefault="00F56899" w:rsidP="00F5689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 xml:space="preserve">The court </w:t>
      </w:r>
      <w:r w:rsidRPr="004A3188">
        <w:rPr>
          <w:rFonts w:ascii="Times New Roman" w:hAnsi="Times New Roman" w:cs="Times New Roman"/>
          <w:i/>
          <w:sz w:val="24"/>
          <w:szCs w:val="24"/>
        </w:rPr>
        <w:t>a quo</w:t>
      </w:r>
      <w:r>
        <w:rPr>
          <w:rFonts w:ascii="Times New Roman" w:hAnsi="Times New Roman" w:cs="Times New Roman"/>
          <w:sz w:val="24"/>
          <w:szCs w:val="24"/>
        </w:rPr>
        <w:t xml:space="preserve"> erred and misdirected itself in finding that the appellant had not established good and sufficient grounds for evicting the respondent when the appellant had produced clear and extensive evidence of its genuine intention to effect renovations and to use the premises for its own business use,</w:t>
      </w:r>
      <w:r w:rsidR="0056069C">
        <w:rPr>
          <w:rFonts w:ascii="Times New Roman" w:hAnsi="Times New Roman" w:cs="Times New Roman"/>
          <w:sz w:val="24"/>
          <w:szCs w:val="24"/>
        </w:rPr>
        <w:tab/>
      </w:r>
    </w:p>
    <w:p w:rsidR="0056069C" w:rsidRDefault="00774FEF" w:rsidP="00F5689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3. </w:t>
      </w:r>
      <w:r>
        <w:rPr>
          <w:rFonts w:ascii="Times New Roman" w:hAnsi="Times New Roman" w:cs="Times New Roman"/>
          <w:sz w:val="24"/>
          <w:szCs w:val="24"/>
        </w:rPr>
        <w:tab/>
        <w:t xml:space="preserve">The court </w:t>
      </w:r>
      <w:r w:rsidRPr="003615A6">
        <w:rPr>
          <w:rFonts w:ascii="Times New Roman" w:hAnsi="Times New Roman" w:cs="Times New Roman"/>
          <w:i/>
          <w:sz w:val="24"/>
          <w:szCs w:val="24"/>
        </w:rPr>
        <w:t>a quo</w:t>
      </w:r>
      <w:r>
        <w:rPr>
          <w:rFonts w:ascii="Times New Roman" w:hAnsi="Times New Roman" w:cs="Times New Roman"/>
          <w:sz w:val="24"/>
          <w:szCs w:val="24"/>
        </w:rPr>
        <w:t xml:space="preserve"> erred </w:t>
      </w:r>
      <w:r w:rsidR="0056069C">
        <w:rPr>
          <w:rFonts w:ascii="Times New Roman" w:hAnsi="Times New Roman" w:cs="Times New Roman"/>
          <w:sz w:val="24"/>
          <w:szCs w:val="24"/>
        </w:rPr>
        <w:tab/>
      </w:r>
      <w:r w:rsidR="00715BF6">
        <w:rPr>
          <w:rFonts w:ascii="Times New Roman" w:hAnsi="Times New Roman" w:cs="Times New Roman"/>
          <w:sz w:val="24"/>
          <w:szCs w:val="24"/>
        </w:rPr>
        <w:t xml:space="preserve">and misdirected itself in finding that the appellant had acted </w:t>
      </w:r>
      <w:r w:rsidR="00715BF6" w:rsidRPr="003615A6">
        <w:rPr>
          <w:rFonts w:ascii="Times New Roman" w:hAnsi="Times New Roman" w:cs="Times New Roman"/>
          <w:i/>
          <w:sz w:val="24"/>
          <w:szCs w:val="24"/>
        </w:rPr>
        <w:t>mala fide</w:t>
      </w:r>
      <w:r w:rsidR="00715BF6">
        <w:rPr>
          <w:rFonts w:ascii="Times New Roman" w:hAnsi="Times New Roman" w:cs="Times New Roman"/>
          <w:sz w:val="24"/>
          <w:szCs w:val="24"/>
        </w:rPr>
        <w:t xml:space="preserve"> when the appellant had clearly shown evidence in support of its intention to renovate the premises and use it for its own use.</w:t>
      </w:r>
    </w:p>
    <w:p w:rsidR="00715BF6" w:rsidRDefault="00715BF6" w:rsidP="00F56899">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The court </w:t>
      </w:r>
      <w:r w:rsidRPr="003615A6">
        <w:rPr>
          <w:rFonts w:ascii="Times New Roman" w:hAnsi="Times New Roman" w:cs="Times New Roman"/>
          <w:i/>
          <w:sz w:val="24"/>
          <w:szCs w:val="24"/>
        </w:rPr>
        <w:t>a quo</w:t>
      </w:r>
      <w:r>
        <w:rPr>
          <w:rFonts w:ascii="Times New Roman" w:hAnsi="Times New Roman" w:cs="Times New Roman"/>
          <w:sz w:val="24"/>
          <w:szCs w:val="24"/>
        </w:rPr>
        <w:t xml:space="preserve"> erred and misdirected itself at law in finding that the parties had novated the lease agreement when the same was not an issue before court.</w:t>
      </w:r>
    </w:p>
    <w:p w:rsidR="00715BF6" w:rsidRDefault="00715BF6" w:rsidP="00715BF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end of arguments by counsel, it was clear that the appeal could be disposed of upon a determination of the first ground of appeal.  If that ground failed, then it would be necessary to consider the other grounds of appeal.  A determination of whether or not the respondent was a statutory tenant is what then informs any consequential relief in which case the other grounds of appeal would become material.  The onus of proving that the occupier under an expired lease is a statutory tenant falls on the one who avers to be so. Therefore the respondent had the onus to establish that it was a statutory tenant. It </w:t>
      </w:r>
      <w:r w:rsidR="00767525">
        <w:rPr>
          <w:rFonts w:ascii="Times New Roman" w:hAnsi="Times New Roman" w:cs="Times New Roman"/>
          <w:sz w:val="24"/>
          <w:szCs w:val="24"/>
        </w:rPr>
        <w:t xml:space="preserve">had the </w:t>
      </w:r>
      <w:r>
        <w:rPr>
          <w:rFonts w:ascii="Times New Roman" w:hAnsi="Times New Roman" w:cs="Times New Roman"/>
          <w:sz w:val="24"/>
          <w:szCs w:val="24"/>
        </w:rPr>
        <w:t>further onus to establish that it complied with the obligations which are required to be performed by a statutory tenant for such tenant to be protected from eviction in terms of the Commercial Premises (Rent) Regulations.</w:t>
      </w:r>
    </w:p>
    <w:p w:rsidR="00715BF6" w:rsidRDefault="00715BF6" w:rsidP="00715BF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relevant section of the Commercial Premises (Rent) Regulations, 1983 which the dispute between the parties turned upon was s 22(2).  Its provisions read as follows:</w:t>
      </w:r>
    </w:p>
    <w:p w:rsidR="00715BF6" w:rsidRPr="003615A6" w:rsidRDefault="00715BF6" w:rsidP="003615A6">
      <w:pPr>
        <w:spacing w:line="240" w:lineRule="auto"/>
        <w:ind w:left="1440" w:hanging="720"/>
        <w:jc w:val="both"/>
        <w:rPr>
          <w:rFonts w:ascii="Times New Roman" w:hAnsi="Times New Roman" w:cs="Times New Roman"/>
        </w:rPr>
      </w:pPr>
      <w:r>
        <w:rPr>
          <w:rFonts w:ascii="Times New Roman" w:hAnsi="Times New Roman" w:cs="Times New Roman"/>
          <w:sz w:val="24"/>
          <w:szCs w:val="24"/>
        </w:rPr>
        <w:t>“(2)</w:t>
      </w:r>
      <w:r>
        <w:rPr>
          <w:rFonts w:ascii="Times New Roman" w:hAnsi="Times New Roman" w:cs="Times New Roman"/>
          <w:sz w:val="24"/>
          <w:szCs w:val="24"/>
        </w:rPr>
        <w:tab/>
      </w:r>
      <w:r w:rsidRPr="003615A6">
        <w:rPr>
          <w:rFonts w:ascii="Times New Roman" w:hAnsi="Times New Roman" w:cs="Times New Roman"/>
        </w:rPr>
        <w:t xml:space="preserve">No order for the recovery of possession of a commercial premises or for the </w:t>
      </w:r>
      <w:r w:rsidR="008F1380" w:rsidRPr="003615A6">
        <w:rPr>
          <w:rFonts w:ascii="Times New Roman" w:hAnsi="Times New Roman" w:cs="Times New Roman"/>
        </w:rPr>
        <w:t>ejectment of a lease therefrom which is based on the fact of the lease having expired, either by effluxion of time or in consequence of notice duly given by the lessor, shall be made by a court, so long as the lessee –</w:t>
      </w:r>
    </w:p>
    <w:p w:rsidR="008F1380" w:rsidRPr="003615A6" w:rsidRDefault="008F1380" w:rsidP="003615A6">
      <w:pPr>
        <w:pStyle w:val="ListParagraph"/>
        <w:numPr>
          <w:ilvl w:val="0"/>
          <w:numId w:val="1"/>
        </w:numPr>
        <w:spacing w:line="240" w:lineRule="auto"/>
        <w:jc w:val="both"/>
        <w:rPr>
          <w:rFonts w:ascii="Times New Roman" w:hAnsi="Times New Roman" w:cs="Times New Roman"/>
        </w:rPr>
      </w:pPr>
      <w:r w:rsidRPr="003615A6">
        <w:rPr>
          <w:rFonts w:ascii="Times New Roman" w:hAnsi="Times New Roman" w:cs="Times New Roman"/>
        </w:rPr>
        <w:t xml:space="preserve">Continues to pay the rent due within seven days of due date; and </w:t>
      </w:r>
    </w:p>
    <w:p w:rsidR="008F1380" w:rsidRPr="003615A6" w:rsidRDefault="008F1380" w:rsidP="003615A6">
      <w:pPr>
        <w:pStyle w:val="ListParagraph"/>
        <w:numPr>
          <w:ilvl w:val="0"/>
          <w:numId w:val="1"/>
        </w:numPr>
        <w:spacing w:line="240" w:lineRule="auto"/>
        <w:jc w:val="both"/>
        <w:rPr>
          <w:rFonts w:ascii="Times New Roman" w:hAnsi="Times New Roman" w:cs="Times New Roman"/>
        </w:rPr>
      </w:pPr>
      <w:r w:rsidRPr="003615A6">
        <w:rPr>
          <w:rFonts w:ascii="Times New Roman" w:hAnsi="Times New Roman" w:cs="Times New Roman"/>
        </w:rPr>
        <w:t>Performs the other conditions of the lease;</w:t>
      </w:r>
    </w:p>
    <w:p w:rsidR="008F1380" w:rsidRPr="003615A6" w:rsidRDefault="008F1380" w:rsidP="003615A6">
      <w:pPr>
        <w:spacing w:line="240" w:lineRule="auto"/>
        <w:ind w:left="1440"/>
        <w:jc w:val="both"/>
        <w:rPr>
          <w:rFonts w:ascii="Times New Roman" w:hAnsi="Times New Roman" w:cs="Times New Roman"/>
        </w:rPr>
      </w:pPr>
      <w:r w:rsidRPr="003615A6">
        <w:rPr>
          <w:rFonts w:ascii="Times New Roman" w:hAnsi="Times New Roman" w:cs="Times New Roman"/>
        </w:rPr>
        <w:t>Unless the curt is satisfied that the lesser has good and sufficient grounds for requiring such order other than that –</w:t>
      </w:r>
    </w:p>
    <w:p w:rsidR="008F1380" w:rsidRPr="003615A6" w:rsidRDefault="008F1380" w:rsidP="003615A6">
      <w:pPr>
        <w:pStyle w:val="ListParagraph"/>
        <w:numPr>
          <w:ilvl w:val="0"/>
          <w:numId w:val="2"/>
        </w:numPr>
        <w:spacing w:line="240" w:lineRule="auto"/>
        <w:jc w:val="both"/>
        <w:rPr>
          <w:rFonts w:ascii="Times New Roman" w:hAnsi="Times New Roman" w:cs="Times New Roman"/>
        </w:rPr>
      </w:pPr>
      <w:r w:rsidRPr="003615A6">
        <w:rPr>
          <w:rFonts w:ascii="Times New Roman" w:hAnsi="Times New Roman" w:cs="Times New Roman"/>
        </w:rPr>
        <w:t>The lessee has declined to agree to an increase in rent; or</w:t>
      </w:r>
    </w:p>
    <w:p w:rsidR="008F1380" w:rsidRPr="003615A6" w:rsidRDefault="008F1380" w:rsidP="003615A6">
      <w:pPr>
        <w:pStyle w:val="ListParagraph"/>
        <w:numPr>
          <w:ilvl w:val="0"/>
          <w:numId w:val="2"/>
        </w:numPr>
        <w:spacing w:line="240" w:lineRule="auto"/>
        <w:jc w:val="both"/>
        <w:rPr>
          <w:rFonts w:ascii="Times New Roman" w:hAnsi="Times New Roman" w:cs="Times New Roman"/>
        </w:rPr>
      </w:pPr>
      <w:r w:rsidRPr="003615A6">
        <w:rPr>
          <w:rFonts w:ascii="Times New Roman" w:hAnsi="Times New Roman" w:cs="Times New Roman"/>
        </w:rPr>
        <w:t>The lessor wishes to lease the premises to some other person.”</w:t>
      </w:r>
    </w:p>
    <w:p w:rsidR="008F1380" w:rsidRDefault="008F1380" w:rsidP="008F138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Statutory tenancy and consequent protection from eviction arises in circumstance set out as quoted and not from any other circumstances outside of s 22(2) above.  Firstly, the tenancy enjoyed by the occupier must arise from a lease agreement.  Such lease agreement must ha</w:t>
      </w:r>
      <w:r w:rsidR="00767525">
        <w:rPr>
          <w:rFonts w:ascii="Times New Roman" w:hAnsi="Times New Roman" w:cs="Times New Roman"/>
          <w:sz w:val="24"/>
          <w:szCs w:val="24"/>
        </w:rPr>
        <w:t>ve expired by effluxion of time</w:t>
      </w:r>
      <w:r>
        <w:rPr>
          <w:rFonts w:ascii="Times New Roman" w:hAnsi="Times New Roman" w:cs="Times New Roman"/>
          <w:sz w:val="24"/>
          <w:szCs w:val="24"/>
        </w:rPr>
        <w:t xml:space="preserve"> or the lessor must have given the lessee due notic</w:t>
      </w:r>
      <w:r w:rsidR="00767525">
        <w:rPr>
          <w:rFonts w:ascii="Times New Roman" w:hAnsi="Times New Roman" w:cs="Times New Roman"/>
          <w:sz w:val="24"/>
          <w:szCs w:val="24"/>
        </w:rPr>
        <w:t>e to vacate the leased premises:</w:t>
      </w:r>
      <w:r>
        <w:rPr>
          <w:rFonts w:ascii="Times New Roman" w:hAnsi="Times New Roman" w:cs="Times New Roman"/>
          <w:sz w:val="24"/>
          <w:szCs w:val="24"/>
        </w:rPr>
        <w:t xml:space="preserve">  Where the lessors seeks to retake possession of the leased premises in either of the two circumstances</w:t>
      </w:r>
      <w:r w:rsidR="00767525">
        <w:rPr>
          <w:rFonts w:ascii="Times New Roman" w:hAnsi="Times New Roman" w:cs="Times New Roman"/>
          <w:sz w:val="24"/>
          <w:szCs w:val="24"/>
        </w:rPr>
        <w:t>,</w:t>
      </w:r>
      <w:r w:rsidR="002F77B7">
        <w:rPr>
          <w:rFonts w:ascii="Times New Roman" w:hAnsi="Times New Roman" w:cs="Times New Roman"/>
          <w:sz w:val="24"/>
          <w:szCs w:val="24"/>
        </w:rPr>
        <w:t xml:space="preserve"> </w:t>
      </w:r>
      <w:r>
        <w:rPr>
          <w:rFonts w:ascii="Times New Roman" w:hAnsi="Times New Roman" w:cs="Times New Roman"/>
          <w:sz w:val="24"/>
          <w:szCs w:val="24"/>
        </w:rPr>
        <w:t>the court is precluded from granting an order for the eviction of the lessee if the lessee has continued to comply with the following obligations:</w:t>
      </w:r>
    </w:p>
    <w:p w:rsidR="008F1380" w:rsidRDefault="008F1380" w:rsidP="008F138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Payment of rental due within seven days of due date.  In terms of clause 4 of the lease agreement between the </w:t>
      </w:r>
      <w:r w:rsidR="00E03973">
        <w:rPr>
          <w:rFonts w:ascii="Times New Roman" w:hAnsi="Times New Roman" w:cs="Times New Roman"/>
          <w:sz w:val="24"/>
          <w:szCs w:val="24"/>
        </w:rPr>
        <w:t xml:space="preserve">parties, rent was due monthly in advance on the </w:t>
      </w:r>
      <w:r>
        <w:rPr>
          <w:rFonts w:ascii="Times New Roman" w:hAnsi="Times New Roman" w:cs="Times New Roman"/>
          <w:sz w:val="24"/>
          <w:szCs w:val="24"/>
        </w:rPr>
        <w:t xml:space="preserve">first day of every month.  </w:t>
      </w:r>
      <w:r w:rsidR="00E03973">
        <w:rPr>
          <w:rFonts w:ascii="Times New Roman" w:hAnsi="Times New Roman" w:cs="Times New Roman"/>
          <w:sz w:val="24"/>
          <w:szCs w:val="24"/>
        </w:rPr>
        <w:t>T</w:t>
      </w:r>
      <w:r>
        <w:rPr>
          <w:rFonts w:ascii="Times New Roman" w:hAnsi="Times New Roman" w:cs="Times New Roman"/>
          <w:sz w:val="24"/>
          <w:szCs w:val="24"/>
        </w:rPr>
        <w:t>he respondent was required to pay monthly rental by no later than the eighth day of each successive month.</w:t>
      </w:r>
    </w:p>
    <w:p w:rsidR="008F1380" w:rsidRDefault="008F1380" w:rsidP="008F138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Performance by the lessee of the rest of the lessee’s obligations in terms of the expired lease or following notice given by the lessor as the case may be.</w:t>
      </w:r>
    </w:p>
    <w:p w:rsidR="00183953" w:rsidRPr="00183953" w:rsidRDefault="00183953" w:rsidP="0018395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requirement of the lessee to perform the above two obligations is conjuctive.  Where it is shown by the lessee that the lessee has continued to perform the two obligations as provided for, the lessee is then qualified to </w:t>
      </w:r>
      <w:r w:rsidR="00767525">
        <w:rPr>
          <w:rFonts w:ascii="Times New Roman" w:hAnsi="Times New Roman" w:cs="Times New Roman"/>
          <w:sz w:val="24"/>
          <w:szCs w:val="24"/>
        </w:rPr>
        <w:t>assume the status of</w:t>
      </w:r>
      <w:r>
        <w:rPr>
          <w:rFonts w:ascii="Times New Roman" w:hAnsi="Times New Roman" w:cs="Times New Roman"/>
          <w:sz w:val="24"/>
          <w:szCs w:val="24"/>
        </w:rPr>
        <w:t xml:space="preserve"> a statutory tenant.  The lessee in such a case can only be ejected from the leased premises for “good and sufficient grounds” which the lessor must plead and prove.  Such grounds exclude the grounds set out in sub-p</w:t>
      </w:r>
      <w:r w:rsidR="003615A6">
        <w:rPr>
          <w:rFonts w:ascii="Times New Roman" w:hAnsi="Times New Roman" w:cs="Times New Roman"/>
          <w:sz w:val="24"/>
          <w:szCs w:val="24"/>
        </w:rPr>
        <w:t>ara(</w:t>
      </w:r>
      <w:r>
        <w:rPr>
          <w:rFonts w:ascii="Times New Roman" w:hAnsi="Times New Roman" w:cs="Times New Roman"/>
          <w:sz w:val="24"/>
          <w:szCs w:val="24"/>
        </w:rPr>
        <w:t>s</w:t>
      </w:r>
      <w:r w:rsidR="003615A6">
        <w:rPr>
          <w:rFonts w:ascii="Times New Roman" w:hAnsi="Times New Roman" w:cs="Times New Roman"/>
          <w:sz w:val="24"/>
          <w:szCs w:val="24"/>
        </w:rPr>
        <w:t>)</w:t>
      </w:r>
      <w:r>
        <w:rPr>
          <w:rFonts w:ascii="Times New Roman" w:hAnsi="Times New Roman" w:cs="Times New Roman"/>
          <w:sz w:val="24"/>
          <w:szCs w:val="24"/>
        </w:rPr>
        <w:t xml:space="preserve"> (i) and (ii) of subs (2) of s 22 of the Commercial Premises (Rent) Regulations.  To put it aptly, the lessor cannot properly rely upon and the court is precluded from considering as good and sufficient ground for the ejectment of a statutory tenant, the fact that the statutory tenant has </w:t>
      </w:r>
      <w:r>
        <w:rPr>
          <w:rFonts w:ascii="Times New Roman" w:hAnsi="Times New Roman" w:cs="Times New Roman"/>
          <w:sz w:val="24"/>
          <w:szCs w:val="24"/>
        </w:rPr>
        <w:lastRenderedPageBreak/>
        <w:t>refused to accept a rent increase or the fact that the lessor desires to lease the</w:t>
      </w:r>
      <w:r w:rsidR="003A2C53">
        <w:rPr>
          <w:rFonts w:ascii="Times New Roman" w:hAnsi="Times New Roman" w:cs="Times New Roman"/>
          <w:sz w:val="24"/>
          <w:szCs w:val="24"/>
        </w:rPr>
        <w:t xml:space="preserve"> premises to another person.</w:t>
      </w:r>
      <w:r>
        <w:rPr>
          <w:rFonts w:ascii="Times New Roman" w:hAnsi="Times New Roman" w:cs="Times New Roman"/>
          <w:sz w:val="24"/>
          <w:szCs w:val="24"/>
        </w:rPr>
        <w:t xml:space="preserve"> </w:t>
      </w:r>
    </w:p>
    <w:p w:rsidR="003A2C53" w:rsidRDefault="003A2C53" w:rsidP="003A2C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agreed issues for determination in the court </w:t>
      </w:r>
      <w:r w:rsidRPr="003A2C53">
        <w:rPr>
          <w:rFonts w:ascii="Times New Roman" w:hAnsi="Times New Roman" w:cs="Times New Roman"/>
          <w:i/>
          <w:sz w:val="24"/>
          <w:szCs w:val="24"/>
        </w:rPr>
        <w:t>a quo</w:t>
      </w:r>
      <w:r>
        <w:rPr>
          <w:rFonts w:ascii="Times New Roman" w:hAnsi="Times New Roman" w:cs="Times New Roman"/>
          <w:sz w:val="24"/>
          <w:szCs w:val="24"/>
        </w:rPr>
        <w:t xml:space="preserve"> were set out in the joint pre-trial conference minute filed on 31 July 2019. They were listed as follows-</w:t>
      </w:r>
    </w:p>
    <w:p w:rsidR="003A2C53" w:rsidRPr="003A2C53" w:rsidRDefault="003A2C53" w:rsidP="003A2C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3A2C53">
        <w:rPr>
          <w:rFonts w:ascii="Times New Roman" w:hAnsi="Times New Roman" w:cs="Times New Roman"/>
          <w:sz w:val="24"/>
          <w:szCs w:val="24"/>
        </w:rPr>
        <w:t>1.</w:t>
      </w:r>
      <w:r>
        <w:rPr>
          <w:rFonts w:ascii="Times New Roman" w:hAnsi="Times New Roman" w:cs="Times New Roman"/>
          <w:sz w:val="24"/>
          <w:szCs w:val="24"/>
        </w:rPr>
        <w:t xml:space="preserve">  </w:t>
      </w:r>
      <w:r>
        <w:rPr>
          <w:rFonts w:ascii="Times New Roman" w:hAnsi="Times New Roman" w:cs="Times New Roman"/>
        </w:rPr>
        <w:t>Whether or not the defendant is a statutory tenant?</w:t>
      </w:r>
    </w:p>
    <w:p w:rsidR="003A2C53" w:rsidRDefault="003A2C53" w:rsidP="003A2C53">
      <w:pPr>
        <w:spacing w:after="0" w:line="240" w:lineRule="auto"/>
        <w:ind w:left="1134" w:hanging="283"/>
        <w:jc w:val="both"/>
        <w:rPr>
          <w:rFonts w:ascii="Times New Roman" w:hAnsi="Times New Roman" w:cs="Times New Roman"/>
        </w:rPr>
      </w:pPr>
      <w:r>
        <w:rPr>
          <w:rFonts w:ascii="Times New Roman" w:hAnsi="Times New Roman" w:cs="Times New Roman"/>
        </w:rPr>
        <w:t>2.  Whether or not the plaintiff’s intentions to use its own property and effect renovations to  the property constitute good and sufficient grounds that the defendant vacate the premises?</w:t>
      </w:r>
    </w:p>
    <w:p w:rsidR="003A2C53" w:rsidRDefault="003A2C53" w:rsidP="003A2C53">
      <w:pPr>
        <w:spacing w:after="0" w:line="240" w:lineRule="auto"/>
        <w:ind w:left="1134" w:hanging="283"/>
        <w:jc w:val="both"/>
        <w:rPr>
          <w:rFonts w:ascii="Times New Roman" w:hAnsi="Times New Roman" w:cs="Times New Roman"/>
        </w:rPr>
      </w:pPr>
      <w:r>
        <w:rPr>
          <w:rFonts w:ascii="Times New Roman" w:hAnsi="Times New Roman" w:cs="Times New Roman"/>
        </w:rPr>
        <w:t>3. Whether the above reasons comply with the Commercial (Premises) Rent Regulations 1983?</w:t>
      </w:r>
    </w:p>
    <w:p w:rsidR="003A2C53" w:rsidRDefault="003A2C53" w:rsidP="003A2C53">
      <w:pPr>
        <w:spacing w:after="0" w:line="240" w:lineRule="auto"/>
        <w:ind w:firstLine="851"/>
        <w:jc w:val="both"/>
        <w:rPr>
          <w:rFonts w:ascii="Times New Roman" w:hAnsi="Times New Roman" w:cs="Times New Roman"/>
        </w:rPr>
      </w:pPr>
      <w:r>
        <w:rPr>
          <w:rFonts w:ascii="Times New Roman" w:hAnsi="Times New Roman" w:cs="Times New Roman"/>
        </w:rPr>
        <w:t>4. Whether the plaintiff is entitled to costs on a legal practitioner and client scale.”</w:t>
      </w:r>
    </w:p>
    <w:p w:rsidR="003A2C53" w:rsidRDefault="003A2C53" w:rsidP="003A2C53">
      <w:pPr>
        <w:spacing w:after="0" w:line="240" w:lineRule="auto"/>
        <w:jc w:val="both"/>
        <w:rPr>
          <w:rFonts w:ascii="Times New Roman" w:hAnsi="Times New Roman" w:cs="Times New Roman"/>
        </w:rPr>
      </w:pPr>
    </w:p>
    <w:p w:rsidR="003A2C53" w:rsidRDefault="003A2C53" w:rsidP="003A2C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above issues and not any other constituted what the learned magistrate was required to make a determination upon.</w:t>
      </w:r>
    </w:p>
    <w:p w:rsidR="003A2C53" w:rsidRDefault="003A2C53" w:rsidP="003A2C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as plaintiff in the court </w:t>
      </w:r>
      <w:r>
        <w:rPr>
          <w:rFonts w:ascii="Times New Roman" w:hAnsi="Times New Roman" w:cs="Times New Roman"/>
          <w:i/>
          <w:sz w:val="24"/>
          <w:szCs w:val="24"/>
        </w:rPr>
        <w:t>a quo</w:t>
      </w:r>
      <w:r>
        <w:rPr>
          <w:rFonts w:ascii="Times New Roman" w:hAnsi="Times New Roman" w:cs="Times New Roman"/>
          <w:sz w:val="24"/>
          <w:szCs w:val="24"/>
        </w:rPr>
        <w:t xml:space="preserve"> pleaded as follows in para 5 of the Particulars of Claim:</w:t>
      </w:r>
    </w:p>
    <w:p w:rsidR="003A2C53" w:rsidRDefault="003A2C53" w:rsidP="003A2C53">
      <w:pPr>
        <w:spacing w:after="0" w:line="240" w:lineRule="auto"/>
        <w:ind w:left="720"/>
        <w:jc w:val="both"/>
        <w:rPr>
          <w:rFonts w:ascii="Times New Roman" w:hAnsi="Times New Roman" w:cs="Times New Roman"/>
        </w:rPr>
      </w:pPr>
      <w:r>
        <w:rPr>
          <w:rFonts w:ascii="Times New Roman" w:hAnsi="Times New Roman" w:cs="Times New Roman"/>
        </w:rPr>
        <w:t>“5.  Defendant’s right to occupy the premises therefore terminated by effluxion of time as at 31</w:t>
      </w:r>
      <w:r>
        <w:rPr>
          <w:rFonts w:ascii="Times New Roman" w:hAnsi="Times New Roman" w:cs="Times New Roman"/>
          <w:vertAlign w:val="superscript"/>
        </w:rPr>
        <w:t>st</w:t>
      </w:r>
      <w:r>
        <w:rPr>
          <w:rFonts w:ascii="Times New Roman" w:hAnsi="Times New Roman" w:cs="Times New Roman"/>
        </w:rPr>
        <w:t xml:space="preserve"> of March 2018 but despite demand, the defendant had refused and/or failed to vacate the premises. A copy of the letter confirming termination of the lease agreement and the demand for free and vacant possession is attached hereto as Annexure “B”.</w:t>
      </w:r>
    </w:p>
    <w:p w:rsidR="003A2C53" w:rsidRDefault="003A2C53" w:rsidP="003A2C53">
      <w:pPr>
        <w:spacing w:after="0" w:line="240" w:lineRule="auto"/>
        <w:ind w:left="720"/>
        <w:jc w:val="both"/>
        <w:rPr>
          <w:rFonts w:ascii="Times New Roman" w:hAnsi="Times New Roman" w:cs="Times New Roman"/>
        </w:rPr>
      </w:pPr>
    </w:p>
    <w:p w:rsidR="003A2C53" w:rsidRDefault="003A2C53" w:rsidP="003A2C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response the respondent in this plea pleaded as follows in para 2 thereof-</w:t>
      </w:r>
    </w:p>
    <w:p w:rsidR="003A2C53" w:rsidRPr="003A2C53" w:rsidRDefault="003A2C53" w:rsidP="003A2C53">
      <w:pPr>
        <w:spacing w:after="0" w:line="240" w:lineRule="auto"/>
        <w:jc w:val="both"/>
        <w:rPr>
          <w:rFonts w:ascii="Times New Roman" w:hAnsi="Times New Roman" w:cs="Times New Roman"/>
          <w:b/>
        </w:rPr>
      </w:pPr>
      <w:r>
        <w:rPr>
          <w:rFonts w:ascii="Times New Roman" w:hAnsi="Times New Roman" w:cs="Times New Roman"/>
          <w:sz w:val="24"/>
          <w:szCs w:val="24"/>
        </w:rPr>
        <w:tab/>
      </w:r>
      <w:r>
        <w:rPr>
          <w:rFonts w:ascii="Times New Roman" w:hAnsi="Times New Roman" w:cs="Times New Roman"/>
        </w:rPr>
        <w:t>“</w:t>
      </w:r>
      <w:r w:rsidRPr="003A2C53">
        <w:rPr>
          <w:rFonts w:ascii="Times New Roman" w:hAnsi="Times New Roman" w:cs="Times New Roman"/>
          <w:b/>
        </w:rPr>
        <w:t>2.</w:t>
      </w:r>
      <w:r>
        <w:rPr>
          <w:rFonts w:ascii="Times New Roman" w:hAnsi="Times New Roman" w:cs="Times New Roman"/>
        </w:rPr>
        <w:t xml:space="preserve">  </w:t>
      </w:r>
      <w:r w:rsidRPr="003A2C53">
        <w:rPr>
          <w:rFonts w:ascii="Times New Roman" w:hAnsi="Times New Roman" w:cs="Times New Roman"/>
          <w:b/>
        </w:rPr>
        <w:t xml:space="preserve">Ad para 5.8 </w:t>
      </w:r>
    </w:p>
    <w:p w:rsidR="003A2C53" w:rsidRDefault="003A2C53" w:rsidP="003A2C53">
      <w:pPr>
        <w:spacing w:after="0" w:line="240" w:lineRule="auto"/>
        <w:ind w:left="720"/>
        <w:jc w:val="both"/>
        <w:rPr>
          <w:rFonts w:ascii="Times New Roman" w:hAnsi="Times New Roman" w:cs="Times New Roman"/>
        </w:rPr>
      </w:pPr>
      <w:r>
        <w:rPr>
          <w:rFonts w:ascii="Times New Roman" w:hAnsi="Times New Roman" w:cs="Times New Roman"/>
        </w:rPr>
        <w:t>This is disputed. The defendant remained in occupation after expiry of the lease as a statut</w:t>
      </w:r>
      <w:r w:rsidR="00812219">
        <w:rPr>
          <w:rFonts w:ascii="Times New Roman" w:hAnsi="Times New Roman" w:cs="Times New Roman"/>
        </w:rPr>
        <w:t>ory tenant as the landlord-</w:t>
      </w:r>
      <w:r>
        <w:rPr>
          <w:rFonts w:ascii="Times New Roman" w:hAnsi="Times New Roman" w:cs="Times New Roman"/>
        </w:rPr>
        <w:t>tenant relationship continued to exist. The renovation is a made up strategy to evict the defendant made by the plaintiff after it failed to illegally evict the defendant.”</w:t>
      </w:r>
    </w:p>
    <w:p w:rsidR="003A2C53" w:rsidRDefault="003A2C53" w:rsidP="003A2C53">
      <w:pPr>
        <w:spacing w:after="0" w:line="240" w:lineRule="auto"/>
        <w:ind w:left="720"/>
        <w:jc w:val="both"/>
        <w:rPr>
          <w:rFonts w:ascii="Times New Roman" w:hAnsi="Times New Roman" w:cs="Times New Roman"/>
        </w:rPr>
      </w:pPr>
    </w:p>
    <w:p w:rsidR="00767525" w:rsidRDefault="003A2C53" w:rsidP="003A2C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principal issue which had to be determined was therefore clear from the pleadings and agreed pre-trial conference minute. The issue </w:t>
      </w:r>
      <w:r w:rsidR="00767525">
        <w:rPr>
          <w:rFonts w:ascii="Times New Roman" w:hAnsi="Times New Roman" w:cs="Times New Roman"/>
          <w:sz w:val="24"/>
          <w:szCs w:val="24"/>
        </w:rPr>
        <w:t xml:space="preserve">was </w:t>
      </w:r>
      <w:r>
        <w:rPr>
          <w:rFonts w:ascii="Times New Roman" w:hAnsi="Times New Roman" w:cs="Times New Roman"/>
          <w:sz w:val="24"/>
          <w:szCs w:val="24"/>
        </w:rPr>
        <w:t>whether or not the respondent was a statutory tenant. Bearing in mind the provisions of para 5 (a) of subs 2 of s 22 of the Commercial Premises Rent Regulations</w:t>
      </w:r>
      <w:r w:rsidR="00812219">
        <w:rPr>
          <w:rFonts w:ascii="Times New Roman" w:hAnsi="Times New Roman" w:cs="Times New Roman"/>
          <w:sz w:val="24"/>
          <w:szCs w:val="24"/>
        </w:rPr>
        <w:t>,</w:t>
      </w:r>
      <w:r>
        <w:rPr>
          <w:rFonts w:ascii="Times New Roman" w:hAnsi="Times New Roman" w:cs="Times New Roman"/>
          <w:sz w:val="24"/>
          <w:szCs w:val="24"/>
        </w:rPr>
        <w:t xml:space="preserve"> on the timing of payment of rental which should be made “within seven </w:t>
      </w:r>
      <w:r w:rsidR="00812219">
        <w:rPr>
          <w:rFonts w:ascii="Times New Roman" w:hAnsi="Times New Roman" w:cs="Times New Roman"/>
          <w:sz w:val="24"/>
          <w:szCs w:val="24"/>
        </w:rPr>
        <w:t xml:space="preserve">(7) </w:t>
      </w:r>
      <w:r>
        <w:rPr>
          <w:rFonts w:ascii="Times New Roman" w:hAnsi="Times New Roman" w:cs="Times New Roman"/>
          <w:sz w:val="24"/>
          <w:szCs w:val="24"/>
        </w:rPr>
        <w:t>days of due date”</w:t>
      </w:r>
      <w:r w:rsidR="00767525">
        <w:rPr>
          <w:rFonts w:ascii="Times New Roman" w:hAnsi="Times New Roman" w:cs="Times New Roman"/>
          <w:sz w:val="24"/>
          <w:szCs w:val="24"/>
        </w:rPr>
        <w:t>,</w:t>
      </w:r>
      <w:r>
        <w:rPr>
          <w:rFonts w:ascii="Times New Roman" w:hAnsi="Times New Roman" w:cs="Times New Roman"/>
          <w:sz w:val="24"/>
          <w:szCs w:val="24"/>
        </w:rPr>
        <w:t xml:space="preserve"> the statutory tenant must prove the timeous payment of the full amount rental due. </w:t>
      </w:r>
      <w:r>
        <w:rPr>
          <w:rFonts w:ascii="Times New Roman" w:hAnsi="Times New Roman" w:cs="Times New Roman"/>
          <w:i/>
          <w:sz w:val="24"/>
          <w:szCs w:val="24"/>
        </w:rPr>
        <w:t>In casu</w:t>
      </w:r>
      <w:r w:rsidR="00812219">
        <w:rPr>
          <w:rFonts w:ascii="Times New Roman" w:hAnsi="Times New Roman" w:cs="Times New Roman"/>
          <w:sz w:val="24"/>
          <w:szCs w:val="24"/>
        </w:rPr>
        <w:t>, i</w:t>
      </w:r>
      <w:r>
        <w:rPr>
          <w:rFonts w:ascii="Times New Roman" w:hAnsi="Times New Roman" w:cs="Times New Roman"/>
          <w:sz w:val="24"/>
          <w:szCs w:val="24"/>
        </w:rPr>
        <w:t>t was common cause that the res</w:t>
      </w:r>
      <w:r w:rsidR="00812219">
        <w:rPr>
          <w:rFonts w:ascii="Times New Roman" w:hAnsi="Times New Roman" w:cs="Times New Roman"/>
          <w:sz w:val="24"/>
          <w:szCs w:val="24"/>
        </w:rPr>
        <w:t>pondent did not pay rentals due</w:t>
      </w:r>
      <w:r>
        <w:rPr>
          <w:rFonts w:ascii="Times New Roman" w:hAnsi="Times New Roman" w:cs="Times New Roman"/>
          <w:sz w:val="24"/>
          <w:szCs w:val="24"/>
        </w:rPr>
        <w:t xml:space="preserve"> within seven </w:t>
      </w:r>
      <w:r w:rsidR="00812219">
        <w:rPr>
          <w:rFonts w:ascii="Times New Roman" w:hAnsi="Times New Roman" w:cs="Times New Roman"/>
          <w:sz w:val="24"/>
          <w:szCs w:val="24"/>
        </w:rPr>
        <w:t xml:space="preserve">(7) </w:t>
      </w:r>
      <w:r>
        <w:rPr>
          <w:rFonts w:ascii="Times New Roman" w:hAnsi="Times New Roman" w:cs="Times New Roman"/>
          <w:sz w:val="24"/>
          <w:szCs w:val="24"/>
        </w:rPr>
        <w:t xml:space="preserve">days of due date. There was therefore non-compliance with the requirement that rental be paid within seven </w:t>
      </w:r>
      <w:r w:rsidR="00812219">
        <w:rPr>
          <w:rFonts w:ascii="Times New Roman" w:hAnsi="Times New Roman" w:cs="Times New Roman"/>
          <w:sz w:val="24"/>
          <w:szCs w:val="24"/>
        </w:rPr>
        <w:t>(7) days of due</w:t>
      </w:r>
      <w:r>
        <w:rPr>
          <w:rFonts w:ascii="Times New Roman" w:hAnsi="Times New Roman" w:cs="Times New Roman"/>
          <w:sz w:val="24"/>
          <w:szCs w:val="24"/>
        </w:rPr>
        <w:t xml:space="preserve"> date. I will deal later with counsel’s arguments in regard to the effect of the</w:t>
      </w:r>
      <w:r w:rsidR="00767525">
        <w:rPr>
          <w:rFonts w:ascii="Times New Roman" w:hAnsi="Times New Roman" w:cs="Times New Roman"/>
          <w:sz w:val="24"/>
          <w:szCs w:val="24"/>
        </w:rPr>
        <w:t xml:space="preserve"> respondent’s default to pay rentals within the seven (7) days given in the regulations.</w:t>
      </w:r>
    </w:p>
    <w:p w:rsidR="003A2C53" w:rsidRDefault="003A2C53" w:rsidP="003A2C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learned magistrate for inexplicable reasons did not determine the issue</w:t>
      </w:r>
      <w:r w:rsidR="00477F39">
        <w:rPr>
          <w:rFonts w:ascii="Times New Roman" w:hAnsi="Times New Roman" w:cs="Times New Roman"/>
          <w:sz w:val="24"/>
          <w:szCs w:val="24"/>
        </w:rPr>
        <w:t xml:space="preserve"> of</w:t>
      </w:r>
      <w:r>
        <w:rPr>
          <w:rFonts w:ascii="Times New Roman" w:hAnsi="Times New Roman" w:cs="Times New Roman"/>
          <w:sz w:val="24"/>
          <w:szCs w:val="24"/>
        </w:rPr>
        <w:t xml:space="preserve"> timely payment of rentals as pleaded by the parties. The learned magistrate created a new defence for the respondent. The learned magistrate reasoned that because the respondent continued </w:t>
      </w:r>
      <w:r w:rsidR="00477F39">
        <w:rPr>
          <w:rFonts w:ascii="Times New Roman" w:hAnsi="Times New Roman" w:cs="Times New Roman"/>
          <w:sz w:val="24"/>
          <w:szCs w:val="24"/>
        </w:rPr>
        <w:t>to pay rent which the appellant</w:t>
      </w:r>
      <w:r>
        <w:rPr>
          <w:rFonts w:ascii="Times New Roman" w:hAnsi="Times New Roman" w:cs="Times New Roman"/>
          <w:sz w:val="24"/>
          <w:szCs w:val="24"/>
        </w:rPr>
        <w:t xml:space="preserve"> accepted, such acceptance of the rental, amounted to a tacit renewal of the expired lease. The appellant submitted that the learned magistrate misdirected himself by determining the di</w:t>
      </w:r>
      <w:r w:rsidR="00767525">
        <w:rPr>
          <w:rFonts w:ascii="Times New Roman" w:hAnsi="Times New Roman" w:cs="Times New Roman"/>
          <w:sz w:val="24"/>
          <w:szCs w:val="24"/>
        </w:rPr>
        <w:t>spute between the parties on a</w:t>
      </w:r>
      <w:r>
        <w:rPr>
          <w:rFonts w:ascii="Times New Roman" w:hAnsi="Times New Roman" w:cs="Times New Roman"/>
          <w:sz w:val="24"/>
          <w:szCs w:val="24"/>
        </w:rPr>
        <w:t xml:space="preserve"> basis created by the court </w:t>
      </w:r>
      <w:r w:rsidR="00767525">
        <w:rPr>
          <w:rFonts w:ascii="Times New Roman" w:hAnsi="Times New Roman" w:cs="Times New Roman"/>
          <w:sz w:val="24"/>
          <w:szCs w:val="24"/>
        </w:rPr>
        <w:t>instead of</w:t>
      </w:r>
      <w:r>
        <w:rPr>
          <w:rFonts w:ascii="Times New Roman" w:hAnsi="Times New Roman" w:cs="Times New Roman"/>
          <w:sz w:val="24"/>
          <w:szCs w:val="24"/>
        </w:rPr>
        <w:t xml:space="preserve"> on the facts and issues placed before it by the parties. The applicant relied upon the Supreme Court judgments in </w:t>
      </w:r>
      <w:r>
        <w:rPr>
          <w:rFonts w:ascii="Times New Roman" w:hAnsi="Times New Roman" w:cs="Times New Roman"/>
          <w:i/>
          <w:sz w:val="24"/>
          <w:szCs w:val="24"/>
        </w:rPr>
        <w:t>Lifort Toro</w:t>
      </w:r>
      <w:r>
        <w:rPr>
          <w:rFonts w:ascii="Times New Roman" w:hAnsi="Times New Roman" w:cs="Times New Roman"/>
          <w:sz w:val="24"/>
          <w:szCs w:val="24"/>
        </w:rPr>
        <w:t xml:space="preserve"> v </w:t>
      </w:r>
      <w:r w:rsidR="00477F39">
        <w:rPr>
          <w:rFonts w:ascii="Times New Roman" w:hAnsi="Times New Roman" w:cs="Times New Roman"/>
          <w:i/>
          <w:sz w:val="24"/>
          <w:szCs w:val="24"/>
        </w:rPr>
        <w:t>Vodge Inve</w:t>
      </w:r>
      <w:r>
        <w:rPr>
          <w:rFonts w:ascii="Times New Roman" w:hAnsi="Times New Roman" w:cs="Times New Roman"/>
          <w:i/>
          <w:sz w:val="24"/>
          <w:szCs w:val="24"/>
        </w:rPr>
        <w:t>s</w:t>
      </w:r>
      <w:r w:rsidR="00477F39">
        <w:rPr>
          <w:rFonts w:ascii="Times New Roman" w:hAnsi="Times New Roman" w:cs="Times New Roman"/>
          <w:i/>
          <w:sz w:val="24"/>
          <w:szCs w:val="24"/>
        </w:rPr>
        <w:t>t</w:t>
      </w:r>
      <w:r>
        <w:rPr>
          <w:rFonts w:ascii="Times New Roman" w:hAnsi="Times New Roman" w:cs="Times New Roman"/>
          <w:i/>
          <w:sz w:val="24"/>
          <w:szCs w:val="24"/>
        </w:rPr>
        <w:t>ments (Pvt) Limited &amp; Ors</w:t>
      </w:r>
      <w:r>
        <w:rPr>
          <w:rFonts w:ascii="Times New Roman" w:hAnsi="Times New Roman" w:cs="Times New Roman"/>
          <w:sz w:val="24"/>
          <w:szCs w:val="24"/>
        </w:rPr>
        <w:t xml:space="preserve"> SC 15/2017 and </w:t>
      </w:r>
      <w:r w:rsidR="00477F39">
        <w:rPr>
          <w:rFonts w:ascii="Times New Roman" w:hAnsi="Times New Roman" w:cs="Times New Roman"/>
          <w:i/>
          <w:sz w:val="24"/>
          <w:szCs w:val="24"/>
        </w:rPr>
        <w:t>Nzara</w:t>
      </w:r>
      <w:r>
        <w:rPr>
          <w:rFonts w:ascii="Times New Roman" w:hAnsi="Times New Roman" w:cs="Times New Roman"/>
          <w:i/>
          <w:sz w:val="24"/>
          <w:szCs w:val="24"/>
        </w:rPr>
        <w:t xml:space="preserve"> &amp; Ors </w:t>
      </w:r>
      <w:r>
        <w:rPr>
          <w:rFonts w:ascii="Times New Roman" w:hAnsi="Times New Roman" w:cs="Times New Roman"/>
          <w:sz w:val="24"/>
          <w:szCs w:val="24"/>
        </w:rPr>
        <w:t xml:space="preserve">v </w:t>
      </w:r>
      <w:r>
        <w:rPr>
          <w:rFonts w:ascii="Times New Roman" w:hAnsi="Times New Roman" w:cs="Times New Roman"/>
          <w:i/>
          <w:sz w:val="24"/>
          <w:szCs w:val="24"/>
        </w:rPr>
        <w:t>Kashuma N.O. &amp; 3 Others</w:t>
      </w:r>
      <w:r>
        <w:rPr>
          <w:rFonts w:ascii="Times New Roman" w:hAnsi="Times New Roman" w:cs="Times New Roman"/>
          <w:sz w:val="24"/>
          <w:szCs w:val="24"/>
        </w:rPr>
        <w:t xml:space="preserve"> SC 18/18 to argue that the court must determine the dispute on facts and issues placed before it by the parties. It is very easy to appreciate the rationale for this approach. The court stands to hear and determine</w:t>
      </w:r>
      <w:r w:rsidR="00767525">
        <w:rPr>
          <w:rFonts w:ascii="Times New Roman" w:hAnsi="Times New Roman" w:cs="Times New Roman"/>
          <w:sz w:val="24"/>
          <w:szCs w:val="24"/>
        </w:rPr>
        <w:t>s</w:t>
      </w:r>
      <w:r>
        <w:rPr>
          <w:rFonts w:ascii="Times New Roman" w:hAnsi="Times New Roman" w:cs="Times New Roman"/>
          <w:sz w:val="24"/>
          <w:szCs w:val="24"/>
        </w:rPr>
        <w:t xml:space="preserve"> disputes brought before it </w:t>
      </w:r>
      <w:r w:rsidR="00767525">
        <w:rPr>
          <w:rFonts w:ascii="Times New Roman" w:hAnsi="Times New Roman" w:cs="Times New Roman"/>
          <w:sz w:val="24"/>
          <w:szCs w:val="24"/>
        </w:rPr>
        <w:t xml:space="preserve">as </w:t>
      </w:r>
      <w:r>
        <w:rPr>
          <w:rFonts w:ascii="Times New Roman" w:hAnsi="Times New Roman" w:cs="Times New Roman"/>
          <w:sz w:val="24"/>
          <w:szCs w:val="24"/>
        </w:rPr>
        <w:t>per the issues and facts before it</w:t>
      </w:r>
      <w:r w:rsidR="00767525">
        <w:rPr>
          <w:rFonts w:ascii="Times New Roman" w:hAnsi="Times New Roman" w:cs="Times New Roman"/>
          <w:sz w:val="24"/>
          <w:szCs w:val="24"/>
        </w:rPr>
        <w:t xml:space="preserve"> by the parties</w:t>
      </w:r>
      <w:r w:rsidR="002F77B7">
        <w:rPr>
          <w:rFonts w:ascii="Times New Roman" w:hAnsi="Times New Roman" w:cs="Times New Roman"/>
          <w:sz w:val="24"/>
          <w:szCs w:val="24"/>
        </w:rPr>
        <w:t>. Once the court determines</w:t>
      </w:r>
      <w:r>
        <w:rPr>
          <w:rFonts w:ascii="Times New Roman" w:hAnsi="Times New Roman" w:cs="Times New Roman"/>
          <w:sz w:val="24"/>
          <w:szCs w:val="24"/>
        </w:rPr>
        <w:t xml:space="preserve"> the dispute on some basis not pleaded by the parties, the cou</w:t>
      </w:r>
      <w:r w:rsidR="00CD00DE">
        <w:rPr>
          <w:rFonts w:ascii="Times New Roman" w:hAnsi="Times New Roman" w:cs="Times New Roman"/>
          <w:sz w:val="24"/>
          <w:szCs w:val="24"/>
        </w:rPr>
        <w:t>rt</w:t>
      </w:r>
      <w:r w:rsidR="00767525">
        <w:rPr>
          <w:rFonts w:ascii="Times New Roman" w:hAnsi="Times New Roman" w:cs="Times New Roman"/>
          <w:sz w:val="24"/>
          <w:szCs w:val="24"/>
        </w:rPr>
        <w:t xml:space="preserve"> will be misdirected</w:t>
      </w:r>
      <w:r w:rsidR="00CD00DE">
        <w:rPr>
          <w:rFonts w:ascii="Times New Roman" w:hAnsi="Times New Roman" w:cs="Times New Roman"/>
          <w:sz w:val="24"/>
          <w:szCs w:val="24"/>
        </w:rPr>
        <w:t>. If fo</w:t>
      </w:r>
      <w:r>
        <w:rPr>
          <w:rFonts w:ascii="Times New Roman" w:hAnsi="Times New Roman" w:cs="Times New Roman"/>
          <w:sz w:val="24"/>
          <w:szCs w:val="24"/>
        </w:rPr>
        <w:t xml:space="preserve">r good reason the court picks up a point </w:t>
      </w:r>
      <w:r w:rsidR="00767525">
        <w:rPr>
          <w:rFonts w:ascii="Times New Roman" w:hAnsi="Times New Roman" w:cs="Times New Roman"/>
          <w:sz w:val="24"/>
          <w:szCs w:val="24"/>
        </w:rPr>
        <w:t xml:space="preserve">not pleaded by the parties but </w:t>
      </w:r>
      <w:r>
        <w:rPr>
          <w:rFonts w:ascii="Times New Roman" w:hAnsi="Times New Roman" w:cs="Times New Roman"/>
          <w:sz w:val="24"/>
          <w:szCs w:val="24"/>
        </w:rPr>
        <w:t>which in its view is relevant to the determination of the dispute before it, it should ra</w:t>
      </w:r>
      <w:r w:rsidR="00CD00DE">
        <w:rPr>
          <w:rFonts w:ascii="Times New Roman" w:hAnsi="Times New Roman" w:cs="Times New Roman"/>
          <w:sz w:val="24"/>
          <w:szCs w:val="24"/>
        </w:rPr>
        <w:t xml:space="preserve">ise </w:t>
      </w:r>
      <w:r w:rsidR="000D5976">
        <w:rPr>
          <w:rFonts w:ascii="Times New Roman" w:hAnsi="Times New Roman" w:cs="Times New Roman"/>
          <w:sz w:val="24"/>
          <w:szCs w:val="24"/>
        </w:rPr>
        <w:t xml:space="preserve">the point </w:t>
      </w:r>
      <w:r w:rsidR="00CD00DE">
        <w:rPr>
          <w:rFonts w:ascii="Times New Roman" w:hAnsi="Times New Roman" w:cs="Times New Roman"/>
          <w:sz w:val="24"/>
          <w:szCs w:val="24"/>
        </w:rPr>
        <w:t xml:space="preserve">with parties for </w:t>
      </w:r>
      <w:r w:rsidR="003615A6">
        <w:rPr>
          <w:rFonts w:ascii="Times New Roman" w:hAnsi="Times New Roman" w:cs="Times New Roman"/>
          <w:sz w:val="24"/>
          <w:szCs w:val="24"/>
        </w:rPr>
        <w:t>their in</w:t>
      </w:r>
      <w:r w:rsidR="00CD00DE">
        <w:rPr>
          <w:rFonts w:ascii="Times New Roman" w:hAnsi="Times New Roman" w:cs="Times New Roman"/>
          <w:sz w:val="24"/>
          <w:szCs w:val="24"/>
        </w:rPr>
        <w:t>pu</w:t>
      </w:r>
      <w:r>
        <w:rPr>
          <w:rFonts w:ascii="Times New Roman" w:hAnsi="Times New Roman" w:cs="Times New Roman"/>
          <w:sz w:val="24"/>
          <w:szCs w:val="24"/>
        </w:rPr>
        <w:t xml:space="preserve">t. The learned magistrate did not do so before he determined the matter on his own </w:t>
      </w:r>
      <w:r w:rsidR="000D5976">
        <w:rPr>
          <w:rFonts w:ascii="Times New Roman" w:hAnsi="Times New Roman" w:cs="Times New Roman"/>
          <w:sz w:val="24"/>
          <w:szCs w:val="24"/>
        </w:rPr>
        <w:t xml:space="preserve">created </w:t>
      </w:r>
      <w:r>
        <w:rPr>
          <w:rFonts w:ascii="Times New Roman" w:hAnsi="Times New Roman" w:cs="Times New Roman"/>
          <w:sz w:val="24"/>
          <w:szCs w:val="24"/>
        </w:rPr>
        <w:t>issue</w:t>
      </w:r>
      <w:r w:rsidR="000D5976">
        <w:rPr>
          <w:rFonts w:ascii="Times New Roman" w:hAnsi="Times New Roman" w:cs="Times New Roman"/>
          <w:sz w:val="24"/>
          <w:szCs w:val="24"/>
        </w:rPr>
        <w:t xml:space="preserve"> of the tacit renewal of the expired lease agreement</w:t>
      </w:r>
      <w:r>
        <w:rPr>
          <w:rFonts w:ascii="Times New Roman" w:hAnsi="Times New Roman" w:cs="Times New Roman"/>
          <w:sz w:val="24"/>
          <w:szCs w:val="24"/>
        </w:rPr>
        <w:t>.</w:t>
      </w:r>
    </w:p>
    <w:p w:rsidR="003A2C53" w:rsidRDefault="003A2C53" w:rsidP="003A2C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w:t>
      </w:r>
      <w:r w:rsidR="00CD00DE">
        <w:rPr>
          <w:rFonts w:ascii="Times New Roman" w:hAnsi="Times New Roman" w:cs="Times New Roman"/>
          <w:sz w:val="24"/>
          <w:szCs w:val="24"/>
        </w:rPr>
        <w:t>’</w:t>
      </w:r>
      <w:r>
        <w:rPr>
          <w:rFonts w:ascii="Times New Roman" w:hAnsi="Times New Roman" w:cs="Times New Roman"/>
          <w:sz w:val="24"/>
          <w:szCs w:val="24"/>
        </w:rPr>
        <w:t>s counsel in para 5.9 of the appellant</w:t>
      </w:r>
      <w:r w:rsidR="00CD00DE">
        <w:rPr>
          <w:rFonts w:ascii="Times New Roman" w:hAnsi="Times New Roman" w:cs="Times New Roman"/>
          <w:sz w:val="24"/>
          <w:szCs w:val="24"/>
        </w:rPr>
        <w:t>’</w:t>
      </w:r>
      <w:r>
        <w:rPr>
          <w:rFonts w:ascii="Times New Roman" w:hAnsi="Times New Roman" w:cs="Times New Roman"/>
          <w:sz w:val="24"/>
          <w:szCs w:val="24"/>
        </w:rPr>
        <w:t>s heads of argument correctly summed up the correct approach of the court in determining a dispute brought before it for determination. Counsel stated as follows-</w:t>
      </w:r>
    </w:p>
    <w:p w:rsidR="003A2C53" w:rsidRDefault="00CD00DE" w:rsidP="003A2C53">
      <w:pPr>
        <w:spacing w:after="0" w:line="240" w:lineRule="auto"/>
        <w:ind w:left="720"/>
        <w:jc w:val="both"/>
        <w:rPr>
          <w:rFonts w:ascii="Times New Roman" w:hAnsi="Times New Roman" w:cs="Times New Roman"/>
        </w:rPr>
      </w:pPr>
      <w:r>
        <w:rPr>
          <w:rFonts w:ascii="Times New Roman" w:hAnsi="Times New Roman" w:cs="Times New Roman"/>
        </w:rPr>
        <w:t xml:space="preserve">“5.9. </w:t>
      </w:r>
      <w:r w:rsidR="003A2C53">
        <w:rPr>
          <w:rFonts w:ascii="Times New Roman" w:hAnsi="Times New Roman" w:cs="Times New Roman"/>
        </w:rPr>
        <w:t xml:space="preserve">In </w:t>
      </w:r>
      <w:r w:rsidR="003A2C53">
        <w:rPr>
          <w:rFonts w:ascii="Times New Roman" w:hAnsi="Times New Roman" w:cs="Times New Roman"/>
          <w:i/>
        </w:rPr>
        <w:t>Makgatho</w:t>
      </w:r>
      <w:r w:rsidR="003A2C53">
        <w:rPr>
          <w:rFonts w:ascii="Times New Roman" w:hAnsi="Times New Roman" w:cs="Times New Roman"/>
        </w:rPr>
        <w:t xml:space="preserve"> v </w:t>
      </w:r>
      <w:r w:rsidR="003A2C53">
        <w:rPr>
          <w:rFonts w:ascii="Times New Roman" w:hAnsi="Times New Roman" w:cs="Times New Roman"/>
          <w:i/>
        </w:rPr>
        <w:t>Old Mutual Life Assurance (Zimbabwe) Ltd</w:t>
      </w:r>
      <w:r w:rsidR="003A2C53">
        <w:rPr>
          <w:rFonts w:ascii="Times New Roman" w:hAnsi="Times New Roman" w:cs="Times New Roman"/>
        </w:rPr>
        <w:t xml:space="preserve"> SC 57/2015 the </w:t>
      </w:r>
      <w:r>
        <w:rPr>
          <w:rFonts w:ascii="Times New Roman" w:hAnsi="Times New Roman" w:cs="Times New Roman"/>
        </w:rPr>
        <w:t>Supreme Court significantly uphe</w:t>
      </w:r>
      <w:r w:rsidR="003A2C53">
        <w:rPr>
          <w:rFonts w:ascii="Times New Roman" w:hAnsi="Times New Roman" w:cs="Times New Roman"/>
        </w:rPr>
        <w:t xml:space="preserve">ld the remarks by the authors Jacob and Goldrein: </w:t>
      </w:r>
      <w:r w:rsidR="003A2C53">
        <w:rPr>
          <w:rFonts w:ascii="Times New Roman" w:hAnsi="Times New Roman" w:cs="Times New Roman"/>
          <w:i/>
        </w:rPr>
        <w:t>Pleadings : Principles and Practice</w:t>
      </w:r>
      <w:r w:rsidR="003A2C53">
        <w:rPr>
          <w:rFonts w:ascii="Times New Roman" w:hAnsi="Times New Roman" w:cs="Times New Roman"/>
        </w:rPr>
        <w:t xml:space="preserve"> at pp 8-9 cited with approval in</w:t>
      </w:r>
      <w:r w:rsidR="003A2C53">
        <w:rPr>
          <w:rFonts w:ascii="Times New Roman" w:hAnsi="Times New Roman" w:cs="Times New Roman"/>
          <w:i/>
        </w:rPr>
        <w:t xml:space="preserve"> Jowel</w:t>
      </w:r>
      <w:r w:rsidR="003A2C53">
        <w:rPr>
          <w:rFonts w:ascii="Times New Roman" w:hAnsi="Times New Roman" w:cs="Times New Roman"/>
        </w:rPr>
        <w:t xml:space="preserve"> v </w:t>
      </w:r>
      <w:r w:rsidR="003A2C53">
        <w:rPr>
          <w:rFonts w:ascii="Times New Roman" w:hAnsi="Times New Roman" w:cs="Times New Roman"/>
          <w:i/>
        </w:rPr>
        <w:t>Bramwell –</w:t>
      </w:r>
      <w:r>
        <w:rPr>
          <w:rFonts w:ascii="Times New Roman" w:hAnsi="Times New Roman" w:cs="Times New Roman"/>
          <w:i/>
        </w:rPr>
        <w:t xml:space="preserve"> </w:t>
      </w:r>
      <w:r w:rsidR="003A2C53">
        <w:rPr>
          <w:rFonts w:ascii="Times New Roman" w:hAnsi="Times New Roman" w:cs="Times New Roman"/>
          <w:i/>
        </w:rPr>
        <w:t xml:space="preserve">Jones &amp; Ors </w:t>
      </w:r>
      <w:r w:rsidR="003A2C53">
        <w:rPr>
          <w:rFonts w:ascii="Times New Roman" w:hAnsi="Times New Roman" w:cs="Times New Roman"/>
        </w:rPr>
        <w:t>1998 (1) SA 836 at 898</w:t>
      </w:r>
      <w:r>
        <w:rPr>
          <w:rFonts w:ascii="Times New Roman" w:hAnsi="Times New Roman" w:cs="Times New Roman"/>
        </w:rPr>
        <w:t>:</w:t>
      </w:r>
      <w:r w:rsidR="003A2C53">
        <w:rPr>
          <w:rFonts w:ascii="Times New Roman" w:hAnsi="Times New Roman" w:cs="Times New Roman"/>
        </w:rPr>
        <w:t xml:space="preserve"> </w:t>
      </w:r>
    </w:p>
    <w:p w:rsidR="003A2C53" w:rsidRDefault="003A2C53" w:rsidP="003A2C53">
      <w:pPr>
        <w:spacing w:after="0" w:line="240" w:lineRule="auto"/>
        <w:ind w:left="720"/>
        <w:jc w:val="both"/>
        <w:rPr>
          <w:rFonts w:ascii="Times New Roman" w:hAnsi="Times New Roman" w:cs="Times New Roman"/>
        </w:rPr>
      </w:pPr>
    </w:p>
    <w:p w:rsidR="003A2C53" w:rsidRDefault="00CD00DE" w:rsidP="003A2C53">
      <w:pPr>
        <w:spacing w:after="0" w:line="240" w:lineRule="auto"/>
        <w:ind w:left="1440"/>
        <w:jc w:val="both"/>
        <w:rPr>
          <w:rFonts w:ascii="Times New Roman" w:hAnsi="Times New Roman" w:cs="Times New Roman"/>
        </w:rPr>
      </w:pPr>
      <w:r>
        <w:rPr>
          <w:rFonts w:ascii="Times New Roman" w:hAnsi="Times New Roman" w:cs="Times New Roman"/>
        </w:rPr>
        <w:t>“</w:t>
      </w:r>
      <w:r w:rsidR="003A2C53">
        <w:rPr>
          <w:rFonts w:ascii="Times New Roman" w:hAnsi="Times New Roman" w:cs="Times New Roman"/>
        </w:rPr>
        <w:t>As the parties are adversaries, it is left to each of them to formulate his case in his own way, subject to the basic rules of pleading….</w:t>
      </w:r>
      <w:r w:rsidR="000D5976">
        <w:rPr>
          <w:rFonts w:ascii="Times New Roman" w:hAnsi="Times New Roman" w:cs="Times New Roman"/>
        </w:rPr>
        <w:t>F</w:t>
      </w:r>
      <w:r w:rsidR="003A2C53">
        <w:rPr>
          <w:rFonts w:ascii="Times New Roman" w:hAnsi="Times New Roman" w:cs="Times New Roman"/>
        </w:rPr>
        <w:t>or the sake of certainty and finality</w:t>
      </w:r>
      <w:r>
        <w:rPr>
          <w:rFonts w:ascii="Times New Roman" w:hAnsi="Times New Roman" w:cs="Times New Roman"/>
        </w:rPr>
        <w:t>,</w:t>
      </w:r>
      <w:r w:rsidR="003A2C53">
        <w:rPr>
          <w:rFonts w:ascii="Times New Roman" w:hAnsi="Times New Roman" w:cs="Times New Roman"/>
        </w:rPr>
        <w:t xml:space="preserve"> each party is bound by his own pleading and cannot be allowed to raise a raise a different or fresh case without due amendment properly made. Each party knows the case </w:t>
      </w:r>
      <w:r>
        <w:rPr>
          <w:rFonts w:ascii="Times New Roman" w:hAnsi="Times New Roman" w:cs="Times New Roman"/>
        </w:rPr>
        <w:t xml:space="preserve">he </w:t>
      </w:r>
      <w:r w:rsidR="003A2C53">
        <w:rPr>
          <w:rFonts w:ascii="Times New Roman" w:hAnsi="Times New Roman" w:cs="Times New Roman"/>
        </w:rPr>
        <w:t xml:space="preserve">has to meet and cannot be </w:t>
      </w:r>
      <w:r>
        <w:rPr>
          <w:rFonts w:ascii="Times New Roman" w:hAnsi="Times New Roman" w:cs="Times New Roman"/>
        </w:rPr>
        <w:t>taken by surprise at the trial.</w:t>
      </w:r>
    </w:p>
    <w:p w:rsidR="003A2C53" w:rsidRDefault="003A2C53" w:rsidP="003A2C53">
      <w:pPr>
        <w:spacing w:after="0" w:line="240" w:lineRule="auto"/>
        <w:ind w:left="1440"/>
        <w:jc w:val="both"/>
        <w:rPr>
          <w:rFonts w:ascii="Times New Roman" w:hAnsi="Times New Roman" w:cs="Times New Roman"/>
        </w:rPr>
      </w:pPr>
    </w:p>
    <w:p w:rsidR="003A2C53" w:rsidRDefault="003A2C53" w:rsidP="00CD00DE">
      <w:pPr>
        <w:spacing w:after="0" w:line="240" w:lineRule="auto"/>
        <w:ind w:left="1440"/>
        <w:jc w:val="both"/>
        <w:rPr>
          <w:rFonts w:ascii="Times New Roman" w:hAnsi="Times New Roman" w:cs="Times New Roman"/>
        </w:rPr>
      </w:pPr>
      <w:r>
        <w:rPr>
          <w:rFonts w:ascii="Times New Roman" w:hAnsi="Times New Roman" w:cs="Times New Roman"/>
        </w:rPr>
        <w:t>The court itself is as much bound by the pleadings of the parties as they are themselves. It is not part of the duty or function of the court to enter upon any enquiry into the case before it other than to adjudicate upon the specific matters in dispute which the parties themselves have raised by the</w:t>
      </w:r>
      <w:r w:rsidR="00CD00DE">
        <w:rPr>
          <w:rFonts w:ascii="Times New Roman" w:hAnsi="Times New Roman" w:cs="Times New Roman"/>
        </w:rPr>
        <w:t>ir</w:t>
      </w:r>
      <w:r>
        <w:rPr>
          <w:rFonts w:ascii="Times New Roman" w:hAnsi="Times New Roman" w:cs="Times New Roman"/>
        </w:rPr>
        <w:t xml:space="preserve"> pleadings. Indeed the court would be acting contrary to its own character and nature if it were to pronounce upon any claim or defence not made by the parties. To do so would be to </w:t>
      </w:r>
      <w:r w:rsidR="00CD00DE">
        <w:rPr>
          <w:rFonts w:ascii="Times New Roman" w:hAnsi="Times New Roman" w:cs="Times New Roman"/>
        </w:rPr>
        <w:t>enter the realms of speculation…  I</w:t>
      </w:r>
      <w:r>
        <w:rPr>
          <w:rFonts w:ascii="Times New Roman" w:hAnsi="Times New Roman" w:cs="Times New Roman"/>
        </w:rPr>
        <w:t xml:space="preserve">n the adversary system of litigation, therefore, it is the parties themselves who set the agenda </w:t>
      </w:r>
      <w:r w:rsidR="00F44DC3">
        <w:rPr>
          <w:rFonts w:ascii="Times New Roman" w:hAnsi="Times New Roman" w:cs="Times New Roman"/>
        </w:rPr>
        <w:t xml:space="preserve">of their </w:t>
      </w:r>
      <w:r>
        <w:rPr>
          <w:rFonts w:ascii="Times New Roman" w:hAnsi="Times New Roman" w:cs="Times New Roman"/>
        </w:rPr>
        <w:t>trial by their pleadings and neither party can complain if the agenda is strictly adhered to.”</w:t>
      </w:r>
    </w:p>
    <w:p w:rsidR="003A2C53" w:rsidRDefault="003A2C53" w:rsidP="003A2C53">
      <w:pPr>
        <w:spacing w:after="0" w:line="240" w:lineRule="auto"/>
        <w:ind w:left="720"/>
        <w:jc w:val="both"/>
        <w:rPr>
          <w:rFonts w:ascii="Times New Roman" w:hAnsi="Times New Roman" w:cs="Times New Roman"/>
        </w:rPr>
      </w:pPr>
    </w:p>
    <w:p w:rsidR="003A2C53" w:rsidRDefault="003A2C53" w:rsidP="003A2C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as noted admitted or did not dispute that it did not always pay the rentals within seven </w:t>
      </w:r>
      <w:r w:rsidR="00F44DC3">
        <w:rPr>
          <w:rFonts w:ascii="Times New Roman" w:hAnsi="Times New Roman" w:cs="Times New Roman"/>
          <w:sz w:val="24"/>
          <w:szCs w:val="24"/>
        </w:rPr>
        <w:t xml:space="preserve">(7) </w:t>
      </w:r>
      <w:r>
        <w:rPr>
          <w:rFonts w:ascii="Times New Roman" w:hAnsi="Times New Roman" w:cs="Times New Roman"/>
          <w:sz w:val="24"/>
          <w:szCs w:val="24"/>
        </w:rPr>
        <w:t xml:space="preserve">days of due date. The respondent introduced an ingenious but legally unsound argument that the statutory tenancy albeit the respondent not having paid rental within seven </w:t>
      </w:r>
      <w:r w:rsidR="00F44DC3">
        <w:rPr>
          <w:rFonts w:ascii="Times New Roman" w:hAnsi="Times New Roman" w:cs="Times New Roman"/>
          <w:sz w:val="24"/>
          <w:szCs w:val="24"/>
        </w:rPr>
        <w:t xml:space="preserve">(7) </w:t>
      </w:r>
      <w:r>
        <w:rPr>
          <w:rFonts w:ascii="Times New Roman" w:hAnsi="Times New Roman" w:cs="Times New Roman"/>
          <w:sz w:val="24"/>
          <w:szCs w:val="24"/>
        </w:rPr>
        <w:t>days of due date should be declared to have come into existence becau</w:t>
      </w:r>
      <w:r w:rsidR="00F44DC3">
        <w:rPr>
          <w:rFonts w:ascii="Times New Roman" w:hAnsi="Times New Roman" w:cs="Times New Roman"/>
          <w:sz w:val="24"/>
          <w:szCs w:val="24"/>
        </w:rPr>
        <w:t xml:space="preserve">se the </w:t>
      </w:r>
      <w:r w:rsidR="000D5976">
        <w:rPr>
          <w:rFonts w:ascii="Times New Roman" w:hAnsi="Times New Roman" w:cs="Times New Roman"/>
          <w:sz w:val="24"/>
          <w:szCs w:val="24"/>
        </w:rPr>
        <w:t>respondent</w:t>
      </w:r>
      <w:r w:rsidR="00F44DC3">
        <w:rPr>
          <w:rFonts w:ascii="Times New Roman" w:hAnsi="Times New Roman" w:cs="Times New Roman"/>
          <w:sz w:val="24"/>
          <w:szCs w:val="24"/>
        </w:rPr>
        <w:t xml:space="preserve"> continued</w:t>
      </w:r>
      <w:r w:rsidR="000D5976">
        <w:rPr>
          <w:rFonts w:ascii="Times New Roman" w:hAnsi="Times New Roman" w:cs="Times New Roman"/>
          <w:sz w:val="24"/>
          <w:szCs w:val="24"/>
        </w:rPr>
        <w:t xml:space="preserve"> to</w:t>
      </w:r>
      <w:r w:rsidR="00F44DC3">
        <w:rPr>
          <w:rFonts w:ascii="Times New Roman" w:hAnsi="Times New Roman" w:cs="Times New Roman"/>
          <w:sz w:val="24"/>
          <w:szCs w:val="24"/>
        </w:rPr>
        <w:t xml:space="preserve"> </w:t>
      </w:r>
      <w:r>
        <w:rPr>
          <w:rFonts w:ascii="Times New Roman" w:hAnsi="Times New Roman" w:cs="Times New Roman"/>
          <w:sz w:val="24"/>
          <w:szCs w:val="24"/>
        </w:rPr>
        <w:t>conduct itself as it had always done before the expiry of the lease agreement. It was argued in the heads of argument that the appellant could not seek to exercise greater rights as given in the Commercial Premises (Rent) Regulations than it previously enjoyed in terms of the lease agreement. As I understood the respondent’s argument, the respondent was raising estoppel as part of its defence. Its argument was that, because the</w:t>
      </w:r>
      <w:r w:rsidR="000D5976">
        <w:rPr>
          <w:rFonts w:ascii="Times New Roman" w:hAnsi="Times New Roman" w:cs="Times New Roman"/>
          <w:sz w:val="24"/>
          <w:szCs w:val="24"/>
        </w:rPr>
        <w:t xml:space="preserve"> applicant had not made issue with</w:t>
      </w:r>
      <w:r>
        <w:rPr>
          <w:rFonts w:ascii="Times New Roman" w:hAnsi="Times New Roman" w:cs="Times New Roman"/>
          <w:sz w:val="24"/>
          <w:szCs w:val="24"/>
        </w:rPr>
        <w:t xml:space="preserve"> the manner in which the respondent had performed its obligations in terms of the expired lease agreement including payment of rentals, the appellant could not rely upon the respondent</w:t>
      </w:r>
      <w:r w:rsidR="00F44DC3">
        <w:rPr>
          <w:rFonts w:ascii="Times New Roman" w:hAnsi="Times New Roman" w:cs="Times New Roman"/>
          <w:sz w:val="24"/>
          <w:szCs w:val="24"/>
        </w:rPr>
        <w:t>’</w:t>
      </w:r>
      <w:r>
        <w:rPr>
          <w:rFonts w:ascii="Times New Roman" w:hAnsi="Times New Roman" w:cs="Times New Roman"/>
          <w:sz w:val="24"/>
          <w:szCs w:val="24"/>
        </w:rPr>
        <w:t>s breaches which the appellant tacitly condoned as a basis for its claim for eviction of the respondent.</w:t>
      </w:r>
    </w:p>
    <w:p w:rsidR="003A2C53" w:rsidRDefault="00E03973" w:rsidP="003A2C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w:t>
      </w:r>
      <w:r w:rsidR="003A2C53">
        <w:rPr>
          <w:rFonts w:ascii="Times New Roman" w:hAnsi="Times New Roman" w:cs="Times New Roman"/>
          <w:sz w:val="24"/>
          <w:szCs w:val="24"/>
        </w:rPr>
        <w:t xml:space="preserve">counsel in his heads of argument raised another ingenious argument. </w:t>
      </w:r>
      <w:r w:rsidR="003A2C53" w:rsidRPr="00F44DC3">
        <w:rPr>
          <w:rFonts w:ascii="Times New Roman" w:hAnsi="Times New Roman" w:cs="Times New Roman"/>
          <w:i/>
          <w:sz w:val="24"/>
          <w:szCs w:val="24"/>
        </w:rPr>
        <w:t xml:space="preserve">Relying on the Supreme Court judgment in the cases Kutama v </w:t>
      </w:r>
      <w:r w:rsidR="00F44DC3" w:rsidRPr="00F44DC3">
        <w:rPr>
          <w:rFonts w:ascii="Times New Roman" w:hAnsi="Times New Roman" w:cs="Times New Roman"/>
          <w:i/>
          <w:sz w:val="24"/>
          <w:szCs w:val="24"/>
        </w:rPr>
        <w:t>Town</w:t>
      </w:r>
      <w:r w:rsidR="003A2C53" w:rsidRPr="00F44DC3">
        <w:rPr>
          <w:rFonts w:ascii="Times New Roman" w:hAnsi="Times New Roman" w:cs="Times New Roman"/>
          <w:i/>
          <w:sz w:val="24"/>
          <w:szCs w:val="24"/>
        </w:rPr>
        <w:t xml:space="preserve"> Clerk</w:t>
      </w:r>
      <w:r w:rsidR="00F44DC3">
        <w:rPr>
          <w:rFonts w:ascii="Times New Roman" w:hAnsi="Times New Roman" w:cs="Times New Roman"/>
          <w:i/>
          <w:sz w:val="24"/>
          <w:szCs w:val="24"/>
        </w:rPr>
        <w:t xml:space="preserve">, </w:t>
      </w:r>
      <w:r w:rsidR="003A2C53" w:rsidRPr="00F44DC3">
        <w:rPr>
          <w:rFonts w:ascii="Times New Roman" w:hAnsi="Times New Roman" w:cs="Times New Roman"/>
          <w:i/>
          <w:sz w:val="24"/>
          <w:szCs w:val="24"/>
        </w:rPr>
        <w:t>Municipality</w:t>
      </w:r>
      <w:r w:rsidR="003A2C53">
        <w:rPr>
          <w:rFonts w:ascii="Times New Roman" w:hAnsi="Times New Roman" w:cs="Times New Roman"/>
          <w:sz w:val="24"/>
          <w:szCs w:val="24"/>
        </w:rPr>
        <w:t xml:space="preserve"> of </w:t>
      </w:r>
      <w:r w:rsidR="003A2C53" w:rsidRPr="00F44DC3">
        <w:rPr>
          <w:rFonts w:ascii="Times New Roman" w:hAnsi="Times New Roman" w:cs="Times New Roman"/>
          <w:i/>
          <w:sz w:val="24"/>
          <w:szCs w:val="24"/>
        </w:rPr>
        <w:t>Kwekwe</w:t>
      </w:r>
      <w:r w:rsidR="003A2C53">
        <w:rPr>
          <w:rFonts w:ascii="Times New Roman" w:hAnsi="Times New Roman" w:cs="Times New Roman"/>
          <w:sz w:val="24"/>
          <w:szCs w:val="24"/>
        </w:rPr>
        <w:t xml:space="preserve"> 1993 (2) ZLR 137 and </w:t>
      </w:r>
      <w:r w:rsidR="00F44DC3">
        <w:rPr>
          <w:rFonts w:ascii="Times New Roman" w:hAnsi="Times New Roman" w:cs="Times New Roman"/>
          <w:i/>
          <w:sz w:val="24"/>
          <w:szCs w:val="24"/>
        </w:rPr>
        <w:t>M</w:t>
      </w:r>
      <w:r w:rsidR="003A2C53">
        <w:rPr>
          <w:rFonts w:ascii="Times New Roman" w:hAnsi="Times New Roman" w:cs="Times New Roman"/>
          <w:i/>
          <w:sz w:val="24"/>
          <w:szCs w:val="24"/>
        </w:rPr>
        <w:t>wenye</w:t>
      </w:r>
      <w:r w:rsidR="003A2C53">
        <w:rPr>
          <w:rFonts w:ascii="Times New Roman" w:hAnsi="Times New Roman" w:cs="Times New Roman"/>
          <w:sz w:val="24"/>
          <w:szCs w:val="24"/>
        </w:rPr>
        <w:t xml:space="preserve"> v </w:t>
      </w:r>
      <w:r w:rsidR="00F44DC3">
        <w:rPr>
          <w:rFonts w:ascii="Times New Roman" w:hAnsi="Times New Roman" w:cs="Times New Roman"/>
          <w:i/>
          <w:sz w:val="24"/>
          <w:szCs w:val="24"/>
        </w:rPr>
        <w:t>Lonr</w:t>
      </w:r>
      <w:r w:rsidR="003A2C53">
        <w:rPr>
          <w:rFonts w:ascii="Times New Roman" w:hAnsi="Times New Roman" w:cs="Times New Roman"/>
          <w:i/>
          <w:sz w:val="24"/>
          <w:szCs w:val="24"/>
        </w:rPr>
        <w:t>ho Zimbabwe</w:t>
      </w:r>
      <w:r w:rsidR="000D5976">
        <w:rPr>
          <w:rFonts w:ascii="Times New Roman" w:hAnsi="Times New Roman" w:cs="Times New Roman"/>
          <w:sz w:val="24"/>
          <w:szCs w:val="24"/>
        </w:rPr>
        <w:t xml:space="preserve"> 1999(2) ZLR SC 429. Co</w:t>
      </w:r>
      <w:r w:rsidR="003A2C53">
        <w:rPr>
          <w:rFonts w:ascii="Times New Roman" w:hAnsi="Times New Roman" w:cs="Times New Roman"/>
          <w:sz w:val="24"/>
          <w:szCs w:val="24"/>
        </w:rPr>
        <w:t>unsel argued that there was nothing in the wording of the provisions of s 22 (2) of the Commercial Premises (Rent) regulations to show that the requirement that the statutory ten</w:t>
      </w:r>
      <w:r w:rsidR="0035398C">
        <w:rPr>
          <w:rFonts w:ascii="Times New Roman" w:hAnsi="Times New Roman" w:cs="Times New Roman"/>
          <w:sz w:val="24"/>
          <w:szCs w:val="24"/>
        </w:rPr>
        <w:t xml:space="preserve">ant should comply with paras (a) and (b) of subs </w:t>
      </w:r>
      <w:r w:rsidR="003A2C53">
        <w:rPr>
          <w:rFonts w:ascii="Times New Roman" w:hAnsi="Times New Roman" w:cs="Times New Roman"/>
          <w:sz w:val="24"/>
          <w:szCs w:val="24"/>
        </w:rPr>
        <w:t xml:space="preserve">2 of s 22 aforesaid was mandatory or directory. Counsel further cited the Supreme Court case of </w:t>
      </w:r>
      <w:r w:rsidR="003A2C53">
        <w:rPr>
          <w:rFonts w:ascii="Times New Roman" w:hAnsi="Times New Roman" w:cs="Times New Roman"/>
          <w:i/>
          <w:sz w:val="24"/>
          <w:szCs w:val="24"/>
        </w:rPr>
        <w:t>Sterling Products</w:t>
      </w:r>
      <w:r w:rsidR="003A2C53">
        <w:rPr>
          <w:rFonts w:ascii="Times New Roman" w:hAnsi="Times New Roman" w:cs="Times New Roman"/>
          <w:sz w:val="24"/>
          <w:szCs w:val="24"/>
        </w:rPr>
        <w:t xml:space="preserve"> v </w:t>
      </w:r>
      <w:r w:rsidR="003A2C53">
        <w:rPr>
          <w:rFonts w:ascii="Times New Roman" w:hAnsi="Times New Roman" w:cs="Times New Roman"/>
          <w:i/>
          <w:sz w:val="24"/>
          <w:szCs w:val="24"/>
        </w:rPr>
        <w:t>Zulu</w:t>
      </w:r>
      <w:r w:rsidR="003A2C53">
        <w:rPr>
          <w:rFonts w:ascii="Times New Roman" w:hAnsi="Times New Roman" w:cs="Times New Roman"/>
          <w:sz w:val="24"/>
          <w:szCs w:val="24"/>
        </w:rPr>
        <w:t xml:space="preserve"> 1988 (2) ZLR  293 (s) to argue that it was sufficient compliance with the provision</w:t>
      </w:r>
      <w:r w:rsidR="0035398C">
        <w:rPr>
          <w:rFonts w:ascii="Times New Roman" w:hAnsi="Times New Roman" w:cs="Times New Roman"/>
          <w:sz w:val="24"/>
          <w:szCs w:val="24"/>
        </w:rPr>
        <w:t>s</w:t>
      </w:r>
      <w:r w:rsidR="003A2C53">
        <w:rPr>
          <w:rFonts w:ascii="Times New Roman" w:hAnsi="Times New Roman" w:cs="Times New Roman"/>
          <w:sz w:val="24"/>
          <w:szCs w:val="24"/>
        </w:rPr>
        <w:t xml:space="preserve"> (a) and (b) aforesaid if the respondent has substantially complied with the requirements.</w:t>
      </w:r>
    </w:p>
    <w:p w:rsidR="003A2C53" w:rsidRDefault="003A2C53" w:rsidP="003A2C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term “substantial compliance” is not to be found anywhere in the Commercial Premises (Rent) Regulations. It is in my view an elusive term that is dependent upon the view of the decision maker. What is however not disputable is that there must be a factual basis laid down to support the conclusion that there has been substantial compliance of </w:t>
      </w:r>
      <w:r w:rsidR="000D5976">
        <w:rPr>
          <w:rFonts w:ascii="Times New Roman" w:hAnsi="Times New Roman" w:cs="Times New Roman"/>
          <w:sz w:val="24"/>
          <w:szCs w:val="24"/>
        </w:rPr>
        <w:t xml:space="preserve">the </w:t>
      </w:r>
      <w:r>
        <w:rPr>
          <w:rFonts w:ascii="Times New Roman" w:hAnsi="Times New Roman" w:cs="Times New Roman"/>
          <w:sz w:val="24"/>
          <w:szCs w:val="24"/>
        </w:rPr>
        <w:t>performance of an obligation. It is therefore not easy to lay a criteria for measuring substantia</w:t>
      </w:r>
      <w:r w:rsidR="0035398C">
        <w:rPr>
          <w:rFonts w:ascii="Times New Roman" w:hAnsi="Times New Roman" w:cs="Times New Roman"/>
          <w:sz w:val="24"/>
          <w:szCs w:val="24"/>
        </w:rPr>
        <w:t>l</w:t>
      </w:r>
      <w:r>
        <w:rPr>
          <w:rFonts w:ascii="Times New Roman" w:hAnsi="Times New Roman" w:cs="Times New Roman"/>
          <w:sz w:val="24"/>
          <w:szCs w:val="24"/>
        </w:rPr>
        <w:t xml:space="preserve"> compliance. The facts of each case will inform whether it could be said that there has been substantial compliance with the duties and obligations which the person who claims substantial compliance must perform. An attempt at defining “substantial compliance” therefore becomes an excuse in futility.</w:t>
      </w:r>
    </w:p>
    <w:p w:rsidR="003A2C53" w:rsidRDefault="003A2C53" w:rsidP="003A2C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have indicated that the arguments raised by the respondent’</w:t>
      </w:r>
      <w:r w:rsidR="0035398C">
        <w:rPr>
          <w:rFonts w:ascii="Times New Roman" w:hAnsi="Times New Roman" w:cs="Times New Roman"/>
          <w:sz w:val="24"/>
          <w:szCs w:val="24"/>
        </w:rPr>
        <w:t>s</w:t>
      </w:r>
      <w:r>
        <w:rPr>
          <w:rFonts w:ascii="Times New Roman" w:hAnsi="Times New Roman" w:cs="Times New Roman"/>
          <w:sz w:val="24"/>
          <w:szCs w:val="24"/>
        </w:rPr>
        <w:t xml:space="preserve"> counsel are ingenious but legally unsound. A statutory tenancy in my view does not amount to an extension or resuscitation of the expired lease agreement. The effect of the provisions of s 22 of the Commercial Premises </w:t>
      </w:r>
      <w:r w:rsidR="0035398C">
        <w:rPr>
          <w:rFonts w:ascii="Times New Roman" w:hAnsi="Times New Roman" w:cs="Times New Roman"/>
          <w:sz w:val="24"/>
          <w:szCs w:val="24"/>
        </w:rPr>
        <w:t>(</w:t>
      </w:r>
      <w:r>
        <w:rPr>
          <w:rFonts w:ascii="Times New Roman" w:hAnsi="Times New Roman" w:cs="Times New Roman"/>
          <w:sz w:val="24"/>
          <w:szCs w:val="24"/>
        </w:rPr>
        <w:t>Rent</w:t>
      </w:r>
      <w:r w:rsidR="0035398C">
        <w:rPr>
          <w:rFonts w:ascii="Times New Roman" w:hAnsi="Times New Roman" w:cs="Times New Roman"/>
          <w:sz w:val="24"/>
          <w:szCs w:val="24"/>
        </w:rPr>
        <w:t>) R</w:t>
      </w:r>
      <w:r>
        <w:rPr>
          <w:rFonts w:ascii="Times New Roman" w:hAnsi="Times New Roman" w:cs="Times New Roman"/>
          <w:sz w:val="24"/>
          <w:szCs w:val="24"/>
        </w:rPr>
        <w:t>egulations is to create a new relationship between the part</w:t>
      </w:r>
      <w:r w:rsidR="0035398C">
        <w:rPr>
          <w:rFonts w:ascii="Times New Roman" w:hAnsi="Times New Roman" w:cs="Times New Roman"/>
          <w:sz w:val="24"/>
          <w:szCs w:val="24"/>
        </w:rPr>
        <w:t>ie</w:t>
      </w:r>
      <w:r>
        <w:rPr>
          <w:rFonts w:ascii="Times New Roman" w:hAnsi="Times New Roman" w:cs="Times New Roman"/>
          <w:sz w:val="24"/>
          <w:szCs w:val="24"/>
        </w:rPr>
        <w:t xml:space="preserve">s hitherto governed by the expired written lease. The relationship is </w:t>
      </w:r>
      <w:r>
        <w:rPr>
          <w:rFonts w:ascii="Times New Roman" w:hAnsi="Times New Roman" w:cs="Times New Roman"/>
          <w:i/>
          <w:sz w:val="24"/>
          <w:szCs w:val="24"/>
        </w:rPr>
        <w:t>sui generis</w:t>
      </w:r>
      <w:r>
        <w:rPr>
          <w:rFonts w:ascii="Times New Roman" w:hAnsi="Times New Roman" w:cs="Times New Roman"/>
          <w:sz w:val="24"/>
          <w:szCs w:val="24"/>
        </w:rPr>
        <w:t xml:space="preserve"> becau</w:t>
      </w:r>
      <w:r w:rsidR="0035398C">
        <w:rPr>
          <w:rFonts w:ascii="Times New Roman" w:hAnsi="Times New Roman" w:cs="Times New Roman"/>
          <w:sz w:val="24"/>
          <w:szCs w:val="24"/>
        </w:rPr>
        <w:t>se the creation of a statutory t</w:t>
      </w:r>
      <w:r>
        <w:rPr>
          <w:rFonts w:ascii="Times New Roman" w:hAnsi="Times New Roman" w:cs="Times New Roman"/>
          <w:sz w:val="24"/>
          <w:szCs w:val="24"/>
        </w:rPr>
        <w:t>enancy results in parties be</w:t>
      </w:r>
      <w:r w:rsidR="0035398C">
        <w:rPr>
          <w:rFonts w:ascii="Times New Roman" w:hAnsi="Times New Roman" w:cs="Times New Roman"/>
          <w:sz w:val="24"/>
          <w:szCs w:val="24"/>
        </w:rPr>
        <w:t xml:space="preserve">ing governed by terms which </w:t>
      </w:r>
      <w:r>
        <w:rPr>
          <w:rFonts w:ascii="Times New Roman" w:hAnsi="Times New Roman" w:cs="Times New Roman"/>
          <w:sz w:val="24"/>
          <w:szCs w:val="24"/>
        </w:rPr>
        <w:t>they have not freely negotiated and agreed upon. The relationsh</w:t>
      </w:r>
      <w:r w:rsidR="00BC396F">
        <w:rPr>
          <w:rFonts w:ascii="Times New Roman" w:hAnsi="Times New Roman" w:cs="Times New Roman"/>
          <w:sz w:val="24"/>
          <w:szCs w:val="24"/>
        </w:rPr>
        <w:t xml:space="preserve">ip is </w:t>
      </w:r>
      <w:r w:rsidR="000D5976">
        <w:rPr>
          <w:rFonts w:ascii="Times New Roman" w:hAnsi="Times New Roman" w:cs="Times New Roman"/>
          <w:sz w:val="24"/>
          <w:szCs w:val="24"/>
        </w:rPr>
        <w:t>created</w:t>
      </w:r>
      <w:r w:rsidR="00BC396F">
        <w:rPr>
          <w:rFonts w:ascii="Times New Roman" w:hAnsi="Times New Roman" w:cs="Times New Roman"/>
          <w:sz w:val="24"/>
          <w:szCs w:val="24"/>
        </w:rPr>
        <w:t xml:space="preserve"> by law and its pro</w:t>
      </w:r>
      <w:r>
        <w:rPr>
          <w:rFonts w:ascii="Times New Roman" w:hAnsi="Times New Roman" w:cs="Times New Roman"/>
          <w:sz w:val="24"/>
          <w:szCs w:val="24"/>
        </w:rPr>
        <w:t>visions governed in terms thereof. It is therefore anomalous to argue that the regulations extend the expired cont</w:t>
      </w:r>
      <w:r w:rsidR="0035398C">
        <w:rPr>
          <w:rFonts w:ascii="Times New Roman" w:hAnsi="Times New Roman" w:cs="Times New Roman"/>
          <w:sz w:val="24"/>
          <w:szCs w:val="24"/>
        </w:rPr>
        <w:t>r</w:t>
      </w:r>
      <w:r>
        <w:rPr>
          <w:rFonts w:ascii="Times New Roman" w:hAnsi="Times New Roman" w:cs="Times New Roman"/>
          <w:sz w:val="24"/>
          <w:szCs w:val="24"/>
        </w:rPr>
        <w:t xml:space="preserve">act. The fact that the statutory tenant is required to observe the terms of </w:t>
      </w:r>
      <w:r w:rsidR="000D5976">
        <w:rPr>
          <w:rFonts w:ascii="Times New Roman" w:hAnsi="Times New Roman" w:cs="Times New Roman"/>
          <w:sz w:val="24"/>
          <w:szCs w:val="24"/>
        </w:rPr>
        <w:t>the expired</w:t>
      </w:r>
      <w:r>
        <w:rPr>
          <w:rFonts w:ascii="Times New Roman" w:hAnsi="Times New Roman" w:cs="Times New Roman"/>
          <w:sz w:val="24"/>
          <w:szCs w:val="24"/>
        </w:rPr>
        <w:t xml:space="preserve"> lease</w:t>
      </w:r>
      <w:r w:rsidR="000D5976">
        <w:rPr>
          <w:rFonts w:ascii="Times New Roman" w:hAnsi="Times New Roman" w:cs="Times New Roman"/>
          <w:sz w:val="24"/>
          <w:szCs w:val="24"/>
        </w:rPr>
        <w:t xml:space="preserve"> do</w:t>
      </w:r>
      <w:r w:rsidR="002F77B7">
        <w:rPr>
          <w:rFonts w:ascii="Times New Roman" w:hAnsi="Times New Roman" w:cs="Times New Roman"/>
          <w:sz w:val="24"/>
          <w:szCs w:val="24"/>
        </w:rPr>
        <w:t>es not amount to an</w:t>
      </w:r>
      <w:r w:rsidR="000D5976">
        <w:rPr>
          <w:rFonts w:ascii="Times New Roman" w:hAnsi="Times New Roman" w:cs="Times New Roman"/>
          <w:sz w:val="24"/>
          <w:szCs w:val="24"/>
        </w:rPr>
        <w:t xml:space="preserve"> extension of that lease</w:t>
      </w:r>
      <w:r>
        <w:rPr>
          <w:rFonts w:ascii="Times New Roman" w:hAnsi="Times New Roman" w:cs="Times New Roman"/>
          <w:sz w:val="24"/>
          <w:szCs w:val="24"/>
        </w:rPr>
        <w:t xml:space="preserve">. That lease </w:t>
      </w:r>
      <w:r w:rsidR="00BC396F">
        <w:rPr>
          <w:rFonts w:ascii="Times New Roman" w:hAnsi="Times New Roman" w:cs="Times New Roman"/>
          <w:sz w:val="24"/>
          <w:szCs w:val="24"/>
        </w:rPr>
        <w:t>upon its expiry ceases to</w:t>
      </w:r>
      <w:r w:rsidR="000D5976">
        <w:rPr>
          <w:rFonts w:ascii="Times New Roman" w:hAnsi="Times New Roman" w:cs="Times New Roman"/>
          <w:sz w:val="24"/>
          <w:szCs w:val="24"/>
        </w:rPr>
        <w:t xml:space="preserve"> legally</w:t>
      </w:r>
      <w:r w:rsidR="00BC396F">
        <w:rPr>
          <w:rFonts w:ascii="Times New Roman" w:hAnsi="Times New Roman" w:cs="Times New Roman"/>
          <w:sz w:val="24"/>
          <w:szCs w:val="24"/>
        </w:rPr>
        <w:t xml:space="preserve"> exist.   The lease</w:t>
      </w:r>
      <w:r w:rsidR="00D93950">
        <w:rPr>
          <w:rFonts w:ascii="Times New Roman" w:hAnsi="Times New Roman" w:cs="Times New Roman"/>
          <w:sz w:val="24"/>
          <w:szCs w:val="24"/>
        </w:rPr>
        <w:t xml:space="preserve"> </w:t>
      </w:r>
      <w:r>
        <w:rPr>
          <w:rFonts w:ascii="Times New Roman" w:hAnsi="Times New Roman" w:cs="Times New Roman"/>
          <w:sz w:val="24"/>
          <w:szCs w:val="24"/>
        </w:rPr>
        <w:t xml:space="preserve">agreement cannot be extended as it is not </w:t>
      </w:r>
      <w:r w:rsidR="000D5976">
        <w:rPr>
          <w:rFonts w:ascii="Times New Roman" w:hAnsi="Times New Roman" w:cs="Times New Roman"/>
          <w:sz w:val="24"/>
          <w:szCs w:val="24"/>
        </w:rPr>
        <w:t xml:space="preserve">legally </w:t>
      </w:r>
      <w:r>
        <w:rPr>
          <w:rFonts w:ascii="Times New Roman" w:hAnsi="Times New Roman" w:cs="Times New Roman"/>
          <w:sz w:val="24"/>
          <w:szCs w:val="24"/>
        </w:rPr>
        <w:t xml:space="preserve">existing anymore. It could perhaps be resuscitated </w:t>
      </w:r>
      <w:r w:rsidR="000D5976">
        <w:rPr>
          <w:rFonts w:ascii="Times New Roman" w:hAnsi="Times New Roman" w:cs="Times New Roman"/>
          <w:sz w:val="24"/>
          <w:szCs w:val="24"/>
        </w:rPr>
        <w:t>which</w:t>
      </w:r>
      <w:r>
        <w:rPr>
          <w:rFonts w:ascii="Times New Roman" w:hAnsi="Times New Roman" w:cs="Times New Roman"/>
          <w:sz w:val="24"/>
          <w:szCs w:val="24"/>
        </w:rPr>
        <w:t xml:space="preserve"> would be different from extending it. </w:t>
      </w:r>
    </w:p>
    <w:p w:rsidR="003A2C53" w:rsidRDefault="003A2C53" w:rsidP="003A2C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must be noted that upon expiry of the lease agreement, the parties</w:t>
      </w:r>
      <w:r w:rsidR="00E03973">
        <w:rPr>
          <w:rFonts w:ascii="Times New Roman" w:hAnsi="Times New Roman" w:cs="Times New Roman"/>
          <w:sz w:val="24"/>
          <w:szCs w:val="24"/>
        </w:rPr>
        <w:t>’</w:t>
      </w:r>
      <w:r>
        <w:rPr>
          <w:rFonts w:ascii="Times New Roman" w:hAnsi="Times New Roman" w:cs="Times New Roman"/>
          <w:sz w:val="24"/>
          <w:szCs w:val="24"/>
        </w:rPr>
        <w:t xml:space="preserve"> relationship in terms thereof terminates. The law does not recreate it. It imposes </w:t>
      </w:r>
      <w:r w:rsidR="000D5976">
        <w:rPr>
          <w:rFonts w:ascii="Times New Roman" w:hAnsi="Times New Roman" w:cs="Times New Roman"/>
          <w:sz w:val="24"/>
          <w:szCs w:val="24"/>
        </w:rPr>
        <w:t>terms which</w:t>
      </w:r>
      <w:r>
        <w:rPr>
          <w:rFonts w:ascii="Times New Roman" w:hAnsi="Times New Roman" w:cs="Times New Roman"/>
          <w:sz w:val="24"/>
          <w:szCs w:val="24"/>
        </w:rPr>
        <w:t xml:space="preserve"> govern the parti</w:t>
      </w:r>
      <w:r w:rsidR="00D93950">
        <w:rPr>
          <w:rFonts w:ascii="Times New Roman" w:hAnsi="Times New Roman" w:cs="Times New Roman"/>
          <w:sz w:val="24"/>
          <w:szCs w:val="24"/>
        </w:rPr>
        <w:t>es’ relationship. The parties’ r</w:t>
      </w:r>
      <w:r>
        <w:rPr>
          <w:rFonts w:ascii="Times New Roman" w:hAnsi="Times New Roman" w:cs="Times New Roman"/>
          <w:sz w:val="24"/>
          <w:szCs w:val="24"/>
        </w:rPr>
        <w:t>ights and obligations are de</w:t>
      </w:r>
      <w:r w:rsidR="00D93950">
        <w:rPr>
          <w:rFonts w:ascii="Times New Roman" w:hAnsi="Times New Roman" w:cs="Times New Roman"/>
          <w:sz w:val="24"/>
          <w:szCs w:val="24"/>
        </w:rPr>
        <w:t>fined in the regulations. A fail</w:t>
      </w:r>
      <w:r>
        <w:rPr>
          <w:rFonts w:ascii="Times New Roman" w:hAnsi="Times New Roman" w:cs="Times New Roman"/>
          <w:sz w:val="24"/>
          <w:szCs w:val="24"/>
        </w:rPr>
        <w:t>ure to comply with the legislated provisions of a statutory tenancy as set out in para</w:t>
      </w:r>
      <w:r w:rsidR="00D93950">
        <w:rPr>
          <w:rFonts w:ascii="Times New Roman" w:hAnsi="Times New Roman" w:cs="Times New Roman"/>
          <w:sz w:val="24"/>
          <w:szCs w:val="24"/>
        </w:rPr>
        <w:t>(s)(a) and (b) of sub</w:t>
      </w:r>
      <w:r>
        <w:rPr>
          <w:rFonts w:ascii="Times New Roman" w:hAnsi="Times New Roman" w:cs="Times New Roman"/>
          <w:sz w:val="24"/>
          <w:szCs w:val="24"/>
        </w:rPr>
        <w:t>s (2) of s 22 of the Commercial Premises (Rent) Regulations amounts to a breach that goes to</w:t>
      </w:r>
      <w:r w:rsidR="00E03973">
        <w:rPr>
          <w:rFonts w:ascii="Times New Roman" w:hAnsi="Times New Roman" w:cs="Times New Roman"/>
          <w:sz w:val="24"/>
          <w:szCs w:val="24"/>
        </w:rPr>
        <w:t xml:space="preserve"> the roof</w:t>
      </w:r>
      <w:r>
        <w:rPr>
          <w:rFonts w:ascii="Times New Roman" w:hAnsi="Times New Roman" w:cs="Times New Roman"/>
          <w:sz w:val="24"/>
          <w:szCs w:val="24"/>
        </w:rPr>
        <w:t xml:space="preserve"> of the protection given to the statutory tenant by the regulations</w:t>
      </w:r>
      <w:r w:rsidR="000D5976">
        <w:rPr>
          <w:rFonts w:ascii="Times New Roman" w:hAnsi="Times New Roman" w:cs="Times New Roman"/>
          <w:sz w:val="24"/>
          <w:szCs w:val="24"/>
        </w:rPr>
        <w:t>.</w:t>
      </w:r>
      <w:r>
        <w:rPr>
          <w:rFonts w:ascii="Times New Roman" w:hAnsi="Times New Roman" w:cs="Times New Roman"/>
          <w:sz w:val="24"/>
          <w:szCs w:val="24"/>
        </w:rPr>
        <w:t xml:space="preserve"> </w:t>
      </w:r>
    </w:p>
    <w:p w:rsidR="003A2C53" w:rsidRDefault="003A2C53" w:rsidP="003A2C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argument that the respondent as a statutory tenant </w:t>
      </w:r>
      <w:r w:rsidR="00D93950">
        <w:rPr>
          <w:rFonts w:ascii="Times New Roman" w:hAnsi="Times New Roman" w:cs="Times New Roman"/>
          <w:sz w:val="24"/>
          <w:szCs w:val="24"/>
        </w:rPr>
        <w:t xml:space="preserve">substantially </w:t>
      </w:r>
      <w:r>
        <w:rPr>
          <w:rFonts w:ascii="Times New Roman" w:hAnsi="Times New Roman" w:cs="Times New Roman"/>
          <w:sz w:val="24"/>
          <w:szCs w:val="24"/>
        </w:rPr>
        <w:t xml:space="preserve">complied with its obligations as set out in s 22 of the Commercial Premises (Rent) Regulations does not apply to a statutory tenancy. The Supreme Court authorities cited in the respondent’s heads of argument are distinguishable because they do </w:t>
      </w:r>
      <w:r w:rsidR="000D5976">
        <w:rPr>
          <w:rFonts w:ascii="Times New Roman" w:hAnsi="Times New Roman" w:cs="Times New Roman"/>
          <w:sz w:val="24"/>
          <w:szCs w:val="24"/>
        </w:rPr>
        <w:t xml:space="preserve">not </w:t>
      </w:r>
      <w:r>
        <w:rPr>
          <w:rFonts w:ascii="Times New Roman" w:hAnsi="Times New Roman" w:cs="Times New Roman"/>
          <w:sz w:val="24"/>
          <w:szCs w:val="24"/>
        </w:rPr>
        <w:t>deal with or discuss the doctrine of substantial compliance within the context of the Commercial Premises (Rent) Regulations and the performance by the statutory tenant of obligations i</w:t>
      </w:r>
      <w:r w:rsidR="00D93950">
        <w:rPr>
          <w:rFonts w:ascii="Times New Roman" w:hAnsi="Times New Roman" w:cs="Times New Roman"/>
          <w:sz w:val="24"/>
          <w:szCs w:val="24"/>
        </w:rPr>
        <w:t>mposed thereof. In any event, i</w:t>
      </w:r>
      <w:r>
        <w:rPr>
          <w:rFonts w:ascii="Times New Roman" w:hAnsi="Times New Roman" w:cs="Times New Roman"/>
          <w:sz w:val="24"/>
          <w:szCs w:val="24"/>
        </w:rPr>
        <w:t>f the law g</w:t>
      </w:r>
      <w:r w:rsidR="000D5976">
        <w:rPr>
          <w:rFonts w:ascii="Times New Roman" w:hAnsi="Times New Roman" w:cs="Times New Roman"/>
          <w:sz w:val="24"/>
          <w:szCs w:val="24"/>
        </w:rPr>
        <w:t>iver</w:t>
      </w:r>
      <w:r>
        <w:rPr>
          <w:rFonts w:ascii="Times New Roman" w:hAnsi="Times New Roman" w:cs="Times New Roman"/>
          <w:sz w:val="24"/>
          <w:szCs w:val="24"/>
        </w:rPr>
        <w:t xml:space="preserve"> had intended to qualify the obligations of the parties in terms of s 22 aforesaid, the qualification(s) would have been clearly expresse</w:t>
      </w:r>
      <w:r w:rsidR="005D31C6">
        <w:rPr>
          <w:rFonts w:ascii="Times New Roman" w:hAnsi="Times New Roman" w:cs="Times New Roman"/>
          <w:sz w:val="24"/>
          <w:szCs w:val="24"/>
        </w:rPr>
        <w:t>d. There is already an expressed qualification</w:t>
      </w:r>
      <w:r>
        <w:rPr>
          <w:rFonts w:ascii="Times New Roman" w:hAnsi="Times New Roman" w:cs="Times New Roman"/>
          <w:sz w:val="24"/>
          <w:szCs w:val="24"/>
        </w:rPr>
        <w:t xml:space="preserve"> in that the statutory tenant is granted an indulgence to have paid rent within seven</w:t>
      </w:r>
      <w:r w:rsidR="005D31C6">
        <w:rPr>
          <w:rFonts w:ascii="Times New Roman" w:hAnsi="Times New Roman" w:cs="Times New Roman"/>
          <w:sz w:val="24"/>
          <w:szCs w:val="24"/>
        </w:rPr>
        <w:t xml:space="preserve"> (7) </w:t>
      </w:r>
      <w:r>
        <w:rPr>
          <w:rFonts w:ascii="Times New Roman" w:hAnsi="Times New Roman" w:cs="Times New Roman"/>
          <w:sz w:val="24"/>
          <w:szCs w:val="24"/>
        </w:rPr>
        <w:t xml:space="preserve">days of its due date. The fact that the performance of the rest of the obligations are not qualified  means that they are to be strictly observed as with the seven </w:t>
      </w:r>
      <w:r w:rsidR="005D31C6">
        <w:rPr>
          <w:rFonts w:ascii="Times New Roman" w:hAnsi="Times New Roman" w:cs="Times New Roman"/>
          <w:sz w:val="24"/>
          <w:szCs w:val="24"/>
        </w:rPr>
        <w:t xml:space="preserve">(7) </w:t>
      </w:r>
      <w:r>
        <w:rPr>
          <w:rFonts w:ascii="Times New Roman" w:hAnsi="Times New Roman" w:cs="Times New Roman"/>
          <w:sz w:val="24"/>
          <w:szCs w:val="24"/>
        </w:rPr>
        <w:t xml:space="preserve">days extended period to pay rent post its due date. </w:t>
      </w:r>
    </w:p>
    <w:p w:rsidR="003A2C53" w:rsidRDefault="003A2C53" w:rsidP="003A2C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ingenuity counsel for the respondent s</w:t>
      </w:r>
      <w:r w:rsidR="005D31C6">
        <w:rPr>
          <w:rFonts w:ascii="Times New Roman" w:hAnsi="Times New Roman" w:cs="Times New Roman"/>
          <w:sz w:val="24"/>
          <w:szCs w:val="24"/>
        </w:rPr>
        <w:t>ubmitted as follows in para(</w:t>
      </w:r>
      <w:r>
        <w:rPr>
          <w:rFonts w:ascii="Times New Roman" w:hAnsi="Times New Roman" w:cs="Times New Roman"/>
          <w:sz w:val="24"/>
          <w:szCs w:val="24"/>
        </w:rPr>
        <w:t>s</w:t>
      </w:r>
      <w:r w:rsidR="005D31C6">
        <w:rPr>
          <w:rFonts w:ascii="Times New Roman" w:hAnsi="Times New Roman" w:cs="Times New Roman"/>
          <w:sz w:val="24"/>
          <w:szCs w:val="24"/>
        </w:rPr>
        <w:t>)</w:t>
      </w:r>
      <w:r>
        <w:rPr>
          <w:rFonts w:ascii="Times New Roman" w:hAnsi="Times New Roman" w:cs="Times New Roman"/>
          <w:sz w:val="24"/>
          <w:szCs w:val="24"/>
        </w:rPr>
        <w:t xml:space="preserve"> 24 to 26 of the respondent’s heads of argument:</w:t>
      </w:r>
    </w:p>
    <w:p w:rsidR="003A2C53" w:rsidRDefault="003A2C53" w:rsidP="005D31C6">
      <w:pPr>
        <w:spacing w:after="0" w:line="240" w:lineRule="auto"/>
        <w:ind w:left="720"/>
        <w:jc w:val="both"/>
        <w:rPr>
          <w:rFonts w:ascii="Times New Roman" w:hAnsi="Times New Roman" w:cs="Times New Roman"/>
        </w:rPr>
      </w:pPr>
      <w:r>
        <w:rPr>
          <w:rFonts w:ascii="Times New Roman" w:hAnsi="Times New Roman" w:cs="Times New Roman"/>
        </w:rPr>
        <w:lastRenderedPageBreak/>
        <w:t>“24.</w:t>
      </w:r>
      <w:r w:rsidR="005D31C6">
        <w:rPr>
          <w:rFonts w:ascii="Times New Roman" w:hAnsi="Times New Roman" w:cs="Times New Roman"/>
        </w:rPr>
        <w:t xml:space="preserve">  </w:t>
      </w:r>
      <w:r>
        <w:rPr>
          <w:rFonts w:ascii="Times New Roman" w:hAnsi="Times New Roman" w:cs="Times New Roman"/>
        </w:rPr>
        <w:t xml:space="preserve">It is therefore clear that the binding position of the law is that the courts are mandated to </w:t>
      </w:r>
      <w:r w:rsidR="005D31C6">
        <w:rPr>
          <w:rFonts w:ascii="Times New Roman" w:hAnsi="Times New Roman" w:cs="Times New Roman"/>
        </w:rPr>
        <w:t>take into consideration not</w:t>
      </w:r>
      <w:r>
        <w:rPr>
          <w:rFonts w:ascii="Times New Roman" w:hAnsi="Times New Roman" w:cs="Times New Roman"/>
        </w:rPr>
        <w:t xml:space="preserve"> whether the payment of the rentals within </w:t>
      </w:r>
      <w:r w:rsidR="005D31C6">
        <w:rPr>
          <w:rFonts w:ascii="Times New Roman" w:hAnsi="Times New Roman" w:cs="Times New Roman"/>
        </w:rPr>
        <w:t>se</w:t>
      </w:r>
      <w:r>
        <w:rPr>
          <w:rFonts w:ascii="Times New Roman" w:hAnsi="Times New Roman" w:cs="Times New Roman"/>
        </w:rPr>
        <w:t>ven days from the date they become due was strictly complied with to the exact letter, but whether the failure to observe strict compliance with</w:t>
      </w:r>
      <w:r w:rsidR="005D31C6">
        <w:rPr>
          <w:rFonts w:ascii="Times New Roman" w:hAnsi="Times New Roman" w:cs="Times New Roman"/>
        </w:rPr>
        <w:t>in</w:t>
      </w:r>
      <w:r>
        <w:rPr>
          <w:rFonts w:ascii="Times New Roman" w:hAnsi="Times New Roman" w:cs="Times New Roman"/>
        </w:rPr>
        <w:t xml:space="preserve"> the </w:t>
      </w:r>
      <w:r w:rsidR="001D0C5D">
        <w:rPr>
          <w:rFonts w:ascii="Times New Roman" w:hAnsi="Times New Roman" w:cs="Times New Roman"/>
        </w:rPr>
        <w:t xml:space="preserve">seven (7) </w:t>
      </w:r>
      <w:r>
        <w:rPr>
          <w:rFonts w:ascii="Times New Roman" w:hAnsi="Times New Roman" w:cs="Times New Roman"/>
        </w:rPr>
        <w:t xml:space="preserve">day time period defected the </w:t>
      </w:r>
      <w:r w:rsidR="005D31C6">
        <w:rPr>
          <w:rFonts w:ascii="Times New Roman" w:hAnsi="Times New Roman" w:cs="Times New Roman"/>
        </w:rPr>
        <w:t>general</w:t>
      </w:r>
      <w:r>
        <w:rPr>
          <w:rFonts w:ascii="Times New Roman" w:hAnsi="Times New Roman" w:cs="Times New Roman"/>
        </w:rPr>
        <w:t xml:space="preserve"> plan or object of the enactment.</w:t>
      </w:r>
    </w:p>
    <w:p w:rsidR="005D31C6" w:rsidRDefault="005D31C6" w:rsidP="005D31C6">
      <w:pPr>
        <w:spacing w:after="0" w:line="240" w:lineRule="auto"/>
        <w:ind w:left="720"/>
        <w:jc w:val="both"/>
        <w:rPr>
          <w:rFonts w:ascii="Times New Roman" w:hAnsi="Times New Roman" w:cs="Times New Roman"/>
        </w:rPr>
      </w:pPr>
    </w:p>
    <w:p w:rsidR="003A2C53" w:rsidRDefault="003A2C53" w:rsidP="003A2C53">
      <w:pPr>
        <w:spacing w:after="0" w:line="240" w:lineRule="auto"/>
        <w:ind w:left="720"/>
        <w:jc w:val="both"/>
        <w:rPr>
          <w:rFonts w:ascii="Times New Roman" w:hAnsi="Times New Roman" w:cs="Times New Roman"/>
        </w:rPr>
      </w:pPr>
      <w:r>
        <w:rPr>
          <w:rFonts w:ascii="Times New Roman" w:hAnsi="Times New Roman" w:cs="Times New Roman"/>
        </w:rPr>
        <w:t>25. It is abundantly clear  that s</w:t>
      </w:r>
      <w:r w:rsidR="000C79D6">
        <w:rPr>
          <w:rFonts w:ascii="Times New Roman" w:hAnsi="Times New Roman" w:cs="Times New Roman"/>
        </w:rPr>
        <w:t>ection</w:t>
      </w:r>
      <w:r>
        <w:rPr>
          <w:rFonts w:ascii="Times New Roman" w:hAnsi="Times New Roman" w:cs="Times New Roman"/>
        </w:rPr>
        <w:t xml:space="preserve"> 22 of the Commercial</w:t>
      </w:r>
      <w:r w:rsidR="005D31C6">
        <w:rPr>
          <w:rFonts w:ascii="Times New Roman" w:hAnsi="Times New Roman" w:cs="Times New Roman"/>
        </w:rPr>
        <w:t xml:space="preserve"> (</w:t>
      </w:r>
      <w:r w:rsidR="005D31C6" w:rsidRPr="005D31C6">
        <w:rPr>
          <w:rFonts w:ascii="Times New Roman" w:hAnsi="Times New Roman" w:cs="Times New Roman"/>
          <w:i/>
        </w:rPr>
        <w:t>sic</w:t>
      </w:r>
      <w:r w:rsidR="005D31C6">
        <w:rPr>
          <w:rFonts w:ascii="Times New Roman" w:hAnsi="Times New Roman" w:cs="Times New Roman"/>
        </w:rPr>
        <w:t xml:space="preserve">) </w:t>
      </w:r>
      <w:r>
        <w:rPr>
          <w:rFonts w:ascii="Times New Roman" w:hAnsi="Times New Roman" w:cs="Times New Roman"/>
        </w:rPr>
        <w:t xml:space="preserve"> Rent Regulations, 1983 seeks to protect tenant from capricious ejectment</w:t>
      </w:r>
      <w:r w:rsidR="000C79D6">
        <w:rPr>
          <w:rFonts w:ascii="Times New Roman" w:hAnsi="Times New Roman" w:cs="Times New Roman"/>
        </w:rPr>
        <w:t>s</w:t>
      </w:r>
      <w:r>
        <w:rPr>
          <w:rFonts w:ascii="Times New Roman" w:hAnsi="Times New Roman" w:cs="Times New Roman"/>
        </w:rPr>
        <w:t>, where there has been an expiry of a lease agreement but where, however</w:t>
      </w:r>
      <w:r w:rsidR="000C79D6">
        <w:rPr>
          <w:rFonts w:ascii="Times New Roman" w:hAnsi="Times New Roman" w:cs="Times New Roman"/>
        </w:rPr>
        <w:t>,</w:t>
      </w:r>
      <w:r>
        <w:rPr>
          <w:rFonts w:ascii="Times New Roman" w:hAnsi="Times New Roman" w:cs="Times New Roman"/>
        </w:rPr>
        <w:t xml:space="preserve"> these has been a c</w:t>
      </w:r>
      <w:r w:rsidR="00212A66">
        <w:rPr>
          <w:rFonts w:ascii="Times New Roman" w:hAnsi="Times New Roman" w:cs="Times New Roman"/>
        </w:rPr>
        <w:t>ontinuation in the</w:t>
      </w:r>
      <w:r w:rsidR="003615A6">
        <w:rPr>
          <w:rFonts w:ascii="Times New Roman" w:hAnsi="Times New Roman" w:cs="Times New Roman"/>
        </w:rPr>
        <w:t xml:space="preserve"> </w:t>
      </w:r>
      <w:r w:rsidR="000C79D6">
        <w:rPr>
          <w:rFonts w:ascii="Times New Roman" w:hAnsi="Times New Roman" w:cs="Times New Roman"/>
        </w:rPr>
        <w:t>observance of</w:t>
      </w:r>
      <w:r>
        <w:rPr>
          <w:rFonts w:ascii="Times New Roman" w:hAnsi="Times New Roman" w:cs="Times New Roman"/>
        </w:rPr>
        <w:t xml:space="preserve"> the pr</w:t>
      </w:r>
      <w:r w:rsidR="000C79D6">
        <w:rPr>
          <w:rFonts w:ascii="Times New Roman" w:hAnsi="Times New Roman" w:cs="Times New Roman"/>
        </w:rPr>
        <w:t>ovisions</w:t>
      </w:r>
      <w:r>
        <w:rPr>
          <w:rFonts w:ascii="Times New Roman" w:hAnsi="Times New Roman" w:cs="Times New Roman"/>
        </w:rPr>
        <w:t xml:space="preserve"> of the lease agreement. It has continued to pay rentals in the same manner that it has always done for the ten year period whom the lease agreement was still extant. </w:t>
      </w:r>
    </w:p>
    <w:p w:rsidR="000C79D6" w:rsidRDefault="000C79D6" w:rsidP="003A2C53">
      <w:pPr>
        <w:spacing w:after="0" w:line="240" w:lineRule="auto"/>
        <w:ind w:left="720"/>
        <w:jc w:val="both"/>
        <w:rPr>
          <w:rFonts w:ascii="Times New Roman" w:hAnsi="Times New Roman" w:cs="Times New Roman"/>
        </w:rPr>
      </w:pPr>
    </w:p>
    <w:p w:rsidR="003A2C53" w:rsidRDefault="003A2C53" w:rsidP="003A2C53">
      <w:pPr>
        <w:spacing w:after="0" w:line="240" w:lineRule="auto"/>
        <w:ind w:left="720"/>
        <w:jc w:val="both"/>
        <w:rPr>
          <w:rFonts w:ascii="Times New Roman" w:hAnsi="Times New Roman" w:cs="Times New Roman"/>
        </w:rPr>
      </w:pPr>
      <w:r>
        <w:rPr>
          <w:rFonts w:ascii="Times New Roman" w:hAnsi="Times New Roman" w:cs="Times New Roman"/>
        </w:rPr>
        <w:t>26. It is clear that the degree of non-compliance with the provisions of s</w:t>
      </w:r>
      <w:r w:rsidR="000C79D6">
        <w:rPr>
          <w:rFonts w:ascii="Times New Roman" w:hAnsi="Times New Roman" w:cs="Times New Roman"/>
        </w:rPr>
        <w:t>ection</w:t>
      </w:r>
      <w:r>
        <w:rPr>
          <w:rFonts w:ascii="Times New Roman" w:hAnsi="Times New Roman" w:cs="Times New Roman"/>
        </w:rPr>
        <w:t xml:space="preserve"> 22 was by no means great and the regulatory injunction was not frustrated or material</w:t>
      </w:r>
      <w:r w:rsidR="000C79D6">
        <w:rPr>
          <w:rFonts w:ascii="Times New Roman" w:hAnsi="Times New Roman" w:cs="Times New Roman"/>
        </w:rPr>
        <w:t>ly</w:t>
      </w:r>
      <w:r>
        <w:rPr>
          <w:rFonts w:ascii="Times New Roman" w:hAnsi="Times New Roman" w:cs="Times New Roman"/>
        </w:rPr>
        <w:t xml:space="preserve"> impaired by the respondent proceeding in the manner he did.”</w:t>
      </w:r>
    </w:p>
    <w:p w:rsidR="003A2C53" w:rsidRDefault="003A2C53" w:rsidP="003A2C53">
      <w:pPr>
        <w:spacing w:after="0" w:line="240" w:lineRule="auto"/>
        <w:ind w:left="720"/>
        <w:jc w:val="both"/>
        <w:rPr>
          <w:rFonts w:ascii="Times New Roman" w:hAnsi="Times New Roman" w:cs="Times New Roman"/>
        </w:rPr>
      </w:pPr>
    </w:p>
    <w:p w:rsidR="003A2C53" w:rsidRDefault="003A2C53" w:rsidP="003A2C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Expressed simply, the respondent admitted being in breach of the previously expired lease agreement in regard to late payment of rentals and continued to do so after legislative intervention to protect his </w:t>
      </w:r>
      <w:r w:rsidR="000C79D6">
        <w:rPr>
          <w:rFonts w:ascii="Times New Roman" w:hAnsi="Times New Roman" w:cs="Times New Roman"/>
          <w:sz w:val="24"/>
          <w:szCs w:val="24"/>
        </w:rPr>
        <w:t xml:space="preserve">continued </w:t>
      </w:r>
      <w:r>
        <w:rPr>
          <w:rFonts w:ascii="Times New Roman" w:hAnsi="Times New Roman" w:cs="Times New Roman"/>
          <w:sz w:val="24"/>
          <w:szCs w:val="24"/>
        </w:rPr>
        <w:t>occupation. The legislative intervention imposes conditions which the respondent did not comply with. The argument that the respondent substantially complied with its obligations has no place under s 22 of the regulations. The respondent disqualified himself from protection afforded by the Rent Regulations by paying rentals outside the stipulated period of seven</w:t>
      </w:r>
      <w:r w:rsidR="000C79D6">
        <w:rPr>
          <w:rFonts w:ascii="Times New Roman" w:hAnsi="Times New Roman" w:cs="Times New Roman"/>
          <w:sz w:val="24"/>
          <w:szCs w:val="24"/>
        </w:rPr>
        <w:t xml:space="preserve"> (7)</w:t>
      </w:r>
      <w:r>
        <w:rPr>
          <w:rFonts w:ascii="Times New Roman" w:hAnsi="Times New Roman" w:cs="Times New Roman"/>
          <w:sz w:val="24"/>
          <w:szCs w:val="24"/>
        </w:rPr>
        <w:t xml:space="preserve"> days of the due date. The appellant was on this basis entitled to seek the ejectment of the respondent. The court </w:t>
      </w:r>
      <w:r>
        <w:rPr>
          <w:rFonts w:ascii="Times New Roman" w:hAnsi="Times New Roman" w:cs="Times New Roman"/>
          <w:i/>
          <w:sz w:val="24"/>
          <w:szCs w:val="24"/>
        </w:rPr>
        <w:t>a quo</w:t>
      </w:r>
      <w:r>
        <w:rPr>
          <w:rFonts w:ascii="Times New Roman" w:hAnsi="Times New Roman" w:cs="Times New Roman"/>
          <w:sz w:val="24"/>
          <w:szCs w:val="24"/>
        </w:rPr>
        <w:t xml:space="preserve"> should have granted an order for the respondent’s ejectment on this basis.</w:t>
      </w:r>
    </w:p>
    <w:p w:rsidR="003A2C53" w:rsidRDefault="003A2C53" w:rsidP="003A2C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becomes unnecessary to consider the rest of the grounds of appeal including the point </w:t>
      </w:r>
      <w:r>
        <w:rPr>
          <w:rFonts w:ascii="Times New Roman" w:hAnsi="Times New Roman" w:cs="Times New Roman"/>
          <w:i/>
          <w:sz w:val="24"/>
          <w:szCs w:val="24"/>
        </w:rPr>
        <w:t>in limine</w:t>
      </w:r>
      <w:r>
        <w:rPr>
          <w:rFonts w:ascii="Times New Roman" w:hAnsi="Times New Roman" w:cs="Times New Roman"/>
          <w:sz w:val="24"/>
          <w:szCs w:val="24"/>
        </w:rPr>
        <w:t xml:space="preserve"> raised on the validity of the </w:t>
      </w:r>
      <w:r w:rsidR="000C79D6">
        <w:rPr>
          <w:rFonts w:ascii="Times New Roman" w:hAnsi="Times New Roman" w:cs="Times New Roman"/>
          <w:sz w:val="24"/>
          <w:szCs w:val="24"/>
        </w:rPr>
        <w:t>third</w:t>
      </w:r>
      <w:r>
        <w:rPr>
          <w:rFonts w:ascii="Times New Roman" w:hAnsi="Times New Roman" w:cs="Times New Roman"/>
          <w:sz w:val="24"/>
          <w:szCs w:val="24"/>
        </w:rPr>
        <w:t xml:space="preserve"> ground of appeal. The respondent was in breach of the statutory tenancy obligation to timeously pay rent and by so doing lost protection from ejectment. The court </w:t>
      </w:r>
      <w:r>
        <w:rPr>
          <w:rFonts w:ascii="Times New Roman" w:hAnsi="Times New Roman" w:cs="Times New Roman"/>
          <w:i/>
          <w:sz w:val="24"/>
          <w:szCs w:val="24"/>
        </w:rPr>
        <w:t>a quo</w:t>
      </w:r>
      <w:r>
        <w:rPr>
          <w:rFonts w:ascii="Times New Roman" w:hAnsi="Times New Roman" w:cs="Times New Roman"/>
          <w:sz w:val="24"/>
          <w:szCs w:val="24"/>
        </w:rPr>
        <w:t xml:space="preserve"> should have granted the appellant</w:t>
      </w:r>
      <w:r w:rsidR="000C79D6">
        <w:rPr>
          <w:rFonts w:ascii="Times New Roman" w:hAnsi="Times New Roman" w:cs="Times New Roman"/>
          <w:sz w:val="24"/>
          <w:szCs w:val="24"/>
        </w:rPr>
        <w:t>’</w:t>
      </w:r>
      <w:r>
        <w:rPr>
          <w:rFonts w:ascii="Times New Roman" w:hAnsi="Times New Roman" w:cs="Times New Roman"/>
          <w:sz w:val="24"/>
          <w:szCs w:val="24"/>
        </w:rPr>
        <w:t xml:space="preserve">s prayer with amendments. The appellant had prayed for confirmation of termination of the fixed term lease agreement. Such order </w:t>
      </w:r>
      <w:r w:rsidR="000C79D6">
        <w:rPr>
          <w:rFonts w:ascii="Times New Roman" w:hAnsi="Times New Roman" w:cs="Times New Roman"/>
          <w:sz w:val="24"/>
          <w:szCs w:val="24"/>
        </w:rPr>
        <w:t xml:space="preserve">would </w:t>
      </w:r>
      <w:r w:rsidR="00D65066">
        <w:rPr>
          <w:rFonts w:ascii="Times New Roman" w:hAnsi="Times New Roman" w:cs="Times New Roman"/>
          <w:sz w:val="24"/>
          <w:szCs w:val="24"/>
        </w:rPr>
        <w:t>be unnecessar</w:t>
      </w:r>
      <w:r>
        <w:rPr>
          <w:rFonts w:ascii="Times New Roman" w:hAnsi="Times New Roman" w:cs="Times New Roman"/>
          <w:sz w:val="24"/>
          <w:szCs w:val="24"/>
        </w:rPr>
        <w:t>y because on the pleadings it was accepted that the lease had expired. The respondent and appellant’s relationship was one of statutory tenancy. The ejectment of the respondent would follow from a breach of the statutory tenancy conditions. There was equally no justification for the appellant to seek costs on the legal practitioner and client scale because there was nothing in the conduct of the respondent which warranted that it be punished with punitive costs.</w:t>
      </w:r>
    </w:p>
    <w:p w:rsidR="003A2C53" w:rsidRPr="001D0C5D" w:rsidRDefault="003A2C53" w:rsidP="003A2C53">
      <w:pPr>
        <w:spacing w:after="0" w:line="360" w:lineRule="auto"/>
        <w:ind w:firstLine="720"/>
        <w:jc w:val="both"/>
        <w:rPr>
          <w:rFonts w:ascii="Times New Roman" w:hAnsi="Times New Roman" w:cs="Times New Roman"/>
          <w:b/>
          <w:sz w:val="24"/>
          <w:szCs w:val="24"/>
          <w:u w:val="single"/>
        </w:rPr>
      </w:pPr>
      <w:r w:rsidRPr="001D0C5D">
        <w:rPr>
          <w:rFonts w:ascii="Times New Roman" w:hAnsi="Times New Roman" w:cs="Times New Roman"/>
          <w:b/>
          <w:sz w:val="24"/>
          <w:szCs w:val="24"/>
          <w:u w:val="single"/>
        </w:rPr>
        <w:t xml:space="preserve">Disposition </w:t>
      </w:r>
    </w:p>
    <w:p w:rsidR="003A2C53" w:rsidRDefault="003A2C53" w:rsidP="003A2C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order is consequently made:-</w:t>
      </w:r>
    </w:p>
    <w:p w:rsidR="003A2C53" w:rsidRDefault="003A2C53" w:rsidP="003A2C5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appeal succeeds with costs.</w:t>
      </w:r>
    </w:p>
    <w:p w:rsidR="003A2C53" w:rsidRDefault="003A2C53" w:rsidP="003A2C5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judgment of the court </w:t>
      </w:r>
      <w:r w:rsidRPr="000C79D6">
        <w:rPr>
          <w:rFonts w:ascii="Times New Roman" w:hAnsi="Times New Roman" w:cs="Times New Roman"/>
          <w:i/>
          <w:sz w:val="24"/>
          <w:szCs w:val="24"/>
        </w:rPr>
        <w:t>a quo</w:t>
      </w:r>
      <w:r>
        <w:rPr>
          <w:rFonts w:ascii="Times New Roman" w:hAnsi="Times New Roman" w:cs="Times New Roman"/>
          <w:sz w:val="24"/>
          <w:szCs w:val="24"/>
        </w:rPr>
        <w:t xml:space="preserve"> is set aside and the following order is substituted:</w:t>
      </w:r>
    </w:p>
    <w:p w:rsidR="003A2C53" w:rsidRDefault="003A2C53" w:rsidP="000C79D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having failed to obs</w:t>
      </w:r>
      <w:r w:rsidR="000C79D6">
        <w:rPr>
          <w:rFonts w:ascii="Times New Roman" w:hAnsi="Times New Roman" w:cs="Times New Roman"/>
          <w:sz w:val="24"/>
          <w:szCs w:val="24"/>
        </w:rPr>
        <w:t xml:space="preserve">erve the provisions of para (a) of subs.(2) of s </w:t>
      </w:r>
      <w:r w:rsidRPr="000C79D6">
        <w:rPr>
          <w:rFonts w:ascii="Times New Roman" w:hAnsi="Times New Roman" w:cs="Times New Roman"/>
          <w:sz w:val="24"/>
          <w:szCs w:val="24"/>
        </w:rPr>
        <w:t>22 of the Commercial Premises (Rent) Regulations S.I</w:t>
      </w:r>
      <w:r w:rsidR="000C79D6">
        <w:rPr>
          <w:rFonts w:ascii="Times New Roman" w:hAnsi="Times New Roman" w:cs="Times New Roman"/>
          <w:sz w:val="24"/>
          <w:szCs w:val="24"/>
        </w:rPr>
        <w:t>. 676/1983</w:t>
      </w:r>
      <w:r w:rsidRPr="000C79D6">
        <w:rPr>
          <w:rFonts w:ascii="Times New Roman" w:hAnsi="Times New Roman" w:cs="Times New Roman"/>
          <w:sz w:val="24"/>
          <w:szCs w:val="24"/>
        </w:rPr>
        <w:t xml:space="preserve"> in that it failed to timeously pay rental within seven </w:t>
      </w:r>
      <w:r w:rsidR="000C79D6">
        <w:rPr>
          <w:rFonts w:ascii="Times New Roman" w:hAnsi="Times New Roman" w:cs="Times New Roman"/>
          <w:sz w:val="24"/>
          <w:szCs w:val="24"/>
        </w:rPr>
        <w:t xml:space="preserve">(7) </w:t>
      </w:r>
      <w:r w:rsidRPr="000C79D6">
        <w:rPr>
          <w:rFonts w:ascii="Times New Roman" w:hAnsi="Times New Roman" w:cs="Times New Roman"/>
          <w:sz w:val="24"/>
          <w:szCs w:val="24"/>
        </w:rPr>
        <w:t>days of due date</w:t>
      </w:r>
      <w:r w:rsidR="00D65066">
        <w:rPr>
          <w:rFonts w:ascii="Times New Roman" w:hAnsi="Times New Roman" w:cs="Times New Roman"/>
          <w:sz w:val="24"/>
          <w:szCs w:val="24"/>
        </w:rPr>
        <w:t>,</w:t>
      </w:r>
      <w:r w:rsidRPr="000C79D6">
        <w:rPr>
          <w:rFonts w:ascii="Times New Roman" w:hAnsi="Times New Roman" w:cs="Times New Roman"/>
          <w:sz w:val="24"/>
          <w:szCs w:val="24"/>
        </w:rPr>
        <w:t xml:space="preserve"> the plaintiff is entitled to an order ejecting the defendant</w:t>
      </w:r>
      <w:r w:rsidR="00D65066">
        <w:rPr>
          <w:rFonts w:ascii="Times New Roman" w:hAnsi="Times New Roman" w:cs="Times New Roman"/>
          <w:sz w:val="24"/>
          <w:szCs w:val="24"/>
        </w:rPr>
        <w:t xml:space="preserve"> as follows:</w:t>
      </w:r>
    </w:p>
    <w:p w:rsidR="003A2C53" w:rsidRDefault="003A2C53" w:rsidP="00DA5769">
      <w:pPr>
        <w:pStyle w:val="ListParagraph"/>
        <w:numPr>
          <w:ilvl w:val="0"/>
          <w:numId w:val="7"/>
        </w:numPr>
        <w:spacing w:after="0" w:line="360" w:lineRule="auto"/>
        <w:jc w:val="both"/>
        <w:rPr>
          <w:rFonts w:ascii="Times New Roman" w:hAnsi="Times New Roman" w:cs="Times New Roman"/>
          <w:sz w:val="24"/>
          <w:szCs w:val="24"/>
        </w:rPr>
      </w:pPr>
      <w:r w:rsidRPr="00DA5769">
        <w:rPr>
          <w:rFonts w:ascii="Times New Roman" w:hAnsi="Times New Roman" w:cs="Times New Roman"/>
          <w:sz w:val="24"/>
          <w:szCs w:val="24"/>
        </w:rPr>
        <w:t xml:space="preserve">The order for the ejectment of the defendant </w:t>
      </w:r>
      <w:r w:rsidR="00D65066">
        <w:rPr>
          <w:rFonts w:ascii="Times New Roman" w:hAnsi="Times New Roman" w:cs="Times New Roman"/>
          <w:sz w:val="24"/>
          <w:szCs w:val="24"/>
        </w:rPr>
        <w:t>and all persons claiming occupation through the defendant of Shop No. 1</w:t>
      </w:r>
      <w:r w:rsidRPr="00DA5769">
        <w:rPr>
          <w:rFonts w:ascii="Times New Roman" w:hAnsi="Times New Roman" w:cs="Times New Roman"/>
          <w:sz w:val="24"/>
          <w:szCs w:val="24"/>
        </w:rPr>
        <w:t>, 32 Julius Nyerere Way, Harare is issued.</w:t>
      </w:r>
    </w:p>
    <w:p w:rsidR="00D65066" w:rsidRDefault="003A2C53" w:rsidP="00DA5769">
      <w:pPr>
        <w:pStyle w:val="ListParagraph"/>
        <w:numPr>
          <w:ilvl w:val="0"/>
          <w:numId w:val="7"/>
        </w:numPr>
        <w:spacing w:after="0" w:line="360" w:lineRule="auto"/>
        <w:jc w:val="both"/>
        <w:rPr>
          <w:rFonts w:ascii="Times New Roman" w:hAnsi="Times New Roman" w:cs="Times New Roman"/>
          <w:sz w:val="24"/>
          <w:szCs w:val="24"/>
        </w:rPr>
      </w:pPr>
      <w:r w:rsidRPr="00DA5769">
        <w:rPr>
          <w:rFonts w:ascii="Times New Roman" w:hAnsi="Times New Roman" w:cs="Times New Roman"/>
          <w:sz w:val="24"/>
          <w:szCs w:val="24"/>
        </w:rPr>
        <w:t>Costs of suit</w:t>
      </w:r>
      <w:r w:rsidR="00D65066">
        <w:rPr>
          <w:rFonts w:ascii="Times New Roman" w:hAnsi="Times New Roman" w:cs="Times New Roman"/>
          <w:sz w:val="24"/>
          <w:szCs w:val="24"/>
        </w:rPr>
        <w:t xml:space="preserve"> shall be paid by the defendant.</w:t>
      </w:r>
    </w:p>
    <w:p w:rsidR="003A2C53" w:rsidRPr="00DA5769" w:rsidRDefault="00D65066" w:rsidP="00DA5769">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shall pay the costs of appeal</w:t>
      </w:r>
      <w:r w:rsidR="003A2C53" w:rsidRPr="00DA5769">
        <w:rPr>
          <w:rFonts w:ascii="Times New Roman" w:hAnsi="Times New Roman" w:cs="Times New Roman"/>
          <w:sz w:val="24"/>
          <w:szCs w:val="24"/>
        </w:rPr>
        <w:t xml:space="preserve">.  </w:t>
      </w:r>
    </w:p>
    <w:p w:rsidR="003A2C53" w:rsidRDefault="003A2C53" w:rsidP="003A2C53">
      <w:pPr>
        <w:spacing w:after="0" w:line="360" w:lineRule="auto"/>
        <w:ind w:firstLine="720"/>
        <w:jc w:val="both"/>
        <w:rPr>
          <w:rFonts w:ascii="Times New Roman" w:hAnsi="Times New Roman" w:cs="Times New Roman"/>
          <w:sz w:val="24"/>
          <w:szCs w:val="24"/>
        </w:rPr>
      </w:pPr>
    </w:p>
    <w:p w:rsidR="00E03973" w:rsidRDefault="00E03973" w:rsidP="003A2C53">
      <w:pPr>
        <w:spacing w:line="360" w:lineRule="auto"/>
        <w:jc w:val="both"/>
        <w:rPr>
          <w:rFonts w:ascii="Times New Roman" w:hAnsi="Times New Roman" w:cs="Times New Roman"/>
          <w:sz w:val="24"/>
          <w:szCs w:val="24"/>
        </w:rPr>
      </w:pPr>
    </w:p>
    <w:p w:rsidR="00E03973" w:rsidRDefault="00E03973" w:rsidP="003A2C53">
      <w:pPr>
        <w:spacing w:line="360" w:lineRule="auto"/>
        <w:jc w:val="both"/>
        <w:rPr>
          <w:rFonts w:ascii="Times New Roman" w:hAnsi="Times New Roman" w:cs="Times New Roman"/>
          <w:sz w:val="24"/>
          <w:szCs w:val="24"/>
        </w:rPr>
      </w:pPr>
    </w:p>
    <w:p w:rsidR="003A2C53" w:rsidRDefault="00E03973" w:rsidP="003A2C53">
      <w:pPr>
        <w:spacing w:line="360" w:lineRule="auto"/>
        <w:jc w:val="both"/>
        <w:rPr>
          <w:rFonts w:ascii="Times New Roman" w:hAnsi="Times New Roman" w:cs="Times New Roman"/>
          <w:sz w:val="24"/>
          <w:szCs w:val="24"/>
        </w:rPr>
      </w:pPr>
      <w:r>
        <w:rPr>
          <w:rFonts w:ascii="Times New Roman" w:hAnsi="Times New Roman" w:cs="Times New Roman"/>
          <w:sz w:val="24"/>
          <w:szCs w:val="24"/>
        </w:rPr>
        <w:t>CHIRAWU-MUGOMBA J: agrees:……………………</w:t>
      </w:r>
      <w:r w:rsidR="003A2C53">
        <w:rPr>
          <w:rFonts w:ascii="Times New Roman" w:hAnsi="Times New Roman" w:cs="Times New Roman"/>
          <w:sz w:val="24"/>
          <w:szCs w:val="24"/>
        </w:rPr>
        <w:tab/>
      </w:r>
    </w:p>
    <w:p w:rsidR="003A2C53" w:rsidRDefault="003A2C53" w:rsidP="003A2C53">
      <w:pPr>
        <w:spacing w:line="360" w:lineRule="auto"/>
        <w:jc w:val="both"/>
        <w:rPr>
          <w:rFonts w:ascii="Times New Roman" w:hAnsi="Times New Roman" w:cs="Times New Roman"/>
          <w:sz w:val="24"/>
          <w:szCs w:val="24"/>
        </w:rPr>
      </w:pPr>
    </w:p>
    <w:p w:rsidR="00E03973" w:rsidRDefault="00E03973" w:rsidP="003A2C53">
      <w:pPr>
        <w:spacing w:line="360" w:lineRule="auto"/>
        <w:jc w:val="both"/>
        <w:rPr>
          <w:rFonts w:ascii="Times New Roman" w:hAnsi="Times New Roman" w:cs="Times New Roman"/>
          <w:sz w:val="24"/>
          <w:szCs w:val="24"/>
        </w:rPr>
      </w:pPr>
    </w:p>
    <w:p w:rsidR="003A2C53" w:rsidRDefault="003A2C53" w:rsidP="003A2C5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Matizanadzo &amp; Warhurst</w:t>
      </w:r>
      <w:r>
        <w:rPr>
          <w:rFonts w:ascii="Times New Roman" w:hAnsi="Times New Roman" w:cs="Times New Roman"/>
          <w:sz w:val="24"/>
          <w:szCs w:val="24"/>
        </w:rPr>
        <w:t>, appellant’s legal practitioners</w:t>
      </w:r>
    </w:p>
    <w:p w:rsidR="003A2C53" w:rsidRDefault="00DA5769" w:rsidP="003A2C5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Tavenhaw</w:t>
      </w:r>
      <w:r w:rsidR="003A2C53">
        <w:rPr>
          <w:rFonts w:ascii="Times New Roman" w:hAnsi="Times New Roman" w:cs="Times New Roman"/>
          <w:i/>
          <w:sz w:val="24"/>
          <w:szCs w:val="24"/>
        </w:rPr>
        <w:t>e &amp; Machingauta</w:t>
      </w:r>
      <w:r w:rsidR="003A2C53">
        <w:rPr>
          <w:rFonts w:ascii="Times New Roman" w:hAnsi="Times New Roman" w:cs="Times New Roman"/>
          <w:sz w:val="24"/>
          <w:szCs w:val="24"/>
        </w:rPr>
        <w:t xml:space="preserve">, respondent’s legal practitioners                </w:t>
      </w:r>
    </w:p>
    <w:p w:rsidR="003A2C53" w:rsidRDefault="003A2C53" w:rsidP="003A2C53">
      <w:pPr>
        <w:spacing w:after="0" w:line="360" w:lineRule="auto"/>
        <w:jc w:val="both"/>
        <w:rPr>
          <w:rFonts w:ascii="Times New Roman" w:hAnsi="Times New Roman" w:cs="Times New Roman"/>
          <w:sz w:val="24"/>
          <w:szCs w:val="24"/>
        </w:rPr>
      </w:pPr>
    </w:p>
    <w:p w:rsidR="00183953" w:rsidRPr="0056069C" w:rsidRDefault="00183953">
      <w:pPr>
        <w:rPr>
          <w:rFonts w:ascii="Times New Roman" w:hAnsi="Times New Roman" w:cs="Times New Roman"/>
          <w:sz w:val="24"/>
          <w:szCs w:val="24"/>
        </w:rPr>
      </w:pPr>
    </w:p>
    <w:sectPr w:rsidR="00183953" w:rsidRPr="0056069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A2A" w:rsidRDefault="002D4A2A" w:rsidP="003A2C53">
      <w:pPr>
        <w:spacing w:after="0" w:line="240" w:lineRule="auto"/>
      </w:pPr>
      <w:r>
        <w:separator/>
      </w:r>
    </w:p>
  </w:endnote>
  <w:endnote w:type="continuationSeparator" w:id="0">
    <w:p w:rsidR="002D4A2A" w:rsidRDefault="002D4A2A" w:rsidP="003A2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A2A" w:rsidRDefault="002D4A2A" w:rsidP="003A2C53">
      <w:pPr>
        <w:spacing w:after="0" w:line="240" w:lineRule="auto"/>
      </w:pPr>
      <w:r>
        <w:separator/>
      </w:r>
    </w:p>
  </w:footnote>
  <w:footnote w:type="continuationSeparator" w:id="0">
    <w:p w:rsidR="002D4A2A" w:rsidRDefault="002D4A2A" w:rsidP="003A2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876997"/>
      <w:docPartObj>
        <w:docPartGallery w:val="Page Numbers (Top of Page)"/>
        <w:docPartUnique/>
      </w:docPartObj>
    </w:sdtPr>
    <w:sdtEndPr>
      <w:rPr>
        <w:noProof/>
      </w:rPr>
    </w:sdtEndPr>
    <w:sdtContent>
      <w:p w:rsidR="003A2C53" w:rsidRDefault="003A2C53">
        <w:pPr>
          <w:pStyle w:val="Header"/>
          <w:jc w:val="right"/>
          <w:rPr>
            <w:noProof/>
          </w:rPr>
        </w:pPr>
        <w:r>
          <w:fldChar w:fldCharType="begin"/>
        </w:r>
        <w:r>
          <w:instrText xml:space="preserve"> PAGE   \* MERGEFORMAT </w:instrText>
        </w:r>
        <w:r>
          <w:fldChar w:fldCharType="separate"/>
        </w:r>
        <w:r w:rsidR="002B0133">
          <w:rPr>
            <w:noProof/>
          </w:rPr>
          <w:t>1</w:t>
        </w:r>
        <w:r>
          <w:rPr>
            <w:noProof/>
          </w:rPr>
          <w:fldChar w:fldCharType="end"/>
        </w:r>
      </w:p>
      <w:p w:rsidR="003A2C53" w:rsidRDefault="003A2C53">
        <w:pPr>
          <w:pStyle w:val="Header"/>
          <w:jc w:val="right"/>
          <w:rPr>
            <w:noProof/>
          </w:rPr>
        </w:pPr>
        <w:r>
          <w:rPr>
            <w:noProof/>
          </w:rPr>
          <w:t>HH</w:t>
        </w:r>
        <w:r w:rsidR="003F48D2">
          <w:rPr>
            <w:noProof/>
          </w:rPr>
          <w:t xml:space="preserve"> 527-21</w:t>
        </w:r>
      </w:p>
      <w:p w:rsidR="003A2C53" w:rsidRDefault="003A2C53">
        <w:pPr>
          <w:pStyle w:val="Header"/>
          <w:jc w:val="right"/>
          <w:rPr>
            <w:noProof/>
          </w:rPr>
        </w:pPr>
        <w:r>
          <w:rPr>
            <w:noProof/>
          </w:rPr>
          <w:t>CIV ‘A’ 292/19</w:t>
        </w:r>
      </w:p>
      <w:p w:rsidR="003A2C53" w:rsidRDefault="003A2C53">
        <w:pPr>
          <w:pStyle w:val="Header"/>
          <w:jc w:val="right"/>
        </w:pPr>
        <w:r>
          <w:rPr>
            <w:noProof/>
          </w:rPr>
          <w:t>REF CASE NO. MC 4305/19</w:t>
        </w:r>
      </w:p>
    </w:sdtContent>
  </w:sdt>
  <w:p w:rsidR="003A2C53" w:rsidRDefault="003A2C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B33D3"/>
    <w:multiLevelType w:val="hybridMultilevel"/>
    <w:tmpl w:val="8E921126"/>
    <w:lvl w:ilvl="0" w:tplc="272624DC">
      <w:start w:val="1"/>
      <w:numFmt w:val="lowerLetter"/>
      <w:lvlText w:val="%1)"/>
      <w:lvlJc w:val="left"/>
      <w:pPr>
        <w:ind w:left="1440" w:hanging="360"/>
      </w:pPr>
    </w:lvl>
    <w:lvl w:ilvl="1" w:tplc="30090019">
      <w:start w:val="1"/>
      <w:numFmt w:val="lowerLetter"/>
      <w:lvlText w:val="%2."/>
      <w:lvlJc w:val="left"/>
      <w:pPr>
        <w:ind w:left="2160" w:hanging="360"/>
      </w:pPr>
    </w:lvl>
    <w:lvl w:ilvl="2" w:tplc="3009001B">
      <w:start w:val="1"/>
      <w:numFmt w:val="lowerRoman"/>
      <w:lvlText w:val="%3."/>
      <w:lvlJc w:val="right"/>
      <w:pPr>
        <w:ind w:left="2880" w:hanging="180"/>
      </w:pPr>
    </w:lvl>
    <w:lvl w:ilvl="3" w:tplc="3009000F">
      <w:start w:val="1"/>
      <w:numFmt w:val="decimal"/>
      <w:lvlText w:val="%4."/>
      <w:lvlJc w:val="left"/>
      <w:pPr>
        <w:ind w:left="3600" w:hanging="360"/>
      </w:pPr>
    </w:lvl>
    <w:lvl w:ilvl="4" w:tplc="30090019">
      <w:start w:val="1"/>
      <w:numFmt w:val="lowerLetter"/>
      <w:lvlText w:val="%5."/>
      <w:lvlJc w:val="left"/>
      <w:pPr>
        <w:ind w:left="4320" w:hanging="360"/>
      </w:pPr>
    </w:lvl>
    <w:lvl w:ilvl="5" w:tplc="3009001B">
      <w:start w:val="1"/>
      <w:numFmt w:val="lowerRoman"/>
      <w:lvlText w:val="%6."/>
      <w:lvlJc w:val="right"/>
      <w:pPr>
        <w:ind w:left="5040" w:hanging="180"/>
      </w:pPr>
    </w:lvl>
    <w:lvl w:ilvl="6" w:tplc="3009000F">
      <w:start w:val="1"/>
      <w:numFmt w:val="decimal"/>
      <w:lvlText w:val="%7."/>
      <w:lvlJc w:val="left"/>
      <w:pPr>
        <w:ind w:left="5760" w:hanging="360"/>
      </w:pPr>
    </w:lvl>
    <w:lvl w:ilvl="7" w:tplc="30090019">
      <w:start w:val="1"/>
      <w:numFmt w:val="lowerLetter"/>
      <w:lvlText w:val="%8."/>
      <w:lvlJc w:val="left"/>
      <w:pPr>
        <w:ind w:left="6480" w:hanging="360"/>
      </w:pPr>
    </w:lvl>
    <w:lvl w:ilvl="8" w:tplc="3009001B">
      <w:start w:val="1"/>
      <w:numFmt w:val="lowerRoman"/>
      <w:lvlText w:val="%9."/>
      <w:lvlJc w:val="right"/>
      <w:pPr>
        <w:ind w:left="7200" w:hanging="180"/>
      </w:pPr>
    </w:lvl>
  </w:abstractNum>
  <w:abstractNum w:abstractNumId="1" w15:restartNumberingAfterBreak="0">
    <w:nsid w:val="17BE07C5"/>
    <w:multiLevelType w:val="hybridMultilevel"/>
    <w:tmpl w:val="4EBAB754"/>
    <w:lvl w:ilvl="0" w:tplc="AC6EA87C">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2" w15:restartNumberingAfterBreak="0">
    <w:nsid w:val="23F76426"/>
    <w:multiLevelType w:val="hybridMultilevel"/>
    <w:tmpl w:val="63261CBA"/>
    <w:lvl w:ilvl="0" w:tplc="5A8049C4">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666E62E2"/>
    <w:multiLevelType w:val="hybridMultilevel"/>
    <w:tmpl w:val="6C3CA7E2"/>
    <w:lvl w:ilvl="0" w:tplc="706A212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76A852E6"/>
    <w:multiLevelType w:val="hybridMultilevel"/>
    <w:tmpl w:val="C5AE3AAC"/>
    <w:lvl w:ilvl="0" w:tplc="B0763B00">
      <w:start w:val="1"/>
      <w:numFmt w:val="lowerRoman"/>
      <w:lvlText w:val="%1)"/>
      <w:lvlJc w:val="left"/>
      <w:pPr>
        <w:ind w:left="1800" w:hanging="720"/>
      </w:pPr>
    </w:lvl>
    <w:lvl w:ilvl="1" w:tplc="30090019">
      <w:start w:val="1"/>
      <w:numFmt w:val="lowerLetter"/>
      <w:lvlText w:val="%2."/>
      <w:lvlJc w:val="left"/>
      <w:pPr>
        <w:ind w:left="2160" w:hanging="360"/>
      </w:pPr>
    </w:lvl>
    <w:lvl w:ilvl="2" w:tplc="3009001B">
      <w:start w:val="1"/>
      <w:numFmt w:val="lowerRoman"/>
      <w:lvlText w:val="%3."/>
      <w:lvlJc w:val="right"/>
      <w:pPr>
        <w:ind w:left="2880" w:hanging="180"/>
      </w:pPr>
    </w:lvl>
    <w:lvl w:ilvl="3" w:tplc="3009000F">
      <w:start w:val="1"/>
      <w:numFmt w:val="decimal"/>
      <w:lvlText w:val="%4."/>
      <w:lvlJc w:val="left"/>
      <w:pPr>
        <w:ind w:left="3600" w:hanging="360"/>
      </w:pPr>
    </w:lvl>
    <w:lvl w:ilvl="4" w:tplc="30090019">
      <w:start w:val="1"/>
      <w:numFmt w:val="lowerLetter"/>
      <w:lvlText w:val="%5."/>
      <w:lvlJc w:val="left"/>
      <w:pPr>
        <w:ind w:left="4320" w:hanging="360"/>
      </w:pPr>
    </w:lvl>
    <w:lvl w:ilvl="5" w:tplc="3009001B">
      <w:start w:val="1"/>
      <w:numFmt w:val="lowerRoman"/>
      <w:lvlText w:val="%6."/>
      <w:lvlJc w:val="right"/>
      <w:pPr>
        <w:ind w:left="5040" w:hanging="180"/>
      </w:pPr>
    </w:lvl>
    <w:lvl w:ilvl="6" w:tplc="3009000F">
      <w:start w:val="1"/>
      <w:numFmt w:val="decimal"/>
      <w:lvlText w:val="%7."/>
      <w:lvlJc w:val="left"/>
      <w:pPr>
        <w:ind w:left="5760" w:hanging="360"/>
      </w:pPr>
    </w:lvl>
    <w:lvl w:ilvl="7" w:tplc="30090019">
      <w:start w:val="1"/>
      <w:numFmt w:val="lowerLetter"/>
      <w:lvlText w:val="%8."/>
      <w:lvlJc w:val="left"/>
      <w:pPr>
        <w:ind w:left="6480" w:hanging="360"/>
      </w:pPr>
    </w:lvl>
    <w:lvl w:ilvl="8" w:tplc="3009001B">
      <w:start w:val="1"/>
      <w:numFmt w:val="lowerRoman"/>
      <w:lvlText w:val="%9."/>
      <w:lvlJc w:val="right"/>
      <w:pPr>
        <w:ind w:left="7200" w:hanging="180"/>
      </w:pPr>
    </w:lvl>
  </w:abstractNum>
  <w:abstractNum w:abstractNumId="5" w15:restartNumberingAfterBreak="0">
    <w:nsid w:val="7AA438BA"/>
    <w:multiLevelType w:val="hybridMultilevel"/>
    <w:tmpl w:val="A596D8D0"/>
    <w:lvl w:ilvl="0" w:tplc="0DAE32AE">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7DBA0B2D"/>
    <w:multiLevelType w:val="hybridMultilevel"/>
    <w:tmpl w:val="7D4654EC"/>
    <w:lvl w:ilvl="0" w:tplc="55CCE59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2"/>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69C"/>
    <w:rsid w:val="00003ACE"/>
    <w:rsid w:val="0007261B"/>
    <w:rsid w:val="000C79D6"/>
    <w:rsid w:val="000D5976"/>
    <w:rsid w:val="00183953"/>
    <w:rsid w:val="001900AF"/>
    <w:rsid w:val="001D0C5D"/>
    <w:rsid w:val="00212A66"/>
    <w:rsid w:val="002B0133"/>
    <w:rsid w:val="002D4A2A"/>
    <w:rsid w:val="002F77B7"/>
    <w:rsid w:val="0035398C"/>
    <w:rsid w:val="003615A6"/>
    <w:rsid w:val="003A2C53"/>
    <w:rsid w:val="003F48D2"/>
    <w:rsid w:val="00477F39"/>
    <w:rsid w:val="004A3188"/>
    <w:rsid w:val="0056069C"/>
    <w:rsid w:val="005D31C6"/>
    <w:rsid w:val="006A10DD"/>
    <w:rsid w:val="00715BF6"/>
    <w:rsid w:val="00767525"/>
    <w:rsid w:val="00774FEF"/>
    <w:rsid w:val="007960D7"/>
    <w:rsid w:val="00812219"/>
    <w:rsid w:val="008F1380"/>
    <w:rsid w:val="00934C1B"/>
    <w:rsid w:val="009A6400"/>
    <w:rsid w:val="00A74CAC"/>
    <w:rsid w:val="00BC396F"/>
    <w:rsid w:val="00CD00DE"/>
    <w:rsid w:val="00D65066"/>
    <w:rsid w:val="00D93950"/>
    <w:rsid w:val="00DA5769"/>
    <w:rsid w:val="00E03973"/>
    <w:rsid w:val="00F27F8D"/>
    <w:rsid w:val="00F44DC3"/>
    <w:rsid w:val="00F56899"/>
    <w:rsid w:val="00F8043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7E82A-0E67-40A6-9FD2-B4EA07DCA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380"/>
    <w:pPr>
      <w:ind w:left="720"/>
      <w:contextualSpacing/>
    </w:pPr>
  </w:style>
  <w:style w:type="paragraph" w:styleId="Header">
    <w:name w:val="header"/>
    <w:basedOn w:val="Normal"/>
    <w:link w:val="HeaderChar"/>
    <w:uiPriority w:val="99"/>
    <w:unhideWhenUsed/>
    <w:rsid w:val="003A2C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C53"/>
  </w:style>
  <w:style w:type="paragraph" w:styleId="Footer">
    <w:name w:val="footer"/>
    <w:basedOn w:val="Normal"/>
    <w:link w:val="FooterChar"/>
    <w:uiPriority w:val="99"/>
    <w:unhideWhenUsed/>
    <w:rsid w:val="003A2C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C53"/>
  </w:style>
  <w:style w:type="paragraph" w:styleId="BalloonText">
    <w:name w:val="Balloon Text"/>
    <w:basedOn w:val="Normal"/>
    <w:link w:val="BalloonTextChar"/>
    <w:uiPriority w:val="99"/>
    <w:semiHidden/>
    <w:unhideWhenUsed/>
    <w:rsid w:val="003F48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8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00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3253</Words>
  <Characters>18548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2021-09-24T08:17:00Z</cp:lastPrinted>
  <dcterms:created xsi:type="dcterms:W3CDTF">2021-10-01T09:16:00Z</dcterms:created>
  <dcterms:modified xsi:type="dcterms:W3CDTF">2021-10-01T09:16:00Z</dcterms:modified>
</cp:coreProperties>
</file>