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7D2" w:rsidRDefault="00BB59AD"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VUSIMUSI NDLOVU</w:t>
      </w:r>
      <w:r w:rsidR="006957D2">
        <w:rPr>
          <w:rFonts w:ascii="Times New Roman" w:hAnsi="Times New Roman" w:cs="Times New Roman"/>
          <w:sz w:val="24"/>
          <w:szCs w:val="24"/>
        </w:rPr>
        <w:tab/>
      </w:r>
      <w:r w:rsidR="006957D2">
        <w:rPr>
          <w:rFonts w:ascii="Times New Roman" w:hAnsi="Times New Roman" w:cs="Times New Roman"/>
          <w:sz w:val="24"/>
          <w:szCs w:val="24"/>
        </w:rPr>
        <w:tab/>
      </w:r>
      <w:r w:rsidR="006957D2">
        <w:rPr>
          <w:rFonts w:ascii="Times New Roman" w:hAnsi="Times New Roman" w:cs="Times New Roman"/>
          <w:sz w:val="24"/>
          <w:szCs w:val="24"/>
        </w:rPr>
        <w:tab/>
      </w:r>
      <w:r w:rsidR="006957D2">
        <w:rPr>
          <w:rFonts w:ascii="Times New Roman" w:hAnsi="Times New Roman" w:cs="Times New Roman"/>
          <w:sz w:val="24"/>
          <w:szCs w:val="24"/>
        </w:rPr>
        <w:tab/>
      </w:r>
    </w:p>
    <w:p w:rsidR="006957D2" w:rsidRDefault="00070704"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6957D2">
        <w:rPr>
          <w:rFonts w:ascii="Times New Roman" w:hAnsi="Times New Roman" w:cs="Times New Roman"/>
          <w:sz w:val="24"/>
          <w:szCs w:val="24"/>
        </w:rPr>
        <w:t>ersus</w:t>
      </w:r>
    </w:p>
    <w:p w:rsidR="00070704" w:rsidRDefault="00070704"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STATE</w:t>
      </w: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6957D2" w:rsidRDefault="007C29E9"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MWAYERA AND</w:t>
      </w:r>
      <w:r w:rsidR="006957D2">
        <w:rPr>
          <w:rFonts w:ascii="Times New Roman" w:hAnsi="Times New Roman" w:cs="Times New Roman"/>
          <w:sz w:val="24"/>
          <w:szCs w:val="24"/>
        </w:rPr>
        <w:t xml:space="preserve"> MUZENDA J</w:t>
      </w:r>
      <w:r>
        <w:rPr>
          <w:rFonts w:ascii="Times New Roman" w:hAnsi="Times New Roman" w:cs="Times New Roman"/>
          <w:sz w:val="24"/>
          <w:szCs w:val="24"/>
        </w:rPr>
        <w:t>J</w:t>
      </w:r>
    </w:p>
    <w:p w:rsidR="006957D2" w:rsidRDefault="00BB59AD"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MUTARE, 30 September</w:t>
      </w:r>
      <w:r w:rsidR="00317AE4">
        <w:rPr>
          <w:rFonts w:ascii="Times New Roman" w:hAnsi="Times New Roman" w:cs="Times New Roman"/>
          <w:sz w:val="24"/>
          <w:szCs w:val="24"/>
        </w:rPr>
        <w:t xml:space="preserve"> 2020 and</w:t>
      </w:r>
      <w:r w:rsidR="005C2A47">
        <w:rPr>
          <w:rFonts w:ascii="Times New Roman" w:hAnsi="Times New Roman" w:cs="Times New Roman"/>
          <w:sz w:val="24"/>
          <w:szCs w:val="24"/>
        </w:rPr>
        <w:t xml:space="preserve"> 8 </w:t>
      </w:r>
      <w:r>
        <w:rPr>
          <w:rFonts w:ascii="Times New Roman" w:hAnsi="Times New Roman" w:cs="Times New Roman"/>
          <w:sz w:val="24"/>
          <w:szCs w:val="24"/>
        </w:rPr>
        <w:t>October</w:t>
      </w:r>
      <w:r w:rsidR="001C6A44">
        <w:rPr>
          <w:rFonts w:ascii="Times New Roman" w:hAnsi="Times New Roman" w:cs="Times New Roman"/>
          <w:sz w:val="24"/>
          <w:szCs w:val="24"/>
        </w:rPr>
        <w:t xml:space="preserve"> 2020</w:t>
      </w:r>
    </w:p>
    <w:p w:rsidR="006957D2" w:rsidRDefault="006957D2" w:rsidP="006957D2">
      <w:pPr>
        <w:spacing w:after="0" w:line="240" w:lineRule="auto"/>
        <w:rPr>
          <w:rFonts w:ascii="Times New Roman" w:hAnsi="Times New Roman" w:cs="Times New Roman"/>
          <w:sz w:val="24"/>
          <w:szCs w:val="24"/>
        </w:rPr>
      </w:pPr>
      <w:bookmarkStart w:id="0" w:name="_GoBack"/>
      <w:bookmarkEnd w:id="0"/>
    </w:p>
    <w:p w:rsidR="006957D2" w:rsidRDefault="006957D2" w:rsidP="006957D2">
      <w:pPr>
        <w:spacing w:after="0" w:line="240" w:lineRule="auto"/>
        <w:jc w:val="center"/>
        <w:rPr>
          <w:rFonts w:ascii="Times New Roman" w:hAnsi="Times New Roman" w:cs="Times New Roman"/>
          <w:sz w:val="24"/>
          <w:szCs w:val="24"/>
        </w:rPr>
      </w:pPr>
    </w:p>
    <w:p w:rsidR="006957D2" w:rsidRDefault="00070704" w:rsidP="006957D2">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b/>
          <w:sz w:val="24"/>
          <w:szCs w:val="24"/>
        </w:rPr>
      </w:pPr>
    </w:p>
    <w:p w:rsidR="006957D2" w:rsidRPr="00C81001" w:rsidRDefault="00BB59AD" w:rsidP="006957D2">
      <w:pPr>
        <w:spacing w:after="0" w:line="240" w:lineRule="auto"/>
        <w:rPr>
          <w:rFonts w:ascii="Times New Roman" w:hAnsi="Times New Roman" w:cs="Times New Roman"/>
          <w:sz w:val="24"/>
          <w:szCs w:val="24"/>
        </w:rPr>
      </w:pPr>
      <w:r>
        <w:rPr>
          <w:rFonts w:ascii="Times New Roman" w:hAnsi="Times New Roman" w:cs="Times New Roman"/>
          <w:i/>
          <w:sz w:val="24"/>
          <w:szCs w:val="24"/>
        </w:rPr>
        <w:t>V Chinzamba</w:t>
      </w:r>
      <w:r w:rsidR="006957D2">
        <w:rPr>
          <w:rFonts w:ascii="Times New Roman" w:hAnsi="Times New Roman" w:cs="Times New Roman"/>
          <w:sz w:val="24"/>
          <w:szCs w:val="24"/>
        </w:rPr>
        <w:t>, for the Appellant</w:t>
      </w:r>
    </w:p>
    <w:p w:rsidR="006957D2" w:rsidRDefault="00BB59AD" w:rsidP="006957D2">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sidR="006957D2">
        <w:rPr>
          <w:rFonts w:ascii="Times New Roman" w:hAnsi="Times New Roman" w:cs="Times New Roman"/>
          <w:i/>
          <w:sz w:val="24"/>
          <w:szCs w:val="24"/>
        </w:rPr>
        <w:t xml:space="preserve">, </w:t>
      </w:r>
      <w:r w:rsidR="006957D2" w:rsidRPr="006957D2">
        <w:rPr>
          <w:rFonts w:ascii="Times New Roman" w:hAnsi="Times New Roman" w:cs="Times New Roman"/>
          <w:sz w:val="24"/>
          <w:szCs w:val="24"/>
        </w:rPr>
        <w:t>for the Respondent</w:t>
      </w:r>
      <w:r w:rsidR="006957D2">
        <w:rPr>
          <w:rFonts w:ascii="Times New Roman" w:hAnsi="Times New Roman" w:cs="Times New Roman"/>
          <w:sz w:val="24"/>
          <w:szCs w:val="24"/>
        </w:rPr>
        <w:t xml:space="preserve">                    </w:t>
      </w:r>
    </w:p>
    <w:p w:rsidR="006957D2" w:rsidRDefault="006957D2" w:rsidP="006957D2">
      <w:pPr>
        <w:spacing w:after="0" w:line="240" w:lineRule="auto"/>
        <w:ind w:left="720" w:hanging="720"/>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sz w:val="24"/>
          <w:szCs w:val="24"/>
        </w:rPr>
      </w:pPr>
    </w:p>
    <w:p w:rsidR="00014C1A" w:rsidRDefault="006957D2" w:rsidP="00BB59AD">
      <w:pPr>
        <w:spacing w:line="360" w:lineRule="auto"/>
        <w:ind w:firstLine="720"/>
        <w:jc w:val="both"/>
        <w:rPr>
          <w:rFonts w:ascii="Times New Roman" w:hAnsi="Times New Roman" w:cs="Times New Roman"/>
          <w:sz w:val="24"/>
          <w:szCs w:val="24"/>
        </w:rPr>
      </w:pPr>
      <w:r w:rsidRPr="0078793F">
        <w:rPr>
          <w:rFonts w:ascii="Times New Roman" w:hAnsi="Times New Roman" w:cs="Times New Roman"/>
          <w:sz w:val="24"/>
          <w:szCs w:val="24"/>
        </w:rPr>
        <w:t>M</w:t>
      </w:r>
      <w:r w:rsidR="001251A2" w:rsidRPr="0078793F">
        <w:rPr>
          <w:rFonts w:ascii="Times New Roman" w:hAnsi="Times New Roman" w:cs="Times New Roman"/>
          <w:sz w:val="24"/>
          <w:szCs w:val="24"/>
        </w:rPr>
        <w:t>UZENDA</w:t>
      </w:r>
      <w:r w:rsidR="00BB59AD">
        <w:rPr>
          <w:rFonts w:ascii="Times New Roman" w:hAnsi="Times New Roman" w:cs="Times New Roman"/>
          <w:sz w:val="24"/>
          <w:szCs w:val="24"/>
        </w:rPr>
        <w:t xml:space="preserve"> J: This is an appeal against the dismissal of an application for change of plea by the Regiona</w:t>
      </w:r>
      <w:r w:rsidR="00531A1E">
        <w:rPr>
          <w:rFonts w:ascii="Times New Roman" w:hAnsi="Times New Roman" w:cs="Times New Roman"/>
          <w:sz w:val="24"/>
          <w:szCs w:val="24"/>
        </w:rPr>
        <w:t>l Court sitting at Mutare on</w:t>
      </w:r>
      <w:r w:rsidR="00BB59AD">
        <w:rPr>
          <w:rFonts w:ascii="Times New Roman" w:hAnsi="Times New Roman" w:cs="Times New Roman"/>
          <w:sz w:val="24"/>
          <w:szCs w:val="24"/>
        </w:rPr>
        <w:t xml:space="preserve"> 4 February 2020 wherein the appellant was convicted of contravening s 65 as read with s 64 (3) of the Criminal Law (Codification and Reform) Act, [</w:t>
      </w:r>
      <w:r w:rsidR="00BB59AD" w:rsidRPr="0076528E">
        <w:rPr>
          <w:rFonts w:ascii="Times New Roman" w:hAnsi="Times New Roman" w:cs="Times New Roman"/>
          <w:i/>
          <w:sz w:val="24"/>
          <w:szCs w:val="24"/>
        </w:rPr>
        <w:t>Chapter 9:23</w:t>
      </w:r>
      <w:r w:rsidR="00BB59AD">
        <w:rPr>
          <w:rFonts w:ascii="Times New Roman" w:hAnsi="Times New Roman" w:cs="Times New Roman"/>
          <w:sz w:val="24"/>
          <w:szCs w:val="24"/>
        </w:rPr>
        <w:t>]</w:t>
      </w:r>
    </w:p>
    <w:p w:rsidR="00BB59AD" w:rsidRPr="00F67512" w:rsidRDefault="00BB59AD" w:rsidP="00F67512">
      <w:pPr>
        <w:spacing w:line="360" w:lineRule="auto"/>
        <w:jc w:val="both"/>
        <w:rPr>
          <w:rFonts w:ascii="Times New Roman" w:hAnsi="Times New Roman" w:cs="Times New Roman"/>
          <w:sz w:val="24"/>
          <w:szCs w:val="24"/>
          <w:u w:val="single"/>
        </w:rPr>
      </w:pPr>
      <w:r w:rsidRPr="00F67512">
        <w:rPr>
          <w:rFonts w:ascii="Times New Roman" w:hAnsi="Times New Roman" w:cs="Times New Roman"/>
          <w:sz w:val="24"/>
          <w:szCs w:val="24"/>
          <w:u w:val="single"/>
        </w:rPr>
        <w:t>Factual Background</w:t>
      </w:r>
    </w:p>
    <w:p w:rsidR="00F67512" w:rsidRDefault="00BB59AD" w:rsidP="0076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4 February 2020 the appellant was arraigned for raping a mentally </w:t>
      </w:r>
      <w:r w:rsidR="00F67512">
        <w:rPr>
          <w:rFonts w:ascii="Times New Roman" w:hAnsi="Times New Roman" w:cs="Times New Roman"/>
          <w:sz w:val="24"/>
          <w:szCs w:val="24"/>
        </w:rPr>
        <w:t>incompetent person before the Regional Magistrate at Mutare. The state alleged that appellant and complainant are neighbours at Nyamukwarara Village, Chief Mutasa, Penhalonga.</w:t>
      </w:r>
    </w:p>
    <w:p w:rsidR="00BB59AD" w:rsidRDefault="00F67512" w:rsidP="0076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a date and time unknown to the state but during the period extending from January to August 2019 complainant was left alone at home by her mother whilst the latter went out to look for piece work. Complainant is mentally challenged and a cripple.</w:t>
      </w:r>
    </w:p>
    <w:p w:rsidR="00F67512" w:rsidRDefault="00F67512" w:rsidP="00BB59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approached complainant during the absence of her mother from home, grabbed and dragged her into</w:t>
      </w:r>
      <w:r w:rsidR="00112281">
        <w:rPr>
          <w:rFonts w:ascii="Times New Roman" w:hAnsi="Times New Roman" w:cs="Times New Roman"/>
          <w:sz w:val="24"/>
          <w:szCs w:val="24"/>
        </w:rPr>
        <w:t xml:space="preserve"> a nearby maize field and had</w:t>
      </w:r>
      <w:r>
        <w:rPr>
          <w:rFonts w:ascii="Times New Roman" w:hAnsi="Times New Roman" w:cs="Times New Roman"/>
          <w:sz w:val="24"/>
          <w:szCs w:val="24"/>
        </w:rPr>
        <w:t xml:space="preserve"> unprotected sexual intercourse with her. After the sexual intercourse appellant is alleged to have threatened complainant with death if she divulged the rape </w:t>
      </w:r>
      <w:r w:rsidR="005D4A84">
        <w:rPr>
          <w:rFonts w:ascii="Times New Roman" w:hAnsi="Times New Roman" w:cs="Times New Roman"/>
          <w:sz w:val="24"/>
          <w:szCs w:val="24"/>
        </w:rPr>
        <w:t xml:space="preserve">to her mother. Complainant did not inform </w:t>
      </w:r>
      <w:r w:rsidR="009A5AB8">
        <w:rPr>
          <w:rFonts w:ascii="Times New Roman" w:hAnsi="Times New Roman" w:cs="Times New Roman"/>
          <w:sz w:val="24"/>
          <w:szCs w:val="24"/>
        </w:rPr>
        <w:t xml:space="preserve">anyone about </w:t>
      </w:r>
      <w:r w:rsidR="005D4A84">
        <w:rPr>
          <w:rFonts w:ascii="Times New Roman" w:hAnsi="Times New Roman" w:cs="Times New Roman"/>
          <w:sz w:val="24"/>
          <w:szCs w:val="24"/>
        </w:rPr>
        <w:t>the matter until the mother discovered that the complainant was p</w:t>
      </w:r>
      <w:r w:rsidR="00FE20ED">
        <w:rPr>
          <w:rFonts w:ascii="Times New Roman" w:hAnsi="Times New Roman" w:cs="Times New Roman"/>
          <w:sz w:val="24"/>
          <w:szCs w:val="24"/>
        </w:rPr>
        <w:t>regnant on 03 August 2019. U</w:t>
      </w:r>
      <w:r w:rsidR="005D4A84">
        <w:rPr>
          <w:rFonts w:ascii="Times New Roman" w:hAnsi="Times New Roman" w:cs="Times New Roman"/>
          <w:sz w:val="24"/>
          <w:szCs w:val="24"/>
        </w:rPr>
        <w:t xml:space="preserve">pon being questioned, she pointed to the appellant. The matter was reported to the police and appellant was arrested. </w:t>
      </w:r>
    </w:p>
    <w:p w:rsidR="005D4A84" w:rsidRDefault="005D4A84" w:rsidP="00BB59AD">
      <w:pPr>
        <w:spacing w:line="360" w:lineRule="auto"/>
        <w:ind w:firstLine="720"/>
        <w:jc w:val="both"/>
        <w:rPr>
          <w:rFonts w:ascii="Times New Roman" w:hAnsi="Times New Roman" w:cs="Times New Roman"/>
          <w:sz w:val="24"/>
          <w:szCs w:val="24"/>
        </w:rPr>
      </w:pPr>
    </w:p>
    <w:p w:rsidR="0076528E" w:rsidRDefault="0076528E" w:rsidP="00BB59AD">
      <w:pPr>
        <w:spacing w:line="360" w:lineRule="auto"/>
        <w:ind w:firstLine="720"/>
        <w:jc w:val="both"/>
        <w:rPr>
          <w:rFonts w:ascii="Times New Roman" w:hAnsi="Times New Roman" w:cs="Times New Roman"/>
          <w:sz w:val="24"/>
          <w:szCs w:val="24"/>
        </w:rPr>
      </w:pPr>
    </w:p>
    <w:p w:rsidR="005D4A84" w:rsidRPr="005D4A84" w:rsidRDefault="005D4A84" w:rsidP="005D4A84">
      <w:pPr>
        <w:spacing w:line="360" w:lineRule="auto"/>
        <w:jc w:val="both"/>
        <w:rPr>
          <w:rFonts w:ascii="Times New Roman" w:hAnsi="Times New Roman" w:cs="Times New Roman"/>
          <w:sz w:val="24"/>
          <w:szCs w:val="24"/>
          <w:u w:val="single"/>
        </w:rPr>
      </w:pPr>
      <w:r w:rsidRPr="005D4A84">
        <w:rPr>
          <w:rFonts w:ascii="Times New Roman" w:hAnsi="Times New Roman" w:cs="Times New Roman"/>
          <w:sz w:val="24"/>
          <w:szCs w:val="24"/>
          <w:u w:val="single"/>
        </w:rPr>
        <w:lastRenderedPageBreak/>
        <w:t xml:space="preserve">Proceedings of the court </w:t>
      </w:r>
      <w:r w:rsidRPr="005D4A84">
        <w:rPr>
          <w:rFonts w:ascii="Times New Roman" w:hAnsi="Times New Roman" w:cs="Times New Roman"/>
          <w:i/>
          <w:sz w:val="24"/>
          <w:szCs w:val="24"/>
          <w:u w:val="single"/>
        </w:rPr>
        <w:t>a quo</w:t>
      </w:r>
    </w:p>
    <w:p w:rsidR="005D4A84" w:rsidRDefault="005D4A84" w:rsidP="00BB59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who was initially not legally represented pleaded guilty. After the charge had been put by the Learned Regional Magistrate to the appellant, the court a quo gave the following explanation to the appellant:</w:t>
      </w:r>
    </w:p>
    <w:p w:rsidR="005D4A84" w:rsidRPr="00D22254" w:rsidRDefault="00A3795E" w:rsidP="00981B78">
      <w:pPr>
        <w:spacing w:line="240" w:lineRule="auto"/>
        <w:ind w:left="720"/>
        <w:jc w:val="both"/>
        <w:rPr>
          <w:rFonts w:ascii="Times New Roman" w:hAnsi="Times New Roman" w:cs="Times New Roman"/>
        </w:rPr>
      </w:pPr>
      <w:r>
        <w:rPr>
          <w:rFonts w:ascii="Times New Roman" w:hAnsi="Times New Roman" w:cs="Times New Roman"/>
        </w:rPr>
        <w:t xml:space="preserve">“A </w:t>
      </w:r>
      <w:r w:rsidR="005D4A84" w:rsidRPr="00D22254">
        <w:rPr>
          <w:rFonts w:ascii="Times New Roman" w:hAnsi="Times New Roman" w:cs="Times New Roman"/>
        </w:rPr>
        <w:t xml:space="preserve">mentally challenged person cannot consent to sexual intercourse. I am saying so, so that if you are to tell me whatever you think in your defence you should put that in mind. How are you going to depart from the fact? </w:t>
      </w:r>
    </w:p>
    <w:p w:rsidR="005D4A84" w:rsidRPr="00B95F2B" w:rsidRDefault="00D22254" w:rsidP="00B95F2B">
      <w:pPr>
        <w:spacing w:line="240" w:lineRule="auto"/>
        <w:ind w:firstLine="720"/>
        <w:jc w:val="both"/>
        <w:rPr>
          <w:rFonts w:ascii="Times New Roman" w:hAnsi="Times New Roman" w:cs="Times New Roman"/>
        </w:rPr>
      </w:pPr>
      <w:r w:rsidRPr="00B95F2B">
        <w:rPr>
          <w:rFonts w:ascii="Times New Roman" w:hAnsi="Times New Roman" w:cs="Times New Roman"/>
        </w:rPr>
        <w:t>Response by appellant: I cannot be able to discredit the findings of the doctor.”</w:t>
      </w:r>
      <w:r w:rsidR="00981B78">
        <w:rPr>
          <w:rStyle w:val="FootnoteReference"/>
          <w:rFonts w:ascii="Times New Roman" w:hAnsi="Times New Roman" w:cs="Times New Roman"/>
        </w:rPr>
        <w:footnoteReference w:id="1"/>
      </w:r>
    </w:p>
    <w:p w:rsidR="00D22254" w:rsidRDefault="00D22254" w:rsidP="00D222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then asked appellant how he was pleading to the cha</w:t>
      </w:r>
      <w:r w:rsidR="00665766">
        <w:rPr>
          <w:rFonts w:ascii="Times New Roman" w:hAnsi="Times New Roman" w:cs="Times New Roman"/>
          <w:sz w:val="24"/>
          <w:szCs w:val="24"/>
        </w:rPr>
        <w:t>rge after the above explanation, a</w:t>
      </w:r>
      <w:r>
        <w:rPr>
          <w:rFonts w:ascii="Times New Roman" w:hAnsi="Times New Roman" w:cs="Times New Roman"/>
          <w:sz w:val="24"/>
          <w:szCs w:val="24"/>
        </w:rPr>
        <w:t>ppellant pleaded guilty</w:t>
      </w:r>
      <w:r w:rsidR="00A24795">
        <w:rPr>
          <w:rFonts w:ascii="Times New Roman" w:hAnsi="Times New Roman" w:cs="Times New Roman"/>
          <w:sz w:val="24"/>
          <w:szCs w:val="24"/>
        </w:rPr>
        <w:t xml:space="preserve">. Facts were read </w:t>
      </w:r>
      <w:r>
        <w:rPr>
          <w:rFonts w:ascii="Times New Roman" w:hAnsi="Times New Roman" w:cs="Times New Roman"/>
          <w:sz w:val="24"/>
          <w:szCs w:val="24"/>
        </w:rPr>
        <w:t xml:space="preserve">to the appellant and he was asked whether he had understood the facts and agreed to them. The answer was in the affirmative. The medical affidavit was produced by consent of the appellant and read to the appellant. He indicated that he had understood the contents, the court </w:t>
      </w:r>
      <w:r w:rsidRPr="00D22254">
        <w:rPr>
          <w:rFonts w:ascii="Times New Roman" w:hAnsi="Times New Roman" w:cs="Times New Roman"/>
          <w:i/>
          <w:sz w:val="24"/>
          <w:szCs w:val="24"/>
        </w:rPr>
        <w:t>a quo</w:t>
      </w:r>
      <w:r>
        <w:rPr>
          <w:rFonts w:ascii="Times New Roman" w:hAnsi="Times New Roman" w:cs="Times New Roman"/>
          <w:sz w:val="24"/>
          <w:szCs w:val="24"/>
        </w:rPr>
        <w:t xml:space="preserve"> purely </w:t>
      </w:r>
      <w:r w:rsidR="00981B78">
        <w:rPr>
          <w:rFonts w:ascii="Times New Roman" w:hAnsi="Times New Roman" w:cs="Times New Roman"/>
          <w:sz w:val="24"/>
          <w:szCs w:val="24"/>
        </w:rPr>
        <w:t>out of extra-caution ventured to give a further explanation.</w:t>
      </w:r>
    </w:p>
    <w:p w:rsidR="00981B78" w:rsidRPr="00981B78" w:rsidRDefault="00981B78" w:rsidP="00981B78">
      <w:pPr>
        <w:spacing w:line="240" w:lineRule="auto"/>
        <w:ind w:left="720"/>
        <w:jc w:val="both"/>
        <w:rPr>
          <w:rFonts w:ascii="Times New Roman" w:hAnsi="Times New Roman" w:cs="Times New Roman"/>
        </w:rPr>
      </w:pPr>
      <w:r w:rsidRPr="00981B78">
        <w:rPr>
          <w:rFonts w:ascii="Times New Roman" w:hAnsi="Times New Roman" w:cs="Times New Roman"/>
        </w:rPr>
        <w:t>“</w:t>
      </w:r>
      <w:r w:rsidR="0013744D" w:rsidRPr="00981B78">
        <w:rPr>
          <w:rFonts w:ascii="Times New Roman" w:hAnsi="Times New Roman" w:cs="Times New Roman"/>
        </w:rPr>
        <w:t>She</w:t>
      </w:r>
      <w:r w:rsidRPr="00981B78">
        <w:rPr>
          <w:rFonts w:ascii="Times New Roman" w:hAnsi="Times New Roman" w:cs="Times New Roman"/>
        </w:rPr>
        <w:t xml:space="preserve"> is someone who cannot consent and sometimes she cannot even walk on her on. It means there was no consent that is why you are here.”</w:t>
      </w:r>
      <w:r w:rsidRPr="00981B78">
        <w:rPr>
          <w:rStyle w:val="FootnoteReference"/>
          <w:rFonts w:ascii="Times New Roman" w:hAnsi="Times New Roman" w:cs="Times New Roman"/>
        </w:rPr>
        <w:footnoteReference w:id="2"/>
      </w:r>
    </w:p>
    <w:p w:rsidR="00981B78" w:rsidRDefault="00981B78" w:rsidP="00981B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981B78">
        <w:rPr>
          <w:rFonts w:ascii="Times New Roman" w:hAnsi="Times New Roman" w:cs="Times New Roman"/>
          <w:i/>
          <w:sz w:val="24"/>
          <w:szCs w:val="24"/>
        </w:rPr>
        <w:t>a quo</w:t>
      </w:r>
      <w:r>
        <w:rPr>
          <w:rFonts w:ascii="Times New Roman" w:hAnsi="Times New Roman" w:cs="Times New Roman"/>
          <w:sz w:val="24"/>
          <w:szCs w:val="24"/>
        </w:rPr>
        <w:t xml:space="preserve"> then proceeded to explain the essential elements to the appellant and the following questions among others was put</w:t>
      </w:r>
      <w:r w:rsidR="0017595E">
        <w:rPr>
          <w:rFonts w:ascii="Times New Roman" w:hAnsi="Times New Roman" w:cs="Times New Roman"/>
          <w:sz w:val="24"/>
          <w:szCs w:val="24"/>
        </w:rPr>
        <w:t xml:space="preserve"> to the appellant:</w:t>
      </w:r>
    </w:p>
    <w:p w:rsidR="00981B78" w:rsidRPr="00422E52" w:rsidRDefault="00981B78" w:rsidP="00422E52">
      <w:pPr>
        <w:spacing w:line="240" w:lineRule="auto"/>
        <w:ind w:firstLine="720"/>
        <w:jc w:val="both"/>
        <w:rPr>
          <w:rFonts w:ascii="Times New Roman" w:hAnsi="Times New Roman" w:cs="Times New Roman"/>
        </w:rPr>
      </w:pPr>
      <w:r w:rsidRPr="00422E52">
        <w:rPr>
          <w:rFonts w:ascii="Times New Roman" w:hAnsi="Times New Roman" w:cs="Times New Roman"/>
        </w:rPr>
        <w:t>“Q</w:t>
      </w:r>
      <w:r w:rsidR="0017595E">
        <w:rPr>
          <w:rFonts w:ascii="Times New Roman" w:hAnsi="Times New Roman" w:cs="Times New Roman"/>
        </w:rPr>
        <w:t>. Confirm</w:t>
      </w:r>
      <w:r w:rsidR="00422E52" w:rsidRPr="00422E52">
        <w:rPr>
          <w:rFonts w:ascii="Times New Roman" w:hAnsi="Times New Roman" w:cs="Times New Roman"/>
        </w:rPr>
        <w:t xml:space="preserve"> she did not consent to the act taking into account her mental status?</w:t>
      </w:r>
    </w:p>
    <w:p w:rsidR="00422E52" w:rsidRPr="00422E52" w:rsidRDefault="00422E52" w:rsidP="00422E52">
      <w:pPr>
        <w:pStyle w:val="ListParagraph"/>
        <w:numPr>
          <w:ilvl w:val="0"/>
          <w:numId w:val="3"/>
        </w:numPr>
        <w:spacing w:line="240" w:lineRule="auto"/>
        <w:jc w:val="both"/>
        <w:rPr>
          <w:rFonts w:ascii="Times New Roman" w:hAnsi="Times New Roman" w:cs="Times New Roman"/>
        </w:rPr>
      </w:pPr>
      <w:r w:rsidRPr="00422E52">
        <w:rPr>
          <w:rFonts w:ascii="Times New Roman" w:hAnsi="Times New Roman" w:cs="Times New Roman"/>
        </w:rPr>
        <w:t>Yes.</w:t>
      </w:r>
    </w:p>
    <w:p w:rsidR="00422E52" w:rsidRPr="00422E52" w:rsidRDefault="00422E52" w:rsidP="00422E52">
      <w:pPr>
        <w:spacing w:line="240" w:lineRule="auto"/>
        <w:ind w:left="720"/>
        <w:jc w:val="both"/>
        <w:rPr>
          <w:rFonts w:ascii="Times New Roman" w:hAnsi="Times New Roman" w:cs="Times New Roman"/>
        </w:rPr>
      </w:pPr>
      <w:r w:rsidRPr="00422E52">
        <w:rPr>
          <w:rFonts w:ascii="Times New Roman" w:hAnsi="Times New Roman" w:cs="Times New Roman"/>
        </w:rPr>
        <w:t xml:space="preserve">Q.  </w:t>
      </w:r>
      <w:r>
        <w:rPr>
          <w:rFonts w:ascii="Times New Roman" w:hAnsi="Times New Roman" w:cs="Times New Roman"/>
        </w:rPr>
        <w:t xml:space="preserve"> </w:t>
      </w:r>
      <w:r w:rsidRPr="00422E52">
        <w:rPr>
          <w:rFonts w:ascii="Times New Roman" w:hAnsi="Times New Roman" w:cs="Times New Roman"/>
        </w:rPr>
        <w:t>Any defence to offer?</w:t>
      </w:r>
    </w:p>
    <w:p w:rsidR="00422E52" w:rsidRPr="00422E52" w:rsidRDefault="00422E52" w:rsidP="00422E52">
      <w:pPr>
        <w:spacing w:line="240" w:lineRule="auto"/>
        <w:ind w:left="720"/>
        <w:jc w:val="both"/>
        <w:rPr>
          <w:rFonts w:ascii="Times New Roman" w:hAnsi="Times New Roman" w:cs="Times New Roman"/>
        </w:rPr>
      </w:pPr>
      <w:r w:rsidRPr="00422E52">
        <w:rPr>
          <w:rFonts w:ascii="Times New Roman" w:hAnsi="Times New Roman" w:cs="Times New Roman"/>
        </w:rPr>
        <w:t>A.</w:t>
      </w:r>
      <w:r>
        <w:rPr>
          <w:rFonts w:ascii="Times New Roman" w:hAnsi="Times New Roman" w:cs="Times New Roman"/>
        </w:rPr>
        <w:t xml:space="preserve"> </w:t>
      </w:r>
      <w:r w:rsidRPr="00422E52">
        <w:rPr>
          <w:rFonts w:ascii="Times New Roman" w:hAnsi="Times New Roman" w:cs="Times New Roman"/>
        </w:rPr>
        <w:t xml:space="preserve"> </w:t>
      </w:r>
      <w:r>
        <w:rPr>
          <w:rFonts w:ascii="Times New Roman" w:hAnsi="Times New Roman" w:cs="Times New Roman"/>
        </w:rPr>
        <w:t xml:space="preserve"> </w:t>
      </w:r>
      <w:r w:rsidRPr="00422E52">
        <w:rPr>
          <w:rFonts w:ascii="Times New Roman" w:hAnsi="Times New Roman" w:cs="Times New Roman"/>
        </w:rPr>
        <w:t>I have no defence your worship.”</w:t>
      </w:r>
      <w:r w:rsidRPr="00422E52">
        <w:rPr>
          <w:rStyle w:val="FootnoteReference"/>
          <w:rFonts w:ascii="Times New Roman" w:hAnsi="Times New Roman" w:cs="Times New Roman"/>
        </w:rPr>
        <w:footnoteReference w:id="3"/>
      </w:r>
    </w:p>
    <w:p w:rsidR="00422E52" w:rsidRDefault="00422E52" w:rsidP="00422E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convicted. The state applied for a postponement of the matter to check the previous convictions of the appellant. When the court resumed, the appellant was then represented by counsel. An application for change of plea was made. The basis of the application for the change of plea of guilty to not guilty was that the appellant was not aware of the fact that the complainant was mentally challenged at the time appellant had sexual intercourse with her. </w:t>
      </w:r>
    </w:p>
    <w:p w:rsidR="00422E52" w:rsidRDefault="00422E52" w:rsidP="00422E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76528E">
        <w:rPr>
          <w:rFonts w:ascii="Times New Roman" w:hAnsi="Times New Roman" w:cs="Times New Roman"/>
          <w:i/>
          <w:sz w:val="24"/>
          <w:szCs w:val="24"/>
        </w:rPr>
        <w:t>a quo</w:t>
      </w:r>
      <w:r>
        <w:rPr>
          <w:rFonts w:ascii="Times New Roman" w:hAnsi="Times New Roman" w:cs="Times New Roman"/>
          <w:sz w:val="24"/>
          <w:szCs w:val="24"/>
        </w:rPr>
        <w:t xml:space="preserve"> ruled that it was alive to the fact that appellant was initially not legally represented but it went on to explain to the unrepresented appellant and appellant made an informed </w:t>
      </w:r>
      <w:r w:rsidR="00A92047">
        <w:rPr>
          <w:rFonts w:ascii="Times New Roman" w:hAnsi="Times New Roman" w:cs="Times New Roman"/>
          <w:sz w:val="24"/>
          <w:szCs w:val="24"/>
        </w:rPr>
        <w:t>pl</w:t>
      </w:r>
      <w:r w:rsidR="00043352">
        <w:rPr>
          <w:rFonts w:ascii="Times New Roman" w:hAnsi="Times New Roman" w:cs="Times New Roman"/>
          <w:sz w:val="24"/>
          <w:szCs w:val="24"/>
        </w:rPr>
        <w:t>ea of guilty. The court further</w:t>
      </w:r>
      <w:r w:rsidR="00A92047">
        <w:rPr>
          <w:rFonts w:ascii="Times New Roman" w:hAnsi="Times New Roman" w:cs="Times New Roman"/>
          <w:sz w:val="24"/>
          <w:szCs w:val="24"/>
        </w:rPr>
        <w:t xml:space="preserve"> added that when it was canvassing the essential elements, it touched on the same </w:t>
      </w:r>
      <w:r w:rsidR="006A6062">
        <w:rPr>
          <w:rFonts w:ascii="Times New Roman" w:hAnsi="Times New Roman" w:cs="Times New Roman"/>
          <w:sz w:val="24"/>
          <w:szCs w:val="24"/>
        </w:rPr>
        <w:t xml:space="preserve">question </w:t>
      </w:r>
      <w:r w:rsidR="00A92047">
        <w:rPr>
          <w:rFonts w:ascii="Times New Roman" w:hAnsi="Times New Roman" w:cs="Times New Roman"/>
          <w:sz w:val="24"/>
          <w:szCs w:val="24"/>
        </w:rPr>
        <w:t xml:space="preserve">whether appellant knew that he was having sexual intercourse with a mentally incapacitated person, in addition to the explanation the court indicated that appellant was a neighbour to the complainant and he knew the complainant’s status. When the facts of the matter were read to the appellant he agreed to them so the court </w:t>
      </w:r>
      <w:r w:rsidR="00A92047" w:rsidRPr="00A92047">
        <w:rPr>
          <w:rFonts w:ascii="Times New Roman" w:hAnsi="Times New Roman" w:cs="Times New Roman"/>
          <w:i/>
          <w:sz w:val="24"/>
          <w:szCs w:val="24"/>
        </w:rPr>
        <w:t>a quo</w:t>
      </w:r>
      <w:r w:rsidR="00A92047">
        <w:rPr>
          <w:rFonts w:ascii="Times New Roman" w:hAnsi="Times New Roman" w:cs="Times New Roman"/>
          <w:sz w:val="24"/>
          <w:szCs w:val="24"/>
        </w:rPr>
        <w:t xml:space="preserve"> concluded in its ruling that for the appellant to argue that he was not aware that complainant was mentally challenged was not only unreasonable but a lie. According to the court </w:t>
      </w:r>
      <w:r w:rsidR="00A92047" w:rsidRPr="00A92047">
        <w:rPr>
          <w:rFonts w:ascii="Times New Roman" w:hAnsi="Times New Roman" w:cs="Times New Roman"/>
          <w:i/>
          <w:sz w:val="24"/>
          <w:szCs w:val="24"/>
        </w:rPr>
        <w:t>a quo</w:t>
      </w:r>
      <w:r w:rsidR="00A92047">
        <w:rPr>
          <w:rFonts w:ascii="Times New Roman" w:hAnsi="Times New Roman" w:cs="Times New Roman"/>
          <w:sz w:val="24"/>
          <w:szCs w:val="24"/>
        </w:rPr>
        <w:t xml:space="preserve"> the plea tendered by the appellant was genuine and unequivocal. The court </w:t>
      </w:r>
      <w:r w:rsidR="00A92047" w:rsidRPr="00A92047">
        <w:rPr>
          <w:rFonts w:ascii="Times New Roman" w:hAnsi="Times New Roman" w:cs="Times New Roman"/>
          <w:i/>
          <w:sz w:val="24"/>
          <w:szCs w:val="24"/>
        </w:rPr>
        <w:t>a quo</w:t>
      </w:r>
      <w:r w:rsidR="00A92047">
        <w:rPr>
          <w:rFonts w:ascii="Times New Roman" w:hAnsi="Times New Roman" w:cs="Times New Roman"/>
          <w:sz w:val="24"/>
          <w:szCs w:val="24"/>
        </w:rPr>
        <w:t xml:space="preserve"> dismissed the application for change of plea and proceeded to sentence the appellant. </w:t>
      </w:r>
    </w:p>
    <w:p w:rsidR="00A92047" w:rsidRPr="007E2C7E" w:rsidRDefault="00A92047" w:rsidP="007E2C7E">
      <w:pPr>
        <w:spacing w:line="360" w:lineRule="auto"/>
        <w:jc w:val="both"/>
        <w:rPr>
          <w:rFonts w:ascii="Times New Roman" w:hAnsi="Times New Roman" w:cs="Times New Roman"/>
          <w:sz w:val="24"/>
          <w:szCs w:val="24"/>
          <w:u w:val="single"/>
        </w:rPr>
      </w:pPr>
      <w:r w:rsidRPr="007E2C7E">
        <w:rPr>
          <w:rFonts w:ascii="Times New Roman" w:hAnsi="Times New Roman" w:cs="Times New Roman"/>
          <w:sz w:val="24"/>
          <w:szCs w:val="24"/>
          <w:u w:val="single"/>
        </w:rPr>
        <w:t xml:space="preserve">Grounds of Appeal </w:t>
      </w:r>
    </w:p>
    <w:p w:rsidR="00A92047" w:rsidRDefault="00A92047" w:rsidP="007E2C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Against conviction only </w:t>
      </w:r>
    </w:p>
    <w:p w:rsidR="007E2C7E" w:rsidRDefault="007E2C7E" w:rsidP="007E2C7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Learned (Regional) Magist</w:t>
      </w:r>
      <w:r w:rsidR="00FF6704">
        <w:rPr>
          <w:rFonts w:ascii="Times New Roman" w:hAnsi="Times New Roman" w:cs="Times New Roman"/>
          <w:sz w:val="24"/>
          <w:szCs w:val="24"/>
        </w:rPr>
        <w:t>rate misdirected herself and thu</w:t>
      </w:r>
      <w:r>
        <w:rPr>
          <w:rFonts w:ascii="Times New Roman" w:hAnsi="Times New Roman" w:cs="Times New Roman"/>
          <w:sz w:val="24"/>
          <w:szCs w:val="24"/>
        </w:rPr>
        <w:t>s erred at law by dismissing the application for change of plea by hitherto unrepresented accused.</w:t>
      </w:r>
    </w:p>
    <w:p w:rsidR="007E2C7E" w:rsidRDefault="007E2C7E" w:rsidP="00B900A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(Regional) Magistrate thus erred by rejecting the explanation tendered by the appellant for pleading guilty in the first instance and convicting him on an abandoned plea. </w:t>
      </w:r>
    </w:p>
    <w:p w:rsidR="007E2C7E" w:rsidRDefault="007E2C7E" w:rsidP="00B900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prayed that the appeal be upheld, and that the conviction be quashed and further that the matter be remitted for trial before a different magistrate. </w:t>
      </w:r>
    </w:p>
    <w:p w:rsidR="007E2C7E" w:rsidRDefault="007E2C7E" w:rsidP="007E2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opposed by the respondent.</w:t>
      </w:r>
    </w:p>
    <w:p w:rsidR="007E2C7E" w:rsidRPr="007E2C7E" w:rsidRDefault="007E2C7E" w:rsidP="007E2C7E">
      <w:pPr>
        <w:spacing w:line="360" w:lineRule="auto"/>
        <w:jc w:val="both"/>
        <w:rPr>
          <w:rFonts w:ascii="Times New Roman" w:hAnsi="Times New Roman" w:cs="Times New Roman"/>
          <w:sz w:val="24"/>
          <w:szCs w:val="24"/>
          <w:u w:val="single"/>
        </w:rPr>
      </w:pPr>
      <w:r w:rsidRPr="007E2C7E">
        <w:rPr>
          <w:rFonts w:ascii="Times New Roman" w:hAnsi="Times New Roman" w:cs="Times New Roman"/>
          <w:sz w:val="24"/>
          <w:szCs w:val="24"/>
          <w:u w:val="single"/>
        </w:rPr>
        <w:t xml:space="preserve">Submissions by Counsel on Appeal </w:t>
      </w:r>
    </w:p>
    <w:p w:rsidR="007E2C7E" w:rsidRDefault="007E2C7E" w:rsidP="0076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455709">
        <w:rPr>
          <w:rFonts w:ascii="Times New Roman" w:hAnsi="Times New Roman" w:cs="Times New Roman"/>
          <w:i/>
          <w:sz w:val="24"/>
          <w:szCs w:val="24"/>
        </w:rPr>
        <w:t>Chinzamba</w:t>
      </w:r>
      <w:r>
        <w:rPr>
          <w:rFonts w:ascii="Times New Roman" w:hAnsi="Times New Roman" w:cs="Times New Roman"/>
          <w:sz w:val="24"/>
          <w:szCs w:val="24"/>
        </w:rPr>
        <w:t>, appearing for the appellant, submitted that the, Learned Regional Magistrate grossly erred by rejecting the explanation tendered by the appellant for pleading guilty in the first place.</w:t>
      </w:r>
      <w:r w:rsidR="00455709">
        <w:rPr>
          <w:rFonts w:ascii="Times New Roman" w:hAnsi="Times New Roman" w:cs="Times New Roman"/>
          <w:sz w:val="24"/>
          <w:szCs w:val="24"/>
        </w:rPr>
        <w:t xml:space="preserve"> Section 272 of the Criminal Procedure and Evidence Act [</w:t>
      </w:r>
      <w:r w:rsidR="00455709" w:rsidRPr="0076528E">
        <w:rPr>
          <w:rFonts w:ascii="Times New Roman" w:hAnsi="Times New Roman" w:cs="Times New Roman"/>
          <w:i/>
          <w:sz w:val="24"/>
          <w:szCs w:val="24"/>
        </w:rPr>
        <w:t>Chapter 9:</w:t>
      </w:r>
      <w:r w:rsidR="00455709">
        <w:rPr>
          <w:rFonts w:ascii="Times New Roman" w:hAnsi="Times New Roman" w:cs="Times New Roman"/>
          <w:sz w:val="24"/>
          <w:szCs w:val="24"/>
        </w:rPr>
        <w:t xml:space="preserve"> </w:t>
      </w:r>
      <w:r w:rsidR="00455709" w:rsidRPr="0076528E">
        <w:rPr>
          <w:rFonts w:ascii="Times New Roman" w:hAnsi="Times New Roman" w:cs="Times New Roman"/>
          <w:i/>
          <w:sz w:val="24"/>
          <w:szCs w:val="24"/>
        </w:rPr>
        <w:t>07]</w:t>
      </w:r>
      <w:r w:rsidR="00455709">
        <w:rPr>
          <w:rFonts w:ascii="Times New Roman" w:hAnsi="Times New Roman" w:cs="Times New Roman"/>
          <w:sz w:val="24"/>
          <w:szCs w:val="24"/>
        </w:rPr>
        <w:t xml:space="preserve"> permits a trial court to alter the plea of guilty where it is in doubt of the initial plea of guilty, more so where the court is in doubt on the question of how the offence accused pleaded to, or where the court is not satisfied that an accused correctly admitted to the essential elements of </w:t>
      </w:r>
      <w:r w:rsidR="00455709">
        <w:rPr>
          <w:rFonts w:ascii="Times New Roman" w:hAnsi="Times New Roman" w:cs="Times New Roman"/>
          <w:sz w:val="24"/>
          <w:szCs w:val="24"/>
        </w:rPr>
        <w:lastRenderedPageBreak/>
        <w:t xml:space="preserve">the offence, acts or omissions on which the charge is premised and lastly where the court </w:t>
      </w:r>
      <w:r>
        <w:rPr>
          <w:rFonts w:ascii="Times New Roman" w:hAnsi="Times New Roman" w:cs="Times New Roman"/>
          <w:sz w:val="24"/>
          <w:szCs w:val="24"/>
        </w:rPr>
        <w:t xml:space="preserve"> </w:t>
      </w:r>
      <w:r w:rsidR="00455709">
        <w:rPr>
          <w:rFonts w:ascii="Times New Roman" w:hAnsi="Times New Roman" w:cs="Times New Roman"/>
          <w:sz w:val="24"/>
          <w:szCs w:val="24"/>
        </w:rPr>
        <w:t>is not satisfied that the accused has no valid defence to the charge.</w:t>
      </w:r>
      <w:r w:rsidR="00455709">
        <w:rPr>
          <w:rStyle w:val="FootnoteReference"/>
          <w:rFonts w:ascii="Times New Roman" w:hAnsi="Times New Roman" w:cs="Times New Roman"/>
          <w:sz w:val="24"/>
          <w:szCs w:val="24"/>
        </w:rPr>
        <w:footnoteReference w:id="4"/>
      </w:r>
      <w:r w:rsidR="00455709">
        <w:rPr>
          <w:rFonts w:ascii="Times New Roman" w:hAnsi="Times New Roman" w:cs="Times New Roman"/>
          <w:sz w:val="24"/>
          <w:szCs w:val="24"/>
        </w:rPr>
        <w:t xml:space="preserve"> </w:t>
      </w:r>
    </w:p>
    <w:p w:rsidR="00370EA1" w:rsidRDefault="00455709" w:rsidP="0076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ED6FF2">
        <w:rPr>
          <w:rFonts w:ascii="Times New Roman" w:hAnsi="Times New Roman" w:cs="Times New Roman"/>
          <w:i/>
          <w:sz w:val="24"/>
          <w:szCs w:val="24"/>
        </w:rPr>
        <w:t>Chinzamba</w:t>
      </w:r>
      <w:r>
        <w:rPr>
          <w:rFonts w:ascii="Times New Roman" w:hAnsi="Times New Roman" w:cs="Times New Roman"/>
          <w:sz w:val="24"/>
          <w:szCs w:val="24"/>
        </w:rPr>
        <w:t xml:space="preserve"> went on to aver that it is a settled position of the law that the application for change of plea </w:t>
      </w:r>
      <w:r w:rsidR="009D3EA8">
        <w:rPr>
          <w:rFonts w:ascii="Times New Roman" w:hAnsi="Times New Roman" w:cs="Times New Roman"/>
          <w:sz w:val="24"/>
          <w:szCs w:val="24"/>
        </w:rPr>
        <w:t xml:space="preserve">should only be dismissed if it is clear that the explanation tendered is false beyond a reasonable doubt. To the appellant the record does </w:t>
      </w:r>
      <w:r w:rsidR="00DC4148">
        <w:rPr>
          <w:rFonts w:ascii="Times New Roman" w:hAnsi="Times New Roman" w:cs="Times New Roman"/>
          <w:sz w:val="24"/>
          <w:szCs w:val="24"/>
        </w:rPr>
        <w:t xml:space="preserve">not </w:t>
      </w:r>
      <w:r w:rsidR="009D3EA8">
        <w:rPr>
          <w:rFonts w:ascii="Times New Roman" w:hAnsi="Times New Roman" w:cs="Times New Roman"/>
          <w:sz w:val="24"/>
          <w:szCs w:val="24"/>
        </w:rPr>
        <w:t>show where the appellant was asked if had prior knowledge that the complainant is a mental health patient. The defence went on to s</w:t>
      </w:r>
      <w:r w:rsidR="00370EA1">
        <w:rPr>
          <w:rFonts w:ascii="Times New Roman" w:hAnsi="Times New Roman" w:cs="Times New Roman"/>
          <w:sz w:val="24"/>
          <w:szCs w:val="24"/>
        </w:rPr>
        <w:t>ubmit that the lower court was i</w:t>
      </w:r>
      <w:r w:rsidR="0005766E">
        <w:rPr>
          <w:rFonts w:ascii="Times New Roman" w:hAnsi="Times New Roman" w:cs="Times New Roman"/>
          <w:sz w:val="24"/>
          <w:szCs w:val="24"/>
        </w:rPr>
        <w:t>ncompetent</w:t>
      </w:r>
      <w:r w:rsidR="009D3EA8">
        <w:rPr>
          <w:rFonts w:ascii="Times New Roman" w:hAnsi="Times New Roman" w:cs="Times New Roman"/>
          <w:sz w:val="24"/>
          <w:szCs w:val="24"/>
        </w:rPr>
        <w:t xml:space="preserve"> </w:t>
      </w:r>
      <w:r w:rsidR="00370EA1">
        <w:rPr>
          <w:rFonts w:ascii="Times New Roman" w:hAnsi="Times New Roman" w:cs="Times New Roman"/>
          <w:sz w:val="24"/>
          <w:szCs w:val="24"/>
        </w:rPr>
        <w:t xml:space="preserve">to conclude that appellant was not able to do things on her own without testing the correctness or otherwise of the evidence before it. Mr </w:t>
      </w:r>
      <w:r w:rsidR="00370EA1" w:rsidRPr="00370EA1">
        <w:rPr>
          <w:rFonts w:ascii="Times New Roman" w:hAnsi="Times New Roman" w:cs="Times New Roman"/>
          <w:i/>
          <w:sz w:val="24"/>
          <w:szCs w:val="24"/>
        </w:rPr>
        <w:t>Chinzamba</w:t>
      </w:r>
      <w:r w:rsidR="00370EA1">
        <w:rPr>
          <w:rFonts w:ascii="Times New Roman" w:hAnsi="Times New Roman" w:cs="Times New Roman"/>
          <w:sz w:val="24"/>
          <w:szCs w:val="24"/>
        </w:rPr>
        <w:t xml:space="preserve"> also took exception to the conclusion reached by the court </w:t>
      </w:r>
      <w:r w:rsidR="00370EA1" w:rsidRPr="00370EA1">
        <w:rPr>
          <w:rFonts w:ascii="Times New Roman" w:hAnsi="Times New Roman" w:cs="Times New Roman"/>
          <w:i/>
          <w:sz w:val="24"/>
          <w:szCs w:val="24"/>
        </w:rPr>
        <w:t>a quo</w:t>
      </w:r>
      <w:r w:rsidR="00370EA1">
        <w:rPr>
          <w:rFonts w:ascii="Times New Roman" w:hAnsi="Times New Roman" w:cs="Times New Roman"/>
          <w:sz w:val="24"/>
          <w:szCs w:val="24"/>
        </w:rPr>
        <w:t xml:space="preserve"> that the appellant only decided to change his plea upon the advice of his lawyer, to the defence appellant was given sound legal advice and realised that he had a defence to the charge and hence resolved to lodge an application to alter his plea. </w:t>
      </w:r>
    </w:p>
    <w:p w:rsidR="001D003E" w:rsidRDefault="00370EA1" w:rsidP="0076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onus to disprove the defence proffered by the appellant that he had no prior knowledge of the fact that complainant was a mental patient lies with the state, he submitted and went on to refer the court to the case of </w:t>
      </w:r>
      <w:r w:rsidRPr="0024036E">
        <w:rPr>
          <w:rFonts w:ascii="Times New Roman" w:hAnsi="Times New Roman" w:cs="Times New Roman"/>
          <w:i/>
          <w:sz w:val="24"/>
          <w:szCs w:val="24"/>
        </w:rPr>
        <w:t>S</w:t>
      </w:r>
      <w:r>
        <w:rPr>
          <w:rFonts w:ascii="Times New Roman" w:hAnsi="Times New Roman" w:cs="Times New Roman"/>
          <w:sz w:val="24"/>
          <w:szCs w:val="24"/>
        </w:rPr>
        <w:t xml:space="preserve"> v </w:t>
      </w:r>
      <w:r w:rsidRPr="0024036E">
        <w:rPr>
          <w:rFonts w:ascii="Times New Roman" w:hAnsi="Times New Roman" w:cs="Times New Roman"/>
          <w:i/>
          <w:sz w:val="24"/>
          <w:szCs w:val="24"/>
        </w:rPr>
        <w:t>Chiwoza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0024036E">
        <w:rPr>
          <w:rFonts w:ascii="Times New Roman" w:hAnsi="Times New Roman" w:cs="Times New Roman"/>
          <w:sz w:val="24"/>
          <w:szCs w:val="24"/>
        </w:rPr>
        <w:t xml:space="preserve"> It was also argued by the appellant that the lower court erred when it ruled that the reasons offered by the appellant in his application for change of plea are false beyond reasonable doubt in that he had admitted to the facts and the charge. The appellant would not have understood the nature of the offence by a mere reading of the charge sheet, state outline and the essential elements, it was submitted.  To the defence the offence preferred against the appellant by its very nature is complex </w:t>
      </w:r>
      <w:r w:rsidR="00E51F0F">
        <w:rPr>
          <w:rFonts w:ascii="Times New Roman" w:hAnsi="Times New Roman" w:cs="Times New Roman"/>
          <w:sz w:val="24"/>
          <w:szCs w:val="24"/>
        </w:rPr>
        <w:t xml:space="preserve">such that an </w:t>
      </w:r>
      <w:r w:rsidR="00FE5460">
        <w:rPr>
          <w:rFonts w:ascii="Times New Roman" w:hAnsi="Times New Roman" w:cs="Times New Roman"/>
          <w:sz w:val="24"/>
          <w:szCs w:val="24"/>
        </w:rPr>
        <w:t>unsophisticated,</w:t>
      </w:r>
      <w:r w:rsidR="00E51F0F">
        <w:rPr>
          <w:rFonts w:ascii="Times New Roman" w:hAnsi="Times New Roman" w:cs="Times New Roman"/>
          <w:sz w:val="24"/>
          <w:szCs w:val="24"/>
        </w:rPr>
        <w:t xml:space="preserve"> unrepresented accused will not be able to appreciate its meaning, he could not know</w:t>
      </w:r>
      <w:r w:rsidR="00771187">
        <w:rPr>
          <w:rFonts w:ascii="Times New Roman" w:hAnsi="Times New Roman" w:cs="Times New Roman"/>
          <w:sz w:val="24"/>
          <w:szCs w:val="24"/>
        </w:rPr>
        <w:t xml:space="preserve"> the meaning of an imbecile</w:t>
      </w:r>
      <w:r w:rsidR="0078058A">
        <w:rPr>
          <w:rFonts w:ascii="Times New Roman" w:hAnsi="Times New Roman" w:cs="Times New Roman"/>
          <w:sz w:val="24"/>
          <w:szCs w:val="24"/>
        </w:rPr>
        <w:t xml:space="preserve"> in terms of the med</w:t>
      </w:r>
      <w:r w:rsidR="00771187">
        <w:rPr>
          <w:rFonts w:ascii="Times New Roman" w:hAnsi="Times New Roman" w:cs="Times New Roman"/>
          <w:sz w:val="24"/>
          <w:szCs w:val="24"/>
        </w:rPr>
        <w:t>ical affidavit and s 64 of the C</w:t>
      </w:r>
      <w:r w:rsidR="0078058A">
        <w:rPr>
          <w:rFonts w:ascii="Times New Roman" w:hAnsi="Times New Roman" w:cs="Times New Roman"/>
          <w:sz w:val="24"/>
          <w:szCs w:val="24"/>
        </w:rPr>
        <w:t xml:space="preserve">ode requires knowledge and intention on the part of the appellant, a fact which he would not </w:t>
      </w:r>
      <w:r w:rsidR="00251C15">
        <w:rPr>
          <w:rFonts w:ascii="Times New Roman" w:hAnsi="Times New Roman" w:cs="Times New Roman"/>
          <w:sz w:val="24"/>
          <w:szCs w:val="24"/>
        </w:rPr>
        <w:t xml:space="preserve">have </w:t>
      </w:r>
      <w:r w:rsidR="0078058A">
        <w:rPr>
          <w:rFonts w:ascii="Times New Roman" w:hAnsi="Times New Roman" w:cs="Times New Roman"/>
          <w:sz w:val="24"/>
          <w:szCs w:val="24"/>
        </w:rPr>
        <w:t xml:space="preserve">known. It was further submitted on behalf of the appellant that in cases where unrepresented accused </w:t>
      </w:r>
      <w:r w:rsidR="004241DD">
        <w:rPr>
          <w:rFonts w:ascii="Times New Roman" w:hAnsi="Times New Roman" w:cs="Times New Roman"/>
          <w:sz w:val="24"/>
          <w:szCs w:val="24"/>
        </w:rPr>
        <w:t>tenders</w:t>
      </w:r>
      <w:r w:rsidR="0078058A">
        <w:rPr>
          <w:rFonts w:ascii="Times New Roman" w:hAnsi="Times New Roman" w:cs="Times New Roman"/>
          <w:sz w:val="24"/>
          <w:szCs w:val="24"/>
        </w:rPr>
        <w:t xml:space="preserve"> a plea of</w:t>
      </w:r>
      <w:r w:rsidR="009D3678">
        <w:rPr>
          <w:rFonts w:ascii="Times New Roman" w:hAnsi="Times New Roman" w:cs="Times New Roman"/>
          <w:sz w:val="24"/>
          <w:szCs w:val="24"/>
        </w:rPr>
        <w:t xml:space="preserve"> guilty and decides to change his</w:t>
      </w:r>
      <w:r w:rsidR="0078058A">
        <w:rPr>
          <w:rFonts w:ascii="Times New Roman" w:hAnsi="Times New Roman" w:cs="Times New Roman"/>
          <w:sz w:val="24"/>
          <w:szCs w:val="24"/>
        </w:rPr>
        <w:t xml:space="preserve"> </w:t>
      </w:r>
      <w:r w:rsidR="000F21A7">
        <w:rPr>
          <w:rFonts w:ascii="Times New Roman" w:hAnsi="Times New Roman" w:cs="Times New Roman"/>
          <w:sz w:val="24"/>
          <w:szCs w:val="24"/>
        </w:rPr>
        <w:t xml:space="preserve">plea </w:t>
      </w:r>
      <w:r w:rsidR="0078058A">
        <w:rPr>
          <w:rFonts w:ascii="Times New Roman" w:hAnsi="Times New Roman" w:cs="Times New Roman"/>
          <w:sz w:val="24"/>
          <w:szCs w:val="24"/>
        </w:rPr>
        <w:t xml:space="preserve">upon </w:t>
      </w:r>
      <w:r w:rsidR="004241DD">
        <w:rPr>
          <w:rFonts w:ascii="Times New Roman" w:hAnsi="Times New Roman" w:cs="Times New Roman"/>
          <w:sz w:val="24"/>
          <w:szCs w:val="24"/>
        </w:rPr>
        <w:t xml:space="preserve">receiving legal advice, the court should allow the state to prove its case </w:t>
      </w:r>
      <w:r w:rsidR="00CC66AE">
        <w:rPr>
          <w:rFonts w:ascii="Times New Roman" w:hAnsi="Times New Roman" w:cs="Times New Roman"/>
          <w:sz w:val="24"/>
          <w:szCs w:val="24"/>
        </w:rPr>
        <w:t xml:space="preserve">beyond </w:t>
      </w:r>
      <w:r w:rsidR="004241DD">
        <w:rPr>
          <w:rFonts w:ascii="Times New Roman" w:hAnsi="Times New Roman" w:cs="Times New Roman"/>
          <w:sz w:val="24"/>
          <w:szCs w:val="24"/>
        </w:rPr>
        <w:t>a reasonable doubt.</w:t>
      </w:r>
      <w:r w:rsidR="004241DD">
        <w:rPr>
          <w:rStyle w:val="FootnoteReference"/>
          <w:rFonts w:ascii="Times New Roman" w:hAnsi="Times New Roman" w:cs="Times New Roman"/>
          <w:sz w:val="24"/>
          <w:szCs w:val="24"/>
        </w:rPr>
        <w:footnoteReference w:id="6"/>
      </w:r>
      <w:r w:rsidR="004241DD">
        <w:rPr>
          <w:rFonts w:ascii="Times New Roman" w:hAnsi="Times New Roman" w:cs="Times New Roman"/>
          <w:sz w:val="24"/>
          <w:szCs w:val="24"/>
        </w:rPr>
        <w:t xml:space="preserve"> </w:t>
      </w:r>
      <w:r w:rsidR="000857D1">
        <w:rPr>
          <w:rFonts w:ascii="Times New Roman" w:hAnsi="Times New Roman" w:cs="Times New Roman"/>
          <w:sz w:val="24"/>
          <w:szCs w:val="24"/>
        </w:rPr>
        <w:t xml:space="preserve">Hence it was concluded by the appellant the lower court reached its findings wrongly and warrants the interference by this court. </w:t>
      </w:r>
    </w:p>
    <w:p w:rsidR="00370EA1" w:rsidRDefault="000857D1" w:rsidP="0076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respondent </w:t>
      </w:r>
      <w:r w:rsidR="00ED6FF2">
        <w:rPr>
          <w:rFonts w:ascii="Times New Roman" w:hAnsi="Times New Roman" w:cs="Times New Roman"/>
          <w:i/>
          <w:sz w:val="24"/>
          <w:szCs w:val="24"/>
        </w:rPr>
        <w:t xml:space="preserve">per </w:t>
      </w:r>
      <w:r w:rsidRPr="000857D1">
        <w:rPr>
          <w:rFonts w:ascii="Times New Roman" w:hAnsi="Times New Roman" w:cs="Times New Roman"/>
          <w:i/>
          <w:sz w:val="24"/>
          <w:szCs w:val="24"/>
        </w:rPr>
        <w:t>contra</w:t>
      </w:r>
      <w:r>
        <w:rPr>
          <w:rFonts w:ascii="Times New Roman" w:hAnsi="Times New Roman" w:cs="Times New Roman"/>
          <w:sz w:val="24"/>
          <w:szCs w:val="24"/>
        </w:rPr>
        <w:t xml:space="preserve"> submitted that the lower court took its time to explain to the unrepresented appellant the charge, the facts and the medical reports. The </w:t>
      </w:r>
      <w:r>
        <w:rPr>
          <w:rFonts w:ascii="Times New Roman" w:hAnsi="Times New Roman" w:cs="Times New Roman"/>
          <w:sz w:val="24"/>
          <w:szCs w:val="24"/>
        </w:rPr>
        <w:lastRenderedPageBreak/>
        <w:t xml:space="preserve">appellant never at any point told the lower court that he did not know that the complainant was mentally challenged. To the state appellant was well </w:t>
      </w:r>
      <w:r w:rsidR="00DE59BA">
        <w:rPr>
          <w:rFonts w:ascii="Times New Roman" w:hAnsi="Times New Roman" w:cs="Times New Roman"/>
          <w:sz w:val="24"/>
          <w:szCs w:val="24"/>
        </w:rPr>
        <w:t>aware of what he was pleading to. The factual findings of</w:t>
      </w:r>
      <w:r w:rsidR="001D003E">
        <w:rPr>
          <w:rFonts w:ascii="Times New Roman" w:hAnsi="Times New Roman" w:cs="Times New Roman"/>
          <w:sz w:val="24"/>
          <w:szCs w:val="24"/>
        </w:rPr>
        <w:t xml:space="preserve"> the lower cour</w:t>
      </w:r>
      <w:r w:rsidR="00DE59BA">
        <w:rPr>
          <w:rFonts w:ascii="Times New Roman" w:hAnsi="Times New Roman" w:cs="Times New Roman"/>
          <w:sz w:val="24"/>
          <w:szCs w:val="24"/>
        </w:rPr>
        <w:t>t cannot easily be reversed by a sup</w:t>
      </w:r>
      <w:r w:rsidR="00D71D3B">
        <w:rPr>
          <w:rFonts w:ascii="Times New Roman" w:hAnsi="Times New Roman" w:cs="Times New Roman"/>
          <w:sz w:val="24"/>
          <w:szCs w:val="24"/>
        </w:rPr>
        <w:t>erior court unless the lower cour</w:t>
      </w:r>
      <w:r w:rsidR="00DE59BA">
        <w:rPr>
          <w:rFonts w:ascii="Times New Roman" w:hAnsi="Times New Roman" w:cs="Times New Roman"/>
          <w:sz w:val="24"/>
          <w:szCs w:val="24"/>
        </w:rPr>
        <w:t>t’s findings are so outrageous or irrational that no tribunal would act upon it.</w:t>
      </w:r>
      <w:r w:rsidR="00DE59BA">
        <w:rPr>
          <w:rStyle w:val="FootnoteReference"/>
          <w:rFonts w:ascii="Times New Roman" w:hAnsi="Times New Roman" w:cs="Times New Roman"/>
          <w:sz w:val="24"/>
          <w:szCs w:val="24"/>
        </w:rPr>
        <w:footnoteReference w:id="7"/>
      </w:r>
      <w:r w:rsidR="00DE59BA">
        <w:rPr>
          <w:rFonts w:ascii="Times New Roman" w:hAnsi="Times New Roman" w:cs="Times New Roman"/>
          <w:sz w:val="24"/>
          <w:szCs w:val="24"/>
        </w:rPr>
        <w:t xml:space="preserve"> Mr </w:t>
      </w:r>
      <w:r w:rsidR="00DE59BA" w:rsidRPr="00DE59BA">
        <w:rPr>
          <w:rFonts w:ascii="Times New Roman" w:hAnsi="Times New Roman" w:cs="Times New Roman"/>
          <w:i/>
          <w:sz w:val="24"/>
          <w:szCs w:val="24"/>
        </w:rPr>
        <w:t>Musarurwa</w:t>
      </w:r>
      <w:r w:rsidR="005D7F86">
        <w:rPr>
          <w:rFonts w:ascii="Times New Roman" w:hAnsi="Times New Roman" w:cs="Times New Roman"/>
          <w:sz w:val="24"/>
          <w:szCs w:val="24"/>
        </w:rPr>
        <w:t xml:space="preserve"> for the S</w:t>
      </w:r>
      <w:r w:rsidR="00DE59BA">
        <w:rPr>
          <w:rFonts w:ascii="Times New Roman" w:hAnsi="Times New Roman" w:cs="Times New Roman"/>
          <w:sz w:val="24"/>
          <w:szCs w:val="24"/>
        </w:rPr>
        <w:t>tate also submitted that a judge of this court should not quash a conviction on the grounds of irregularity unless he considers that substantial miscarriage of justice has occurred.</w:t>
      </w:r>
      <w:r w:rsidR="00DE59BA">
        <w:rPr>
          <w:rStyle w:val="FootnoteReference"/>
          <w:rFonts w:ascii="Times New Roman" w:hAnsi="Times New Roman" w:cs="Times New Roman"/>
          <w:sz w:val="24"/>
          <w:szCs w:val="24"/>
        </w:rPr>
        <w:footnoteReference w:id="8"/>
      </w:r>
      <w:r w:rsidR="00DE59BA">
        <w:rPr>
          <w:rFonts w:ascii="Times New Roman" w:hAnsi="Times New Roman" w:cs="Times New Roman"/>
          <w:sz w:val="24"/>
          <w:szCs w:val="24"/>
        </w:rPr>
        <w:t xml:space="preserve"> The decision of the lower court can be disturbed by a higher court if it is clear from what is presented in the record of proceedings that his conclusion was </w:t>
      </w:r>
      <w:r w:rsidR="000A36D8">
        <w:rPr>
          <w:rFonts w:ascii="Times New Roman" w:hAnsi="Times New Roman" w:cs="Times New Roman"/>
          <w:sz w:val="24"/>
          <w:szCs w:val="24"/>
        </w:rPr>
        <w:t>erroneous, there must be compelling reasons on record justifying it,</w:t>
      </w:r>
      <w:r w:rsidR="000A36D8">
        <w:rPr>
          <w:rStyle w:val="FootnoteReference"/>
          <w:rFonts w:ascii="Times New Roman" w:hAnsi="Times New Roman" w:cs="Times New Roman"/>
          <w:sz w:val="24"/>
          <w:szCs w:val="24"/>
        </w:rPr>
        <w:footnoteReference w:id="9"/>
      </w:r>
      <w:r w:rsidR="000A36D8">
        <w:rPr>
          <w:rFonts w:ascii="Times New Roman" w:hAnsi="Times New Roman" w:cs="Times New Roman"/>
          <w:sz w:val="24"/>
          <w:szCs w:val="24"/>
        </w:rPr>
        <w:t xml:space="preserve"> he submitted.</w:t>
      </w:r>
    </w:p>
    <w:p w:rsidR="000A36D8" w:rsidRDefault="000A36D8" w:rsidP="0076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insisted that the plea was a genuine plea and the court </w:t>
      </w:r>
      <w:r w:rsidRPr="000A36D8">
        <w:rPr>
          <w:rFonts w:ascii="Times New Roman" w:hAnsi="Times New Roman" w:cs="Times New Roman"/>
          <w:i/>
          <w:sz w:val="24"/>
          <w:szCs w:val="24"/>
        </w:rPr>
        <w:t>a quo</w:t>
      </w:r>
      <w:r>
        <w:rPr>
          <w:rFonts w:ascii="Times New Roman" w:hAnsi="Times New Roman" w:cs="Times New Roman"/>
          <w:sz w:val="24"/>
          <w:szCs w:val="24"/>
        </w:rPr>
        <w:t xml:space="preserve"> did not misdirect itself in finding the appellant guilty. The state also submitted that the facts in the matter </w:t>
      </w:r>
      <w:r w:rsidRPr="000A36D8">
        <w:rPr>
          <w:rFonts w:ascii="Times New Roman" w:hAnsi="Times New Roman" w:cs="Times New Roman"/>
          <w:i/>
          <w:sz w:val="24"/>
          <w:szCs w:val="24"/>
        </w:rPr>
        <w:t>S</w:t>
      </w:r>
      <w:r>
        <w:rPr>
          <w:rFonts w:ascii="Times New Roman" w:hAnsi="Times New Roman" w:cs="Times New Roman"/>
          <w:sz w:val="24"/>
          <w:szCs w:val="24"/>
        </w:rPr>
        <w:t xml:space="preserve"> v </w:t>
      </w:r>
      <w:r w:rsidRPr="000A36D8">
        <w:rPr>
          <w:rFonts w:ascii="Times New Roman" w:hAnsi="Times New Roman" w:cs="Times New Roman"/>
          <w:i/>
          <w:sz w:val="24"/>
          <w:szCs w:val="24"/>
        </w:rPr>
        <w:t>Chinoza supra</w:t>
      </w:r>
      <w:r>
        <w:rPr>
          <w:rFonts w:ascii="Times New Roman" w:hAnsi="Times New Roman" w:cs="Times New Roman"/>
          <w:sz w:val="24"/>
          <w:szCs w:val="24"/>
        </w:rPr>
        <w:t xml:space="preserve"> are different from this case. Appellant in this case never raised a defence at any stage of the proceedings. The appellant was a neighbour to complainant, he can</w:t>
      </w:r>
      <w:r w:rsidR="00D75EA8">
        <w:rPr>
          <w:rFonts w:ascii="Times New Roman" w:hAnsi="Times New Roman" w:cs="Times New Roman"/>
          <w:sz w:val="24"/>
          <w:szCs w:val="24"/>
        </w:rPr>
        <w:t>not</w:t>
      </w:r>
      <w:r>
        <w:rPr>
          <w:rFonts w:ascii="Times New Roman" w:hAnsi="Times New Roman" w:cs="Times New Roman"/>
          <w:sz w:val="24"/>
          <w:szCs w:val="24"/>
        </w:rPr>
        <w:t xml:space="preserve"> suddenly say he was not aware that the complainant was mentally challenged, the court </w:t>
      </w:r>
      <w:r w:rsidRPr="000A36D8">
        <w:rPr>
          <w:rFonts w:ascii="Times New Roman" w:hAnsi="Times New Roman" w:cs="Times New Roman"/>
          <w:i/>
          <w:sz w:val="24"/>
          <w:szCs w:val="24"/>
        </w:rPr>
        <w:t>a quo</w:t>
      </w:r>
      <w:r>
        <w:rPr>
          <w:rFonts w:ascii="Times New Roman" w:hAnsi="Times New Roman" w:cs="Times New Roman"/>
          <w:sz w:val="24"/>
          <w:szCs w:val="24"/>
        </w:rPr>
        <w:t xml:space="preserve"> ruled. To the state, the appeal has no merit. </w:t>
      </w:r>
    </w:p>
    <w:p w:rsidR="000A36D8" w:rsidRPr="00A01833" w:rsidRDefault="000A36D8" w:rsidP="00A01833">
      <w:pPr>
        <w:spacing w:line="360" w:lineRule="auto"/>
        <w:jc w:val="both"/>
        <w:rPr>
          <w:rFonts w:ascii="Times New Roman" w:hAnsi="Times New Roman" w:cs="Times New Roman"/>
          <w:sz w:val="24"/>
          <w:szCs w:val="24"/>
          <w:u w:val="single"/>
        </w:rPr>
      </w:pPr>
      <w:r w:rsidRPr="00A01833">
        <w:rPr>
          <w:rFonts w:ascii="Times New Roman" w:hAnsi="Times New Roman" w:cs="Times New Roman"/>
          <w:sz w:val="24"/>
          <w:szCs w:val="24"/>
          <w:u w:val="single"/>
        </w:rPr>
        <w:t xml:space="preserve">Issues for determination </w:t>
      </w:r>
    </w:p>
    <w:p w:rsidR="000A36D8" w:rsidRPr="001557ED" w:rsidRDefault="000A36D8" w:rsidP="00CA11AC">
      <w:pPr>
        <w:spacing w:line="360" w:lineRule="auto"/>
        <w:ind w:firstLine="720"/>
        <w:jc w:val="both"/>
        <w:rPr>
          <w:rFonts w:ascii="Times New Roman" w:hAnsi="Times New Roman" w:cs="Times New Roman"/>
          <w:b/>
          <w:i/>
          <w:sz w:val="24"/>
          <w:szCs w:val="24"/>
        </w:rPr>
      </w:pPr>
      <w:r w:rsidRPr="001557ED">
        <w:rPr>
          <w:rFonts w:ascii="Times New Roman" w:hAnsi="Times New Roman" w:cs="Times New Roman"/>
          <w:b/>
          <w:i/>
          <w:sz w:val="24"/>
          <w:szCs w:val="24"/>
        </w:rPr>
        <w:t>The issue for determination by this court can be summarised as whether the Learned Regional Magistrate erred at law by dismissing the application for change of plea by an un represented accused.</w:t>
      </w:r>
    </w:p>
    <w:p w:rsidR="00A01833" w:rsidRPr="004A3E43" w:rsidRDefault="00A01833" w:rsidP="004A3E43">
      <w:pPr>
        <w:spacing w:line="360" w:lineRule="auto"/>
        <w:jc w:val="both"/>
        <w:rPr>
          <w:rFonts w:ascii="Times New Roman" w:hAnsi="Times New Roman" w:cs="Times New Roman"/>
          <w:sz w:val="24"/>
          <w:szCs w:val="24"/>
          <w:u w:val="single"/>
        </w:rPr>
      </w:pPr>
      <w:r w:rsidRPr="004A3E43">
        <w:rPr>
          <w:rFonts w:ascii="Times New Roman" w:hAnsi="Times New Roman" w:cs="Times New Roman"/>
          <w:sz w:val="24"/>
          <w:szCs w:val="24"/>
          <w:u w:val="single"/>
        </w:rPr>
        <w:t>The law</w:t>
      </w:r>
    </w:p>
    <w:p w:rsidR="00A01833" w:rsidRDefault="00A01833" w:rsidP="0076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an accused is unrepresented, and when he is not well educated, not the sort of men who he is likely to understand clearly intricacies of court procedures, terminologies and niceties, the trial court is obliged as far as it can, to assist the unrepresen</w:t>
      </w:r>
      <w:r w:rsidR="001557ED">
        <w:rPr>
          <w:rFonts w:ascii="Times New Roman" w:hAnsi="Times New Roman" w:cs="Times New Roman"/>
          <w:sz w:val="24"/>
          <w:szCs w:val="24"/>
        </w:rPr>
        <w:t>ted accused of this description</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0"/>
      </w:r>
    </w:p>
    <w:p w:rsidR="00A01833" w:rsidRDefault="00A01833" w:rsidP="0076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272 of the Criminal Procedure and </w:t>
      </w:r>
      <w:r w:rsidRPr="00A01833">
        <w:rPr>
          <w:rFonts w:ascii="Times New Roman" w:hAnsi="Times New Roman" w:cs="Times New Roman"/>
          <w:sz w:val="24"/>
          <w:szCs w:val="24"/>
        </w:rPr>
        <w:t>Evidence</w:t>
      </w:r>
      <w:r>
        <w:rPr>
          <w:rFonts w:ascii="Times New Roman" w:hAnsi="Times New Roman" w:cs="Times New Roman"/>
          <w:sz w:val="24"/>
          <w:szCs w:val="24"/>
        </w:rPr>
        <w:t xml:space="preserve"> Act, </w:t>
      </w:r>
      <w:r w:rsidRPr="00A01833">
        <w:rPr>
          <w:rFonts w:ascii="Times New Roman" w:hAnsi="Times New Roman" w:cs="Times New Roman"/>
          <w:i/>
          <w:sz w:val="24"/>
          <w:szCs w:val="24"/>
        </w:rPr>
        <w:t>supra</w:t>
      </w:r>
      <w:r>
        <w:rPr>
          <w:rFonts w:ascii="Times New Roman" w:hAnsi="Times New Roman" w:cs="Times New Roman"/>
          <w:sz w:val="24"/>
          <w:szCs w:val="24"/>
        </w:rPr>
        <w:t xml:space="preserve">, governs the withdrawals of a plea. In the matter of </w:t>
      </w:r>
      <w:r w:rsidRPr="00F8189F">
        <w:rPr>
          <w:rFonts w:ascii="Times New Roman" w:hAnsi="Times New Roman" w:cs="Times New Roman"/>
          <w:i/>
          <w:sz w:val="24"/>
          <w:szCs w:val="24"/>
        </w:rPr>
        <w:t>S</w:t>
      </w:r>
      <w:r>
        <w:rPr>
          <w:rFonts w:ascii="Times New Roman" w:hAnsi="Times New Roman" w:cs="Times New Roman"/>
          <w:sz w:val="24"/>
          <w:szCs w:val="24"/>
        </w:rPr>
        <w:t xml:space="preserve"> v </w:t>
      </w:r>
      <w:r w:rsidRPr="00F8189F">
        <w:rPr>
          <w:rFonts w:ascii="Times New Roman" w:hAnsi="Times New Roman" w:cs="Times New Roman"/>
          <w:i/>
          <w:sz w:val="24"/>
          <w:szCs w:val="24"/>
        </w:rPr>
        <w:t>Matare</w:t>
      </w:r>
      <w:r>
        <w:rPr>
          <w:rFonts w:ascii="Times New Roman" w:hAnsi="Times New Roman" w:cs="Times New Roman"/>
          <w:sz w:val="24"/>
          <w:szCs w:val="24"/>
        </w:rPr>
        <w:t xml:space="preserve"> </w:t>
      </w:r>
      <w:r w:rsidRPr="00A01833">
        <w:rPr>
          <w:rFonts w:ascii="Times New Roman" w:hAnsi="Times New Roman" w:cs="Times New Roman"/>
          <w:i/>
          <w:sz w:val="24"/>
          <w:szCs w:val="24"/>
        </w:rPr>
        <w:t>supra</w:t>
      </w:r>
      <w:r>
        <w:rPr>
          <w:rFonts w:ascii="Times New Roman" w:hAnsi="Times New Roman" w:cs="Times New Roman"/>
          <w:i/>
          <w:sz w:val="24"/>
          <w:szCs w:val="24"/>
        </w:rPr>
        <w:t xml:space="preserve"> </w:t>
      </w:r>
      <w:r w:rsidRPr="00F8189F">
        <w:rPr>
          <w:rFonts w:ascii="Times New Roman" w:hAnsi="Times New Roman" w:cs="Times New Roman"/>
          <w:smallCaps/>
          <w:sz w:val="24"/>
          <w:szCs w:val="24"/>
        </w:rPr>
        <w:t xml:space="preserve">Gubbay </w:t>
      </w:r>
      <w:r w:rsidR="00F8189F">
        <w:rPr>
          <w:rFonts w:ascii="Times New Roman" w:hAnsi="Times New Roman" w:cs="Times New Roman"/>
          <w:smallCaps/>
          <w:sz w:val="24"/>
          <w:szCs w:val="24"/>
        </w:rPr>
        <w:t>c j</w:t>
      </w:r>
      <w:r w:rsidR="00462CEB">
        <w:rPr>
          <w:rFonts w:ascii="Times New Roman" w:hAnsi="Times New Roman" w:cs="Times New Roman"/>
          <w:i/>
          <w:sz w:val="24"/>
          <w:szCs w:val="24"/>
        </w:rPr>
        <w:t xml:space="preserve"> </w:t>
      </w:r>
      <w:r w:rsidR="00462CEB">
        <w:rPr>
          <w:rFonts w:ascii="Times New Roman" w:hAnsi="Times New Roman" w:cs="Times New Roman"/>
          <w:sz w:val="24"/>
          <w:szCs w:val="24"/>
        </w:rPr>
        <w:t>crisply</w:t>
      </w:r>
      <w:r>
        <w:rPr>
          <w:rFonts w:ascii="Times New Roman" w:hAnsi="Times New Roman" w:cs="Times New Roman"/>
          <w:sz w:val="24"/>
          <w:szCs w:val="24"/>
        </w:rPr>
        <w:t xml:space="preserve"> stated the law </w:t>
      </w:r>
      <w:r w:rsidR="00462CEB">
        <w:rPr>
          <w:rStyle w:val="FootnoteReference"/>
          <w:rFonts w:ascii="Times New Roman" w:hAnsi="Times New Roman" w:cs="Times New Roman"/>
          <w:sz w:val="24"/>
          <w:szCs w:val="24"/>
        </w:rPr>
        <w:footnoteReference w:id="11"/>
      </w:r>
      <w:r w:rsidR="00462CEB">
        <w:rPr>
          <w:rFonts w:ascii="Times New Roman" w:hAnsi="Times New Roman" w:cs="Times New Roman"/>
          <w:sz w:val="24"/>
          <w:szCs w:val="24"/>
        </w:rPr>
        <w:t>as follows.</w:t>
      </w:r>
    </w:p>
    <w:p w:rsidR="00462CEB" w:rsidRPr="00310F17" w:rsidRDefault="00462CEB" w:rsidP="00310F17">
      <w:pPr>
        <w:spacing w:line="240" w:lineRule="auto"/>
        <w:ind w:left="720"/>
        <w:jc w:val="both"/>
        <w:rPr>
          <w:rFonts w:ascii="Times New Roman" w:hAnsi="Times New Roman" w:cs="Times New Roman"/>
        </w:rPr>
      </w:pPr>
      <w:r w:rsidRPr="00310F17">
        <w:rPr>
          <w:rFonts w:ascii="Times New Roman" w:hAnsi="Times New Roman" w:cs="Times New Roman"/>
        </w:rPr>
        <w:lastRenderedPageBreak/>
        <w:t>“the phrases “if the court is not satisfied that the accused has correctly admitted all the essential elements of the offence” and “has no valid defence to the charge,” in paragraphs (b) and (c) respectively, deal with the situation where the accused does not dispute any of the essential elements of his guilty</w:t>
      </w:r>
      <w:r w:rsidR="00310F17" w:rsidRPr="00310F17">
        <w:rPr>
          <w:rFonts w:ascii="Times New Roman" w:hAnsi="Times New Roman" w:cs="Times New Roman"/>
        </w:rPr>
        <w:t>, but during the proceedings it becomes apparent that he has wrongly or mistakenly pleaded guilty. The court is then obliged to change the plea. The word “satisfied” means that the court must have a reasonable doubt about the correctness of an admission or of the conviction it returned.”</w:t>
      </w:r>
    </w:p>
    <w:p w:rsidR="00310F17" w:rsidRDefault="00310F17" w:rsidP="00370E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9521EA">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310F17">
        <w:rPr>
          <w:rFonts w:ascii="Times New Roman" w:hAnsi="Times New Roman" w:cs="Times New Roman"/>
          <w:i/>
          <w:sz w:val="24"/>
          <w:szCs w:val="24"/>
        </w:rPr>
        <w:t>Nyathi and Another</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r w:rsidRPr="00310F17">
        <w:rPr>
          <w:rFonts w:ascii="Times New Roman" w:hAnsi="Times New Roman" w:cs="Times New Roman"/>
          <w:smallCaps/>
          <w:sz w:val="24"/>
          <w:szCs w:val="24"/>
        </w:rPr>
        <w:t>Sansole J</w:t>
      </w:r>
      <w:r w:rsidR="009521EA">
        <w:rPr>
          <w:rFonts w:ascii="Times New Roman" w:hAnsi="Times New Roman" w:cs="Times New Roman"/>
          <w:sz w:val="24"/>
          <w:szCs w:val="24"/>
        </w:rPr>
        <w:t xml:space="preserve"> a</w:t>
      </w:r>
      <w:r>
        <w:rPr>
          <w:rFonts w:ascii="Times New Roman" w:hAnsi="Times New Roman" w:cs="Times New Roman"/>
          <w:sz w:val="24"/>
          <w:szCs w:val="24"/>
        </w:rPr>
        <w:t>ptly dealt with changes of plea as follows:</w:t>
      </w:r>
    </w:p>
    <w:p w:rsidR="00310F17" w:rsidRPr="007823C8" w:rsidRDefault="00310F17" w:rsidP="007823C8">
      <w:pPr>
        <w:spacing w:line="240" w:lineRule="auto"/>
        <w:ind w:left="720"/>
        <w:jc w:val="both"/>
        <w:rPr>
          <w:rFonts w:ascii="Times New Roman" w:hAnsi="Times New Roman" w:cs="Times New Roman"/>
        </w:rPr>
      </w:pPr>
      <w:r>
        <w:rPr>
          <w:rFonts w:ascii="Times New Roman" w:hAnsi="Times New Roman" w:cs="Times New Roman"/>
          <w:sz w:val="24"/>
          <w:szCs w:val="24"/>
        </w:rPr>
        <w:t>“</w:t>
      </w:r>
      <w:r w:rsidRPr="007823C8">
        <w:rPr>
          <w:rFonts w:ascii="Times New Roman" w:hAnsi="Times New Roman" w:cs="Times New Roman"/>
        </w:rPr>
        <w:t xml:space="preserve">But where the application </w:t>
      </w:r>
      <w:r w:rsidR="007823C8" w:rsidRPr="007823C8">
        <w:rPr>
          <w:rFonts w:ascii="Times New Roman" w:hAnsi="Times New Roman" w:cs="Times New Roman"/>
        </w:rPr>
        <w:t xml:space="preserve">to withdraw a plea is made after verdict but before sentence, the court has </w:t>
      </w:r>
      <w:r w:rsidR="00247DC0">
        <w:rPr>
          <w:rFonts w:ascii="Times New Roman" w:hAnsi="Times New Roman" w:cs="Times New Roman"/>
        </w:rPr>
        <w:t>a discretion in appropriate case</w:t>
      </w:r>
      <w:r w:rsidR="007823C8" w:rsidRPr="007823C8">
        <w:rPr>
          <w:rFonts w:ascii="Times New Roman" w:hAnsi="Times New Roman" w:cs="Times New Roman"/>
        </w:rPr>
        <w:t>s to allow a withdrawal of plea. This discretion is exercisable only in clear cases and very sparingly. For here different considerations apply and the presumption of innocence no longer applies. In this situation the accused is required to show, on a balance of probabilities that the plea that he made was not made voluntarily, understandingly and correctly.</w:t>
      </w:r>
    </w:p>
    <w:p w:rsidR="007823C8" w:rsidRPr="00B900A2" w:rsidRDefault="007823C8" w:rsidP="00761EAB">
      <w:pPr>
        <w:spacing w:line="240" w:lineRule="auto"/>
        <w:ind w:firstLine="720"/>
        <w:jc w:val="both"/>
        <w:rPr>
          <w:rFonts w:ascii="Times New Roman" w:hAnsi="Times New Roman" w:cs="Times New Roman"/>
          <w:sz w:val="24"/>
          <w:szCs w:val="24"/>
        </w:rPr>
      </w:pPr>
      <w:r w:rsidRPr="00B900A2">
        <w:rPr>
          <w:rFonts w:ascii="Times New Roman" w:hAnsi="Times New Roman" w:cs="Times New Roman"/>
          <w:sz w:val="24"/>
          <w:szCs w:val="24"/>
        </w:rPr>
        <w:t>See Friedman v United States (1954) 99 US Led 222, where it is put as follows:</w:t>
      </w:r>
    </w:p>
    <w:p w:rsidR="007823C8" w:rsidRPr="00761EAB" w:rsidRDefault="007823C8" w:rsidP="00761EAB">
      <w:pPr>
        <w:spacing w:line="240" w:lineRule="auto"/>
        <w:ind w:left="720"/>
        <w:jc w:val="both"/>
        <w:rPr>
          <w:rFonts w:ascii="Times New Roman" w:hAnsi="Times New Roman" w:cs="Times New Roman"/>
        </w:rPr>
      </w:pPr>
      <w:r w:rsidRPr="00761EAB">
        <w:rPr>
          <w:rFonts w:ascii="Times New Roman" w:hAnsi="Times New Roman" w:cs="Times New Roman"/>
        </w:rPr>
        <w:t xml:space="preserve">‘the issue for determination by the court is whether </w:t>
      </w:r>
      <w:r w:rsidR="008C7C0C" w:rsidRPr="00761EAB">
        <w:rPr>
          <w:rFonts w:ascii="Times New Roman" w:hAnsi="Times New Roman" w:cs="Times New Roman"/>
        </w:rPr>
        <w:t xml:space="preserve">the plea was voluntarily, advisedly intentionally and understandingly entered or whether it was </w:t>
      </w:r>
      <w:r w:rsidR="00761EAB" w:rsidRPr="00761EAB">
        <w:rPr>
          <w:rFonts w:ascii="Times New Roman" w:hAnsi="Times New Roman" w:cs="Times New Roman"/>
        </w:rPr>
        <w:t>at the time of its entry attributable to force, fear, fraud, ignorance, inadvertence or mistake such as would justify the court in concluding that it ought to be permitted to stand”</w:t>
      </w:r>
    </w:p>
    <w:p w:rsidR="00761EAB" w:rsidRPr="00B900A2" w:rsidRDefault="00761EAB" w:rsidP="00370EA1">
      <w:pPr>
        <w:spacing w:line="360" w:lineRule="auto"/>
        <w:ind w:firstLine="720"/>
        <w:jc w:val="both"/>
        <w:rPr>
          <w:rFonts w:ascii="Times New Roman" w:hAnsi="Times New Roman" w:cs="Times New Roman"/>
          <w:sz w:val="24"/>
          <w:szCs w:val="24"/>
        </w:rPr>
      </w:pPr>
      <w:r w:rsidRPr="00B900A2">
        <w:rPr>
          <w:rFonts w:ascii="Times New Roman" w:hAnsi="Times New Roman" w:cs="Times New Roman"/>
          <w:smallCaps/>
          <w:sz w:val="24"/>
          <w:szCs w:val="24"/>
        </w:rPr>
        <w:t>Van Duckhorst J</w:t>
      </w:r>
      <w:r w:rsidRPr="00B900A2">
        <w:rPr>
          <w:rFonts w:ascii="Times New Roman" w:hAnsi="Times New Roman" w:cs="Times New Roman"/>
          <w:sz w:val="24"/>
          <w:szCs w:val="24"/>
        </w:rPr>
        <w:t xml:space="preserve"> in S v Mazwi 1982 (2) SA 344 (T) at 352 put it this way:</w:t>
      </w:r>
    </w:p>
    <w:p w:rsidR="00761EAB" w:rsidRPr="004A3E43" w:rsidRDefault="00761EAB" w:rsidP="004A3E43">
      <w:pPr>
        <w:spacing w:line="240" w:lineRule="auto"/>
        <w:ind w:left="720"/>
        <w:jc w:val="both"/>
        <w:rPr>
          <w:rFonts w:ascii="Times New Roman" w:hAnsi="Times New Roman" w:cs="Times New Roman"/>
        </w:rPr>
      </w:pPr>
      <w:r w:rsidRPr="004A3E43">
        <w:rPr>
          <w:rFonts w:ascii="Times New Roman" w:hAnsi="Times New Roman" w:cs="Times New Roman"/>
        </w:rPr>
        <w:t xml:space="preserve">‘The onus only arises after conviction. By that time the court will be satisfied that the accused is guilty and will have brought out a verdict accordingly, surely, it is not inequitable to require that in these circumstances anyone </w:t>
      </w:r>
      <w:r w:rsidR="004A3E43" w:rsidRPr="004A3E43">
        <w:rPr>
          <w:rFonts w:ascii="Times New Roman" w:hAnsi="Times New Roman" w:cs="Times New Roman"/>
        </w:rPr>
        <w:t xml:space="preserve">who wants to set aside the conviction and install a plea of not guilty </w:t>
      </w:r>
      <w:r w:rsidR="004A3E43" w:rsidRPr="004A3E43">
        <w:rPr>
          <w:rFonts w:ascii="Times New Roman" w:hAnsi="Times New Roman" w:cs="Times New Roman"/>
          <w:i/>
        </w:rPr>
        <w:t>should satisfy the court that there are good grounds for doing so’</w:t>
      </w:r>
      <w:r w:rsidR="004A3E43" w:rsidRPr="004A3E43">
        <w:rPr>
          <w:rFonts w:ascii="Times New Roman" w:hAnsi="Times New Roman" w:cs="Times New Roman"/>
        </w:rPr>
        <w:t xml:space="preserve"> (my emphasis)”</w:t>
      </w:r>
    </w:p>
    <w:p w:rsidR="00A01833" w:rsidRDefault="004A3E43" w:rsidP="00370E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settled that an appeal court will not lightly interfere with the factual findings of a lower court. It will only interfere where the fac</w:t>
      </w:r>
      <w:r w:rsidR="00561484">
        <w:rPr>
          <w:rFonts w:ascii="Times New Roman" w:hAnsi="Times New Roman" w:cs="Times New Roman"/>
          <w:sz w:val="24"/>
          <w:szCs w:val="24"/>
        </w:rPr>
        <w:t>tual findings are so grossly un</w:t>
      </w:r>
      <w:r>
        <w:rPr>
          <w:rFonts w:ascii="Times New Roman" w:hAnsi="Times New Roman" w:cs="Times New Roman"/>
          <w:sz w:val="24"/>
          <w:szCs w:val="24"/>
        </w:rPr>
        <w:t xml:space="preserve">reasonable that no reasonable person applying his or he mind to the facts would have reached the same decision. </w:t>
      </w:r>
      <w:r w:rsidR="003D12A9">
        <w:rPr>
          <w:rStyle w:val="FootnoteReference"/>
          <w:rFonts w:ascii="Times New Roman" w:hAnsi="Times New Roman" w:cs="Times New Roman"/>
          <w:sz w:val="24"/>
          <w:szCs w:val="24"/>
        </w:rPr>
        <w:footnoteReference w:id="13"/>
      </w:r>
    </w:p>
    <w:p w:rsidR="004A3E43" w:rsidRPr="003D12A9" w:rsidRDefault="004A3E43" w:rsidP="003D12A9">
      <w:pPr>
        <w:spacing w:line="360" w:lineRule="auto"/>
        <w:jc w:val="both"/>
        <w:rPr>
          <w:rFonts w:ascii="Times New Roman" w:hAnsi="Times New Roman" w:cs="Times New Roman"/>
          <w:sz w:val="24"/>
          <w:szCs w:val="24"/>
          <w:u w:val="single"/>
        </w:rPr>
      </w:pPr>
      <w:r w:rsidRPr="003D12A9">
        <w:rPr>
          <w:rFonts w:ascii="Times New Roman" w:hAnsi="Times New Roman" w:cs="Times New Roman"/>
          <w:sz w:val="24"/>
          <w:szCs w:val="24"/>
          <w:u w:val="single"/>
        </w:rPr>
        <w:t>Application of the law to the facts</w:t>
      </w:r>
    </w:p>
    <w:p w:rsidR="004A3E43" w:rsidRDefault="004A3E43" w:rsidP="00B900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expounded in the case of </w:t>
      </w:r>
      <w:r w:rsidRPr="003D12A9">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3D12A9">
        <w:rPr>
          <w:rFonts w:ascii="Times New Roman" w:hAnsi="Times New Roman" w:cs="Times New Roman"/>
          <w:i/>
          <w:sz w:val="24"/>
          <w:szCs w:val="24"/>
        </w:rPr>
        <w:t>Mutimhodyo</w:t>
      </w:r>
      <w:r>
        <w:rPr>
          <w:rFonts w:ascii="Times New Roman" w:hAnsi="Times New Roman" w:cs="Times New Roman"/>
          <w:sz w:val="24"/>
          <w:szCs w:val="24"/>
        </w:rPr>
        <w:t xml:space="preserve"> </w:t>
      </w:r>
      <w:r w:rsidRPr="004A3E43">
        <w:rPr>
          <w:rFonts w:ascii="Times New Roman" w:hAnsi="Times New Roman" w:cs="Times New Roman"/>
          <w:i/>
          <w:sz w:val="24"/>
          <w:szCs w:val="24"/>
        </w:rPr>
        <w:t>supra</w:t>
      </w:r>
      <w:r>
        <w:rPr>
          <w:rFonts w:ascii="Times New Roman" w:hAnsi="Times New Roman" w:cs="Times New Roman"/>
          <w:sz w:val="24"/>
          <w:szCs w:val="24"/>
        </w:rPr>
        <w:t xml:space="preserve"> a court has a duty to assist an unsophisticated, uneducated accused in explaining the charge, the facts, the essential elements of that charge as </w:t>
      </w:r>
      <w:r w:rsidR="00DE7E29">
        <w:rPr>
          <w:rFonts w:ascii="Times New Roman" w:hAnsi="Times New Roman" w:cs="Times New Roman"/>
          <w:sz w:val="24"/>
          <w:szCs w:val="24"/>
        </w:rPr>
        <w:t>well as the medical report,</w:t>
      </w:r>
      <w:r>
        <w:rPr>
          <w:rFonts w:ascii="Times New Roman" w:hAnsi="Times New Roman" w:cs="Times New Roman"/>
          <w:sz w:val="24"/>
          <w:szCs w:val="24"/>
        </w:rPr>
        <w:t xml:space="preserve"> if any. The whole idea </w:t>
      </w:r>
      <w:r w:rsidR="003D12A9">
        <w:rPr>
          <w:rFonts w:ascii="Times New Roman" w:hAnsi="Times New Roman" w:cs="Times New Roman"/>
          <w:sz w:val="24"/>
          <w:szCs w:val="24"/>
        </w:rPr>
        <w:t xml:space="preserve">behind this obligation is to ensure that an accused in return gives an informed plea. </w:t>
      </w:r>
    </w:p>
    <w:p w:rsidR="003D12A9" w:rsidRDefault="003D12A9" w:rsidP="00B900A2">
      <w:pPr>
        <w:spacing w:after="0" w:line="360" w:lineRule="auto"/>
        <w:ind w:firstLine="720"/>
        <w:jc w:val="both"/>
        <w:rPr>
          <w:rFonts w:ascii="Times New Roman" w:hAnsi="Times New Roman" w:cs="Times New Roman"/>
          <w:sz w:val="24"/>
          <w:szCs w:val="24"/>
        </w:rPr>
      </w:pPr>
      <w:r w:rsidRPr="001544E0">
        <w:rPr>
          <w:rFonts w:ascii="Times New Roman" w:hAnsi="Times New Roman" w:cs="Times New Roman"/>
          <w:i/>
          <w:sz w:val="24"/>
          <w:szCs w:val="24"/>
        </w:rPr>
        <w:t>In</w:t>
      </w:r>
      <w:r>
        <w:rPr>
          <w:rFonts w:ascii="Times New Roman" w:hAnsi="Times New Roman" w:cs="Times New Roman"/>
          <w:sz w:val="24"/>
          <w:szCs w:val="24"/>
        </w:rPr>
        <w:t xml:space="preserve"> </w:t>
      </w:r>
      <w:r w:rsidRPr="003D12A9">
        <w:rPr>
          <w:rFonts w:ascii="Times New Roman" w:hAnsi="Times New Roman" w:cs="Times New Roman"/>
          <w:i/>
          <w:sz w:val="24"/>
          <w:szCs w:val="24"/>
        </w:rPr>
        <w:t>casu</w:t>
      </w:r>
      <w:r>
        <w:rPr>
          <w:rFonts w:ascii="Times New Roman" w:hAnsi="Times New Roman" w:cs="Times New Roman"/>
          <w:sz w:val="24"/>
          <w:szCs w:val="24"/>
        </w:rPr>
        <w:t xml:space="preserve"> the Learned Regional Magistrate on pages 20 to 21 of the record took her time in explaining the nature of the offence, the facts as well as the essential elements of the charge </w:t>
      </w:r>
      <w:r>
        <w:rPr>
          <w:rFonts w:ascii="Times New Roman" w:hAnsi="Times New Roman" w:cs="Times New Roman"/>
          <w:sz w:val="24"/>
          <w:szCs w:val="24"/>
        </w:rPr>
        <w:lastRenderedPageBreak/>
        <w:t>faced by the appellant. Before the appellant pleaded to the charge the medical affidavit of the Psychiatrist was explained to the appellant where after he was asked to plead to the charge. In covering the ess</w:t>
      </w:r>
      <w:r w:rsidR="00F278C6">
        <w:rPr>
          <w:rFonts w:ascii="Times New Roman" w:hAnsi="Times New Roman" w:cs="Times New Roman"/>
          <w:sz w:val="24"/>
          <w:szCs w:val="24"/>
        </w:rPr>
        <w:t>ential elements of the charge mo</w:t>
      </w:r>
      <w:r>
        <w:rPr>
          <w:rFonts w:ascii="Times New Roman" w:hAnsi="Times New Roman" w:cs="Times New Roman"/>
          <w:sz w:val="24"/>
          <w:szCs w:val="24"/>
        </w:rPr>
        <w:t xml:space="preserve">re clarifications were done to the appellant and the appellant responded affirmatively. He did not advance any reason except to say that he wanted to marry the complainant. I am satisfied that the lower court went an extra-mile to ensure that appellant comprehended the nature of the charge. He was pleading guilty and the court </w:t>
      </w:r>
      <w:r w:rsidRPr="00902241">
        <w:rPr>
          <w:rFonts w:ascii="Times New Roman" w:hAnsi="Times New Roman" w:cs="Times New Roman"/>
          <w:i/>
          <w:sz w:val="24"/>
          <w:szCs w:val="24"/>
        </w:rPr>
        <w:t>a quo</w:t>
      </w:r>
      <w:r>
        <w:rPr>
          <w:rFonts w:ascii="Times New Roman" w:hAnsi="Times New Roman" w:cs="Times New Roman"/>
          <w:sz w:val="24"/>
          <w:szCs w:val="24"/>
        </w:rPr>
        <w:t xml:space="preserve"> </w:t>
      </w:r>
      <w:r w:rsidR="00902241">
        <w:rPr>
          <w:rFonts w:ascii="Times New Roman" w:hAnsi="Times New Roman" w:cs="Times New Roman"/>
          <w:sz w:val="24"/>
          <w:szCs w:val="24"/>
        </w:rPr>
        <w:t xml:space="preserve">judiciously met its obligations of assisting an unrepresented accused in this matter. </w:t>
      </w:r>
    </w:p>
    <w:p w:rsidR="00902241" w:rsidRDefault="00902241" w:rsidP="003C47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902241">
        <w:rPr>
          <w:rFonts w:ascii="Times New Roman" w:hAnsi="Times New Roman" w:cs="Times New Roman"/>
          <w:i/>
          <w:sz w:val="24"/>
          <w:szCs w:val="24"/>
        </w:rPr>
        <w:t>S</w:t>
      </w:r>
      <w:r>
        <w:rPr>
          <w:rFonts w:ascii="Times New Roman" w:hAnsi="Times New Roman" w:cs="Times New Roman"/>
          <w:sz w:val="24"/>
          <w:szCs w:val="24"/>
        </w:rPr>
        <w:t xml:space="preserve"> v </w:t>
      </w:r>
      <w:r w:rsidRPr="00902241">
        <w:rPr>
          <w:rFonts w:ascii="Times New Roman" w:hAnsi="Times New Roman" w:cs="Times New Roman"/>
          <w:i/>
          <w:sz w:val="24"/>
          <w:szCs w:val="24"/>
        </w:rPr>
        <w:t xml:space="preserve">Matare </w:t>
      </w:r>
      <w:r w:rsidRPr="006001C3">
        <w:rPr>
          <w:rFonts w:ascii="Times New Roman" w:hAnsi="Times New Roman" w:cs="Times New Roman"/>
          <w:i/>
          <w:sz w:val="24"/>
          <w:szCs w:val="24"/>
        </w:rPr>
        <w:t>supra</w:t>
      </w:r>
      <w:r>
        <w:rPr>
          <w:rFonts w:ascii="Times New Roman" w:hAnsi="Times New Roman" w:cs="Times New Roman"/>
          <w:sz w:val="24"/>
          <w:szCs w:val="24"/>
        </w:rPr>
        <w:t>, the Supreme Court exhaustively covered the rationale and basis where s 272 of the Criminal procedure and Evidence Act applies more particularly where there is doubt in relation to plea of guilty. The doubt arises where it become</w:t>
      </w:r>
      <w:r w:rsidR="006001C3">
        <w:rPr>
          <w:rFonts w:ascii="Times New Roman" w:hAnsi="Times New Roman" w:cs="Times New Roman"/>
          <w:sz w:val="24"/>
          <w:szCs w:val="24"/>
        </w:rPr>
        <w:t>s</w:t>
      </w:r>
      <w:r>
        <w:rPr>
          <w:rFonts w:ascii="Times New Roman" w:hAnsi="Times New Roman" w:cs="Times New Roman"/>
          <w:sz w:val="24"/>
          <w:szCs w:val="24"/>
        </w:rPr>
        <w:t xml:space="preserve"> apparent that an accused has wrongly or mistakenly pleaded guilty. As clearly pointed out in the matter of </w:t>
      </w:r>
      <w:r w:rsidRPr="00902241">
        <w:rPr>
          <w:rFonts w:ascii="Times New Roman" w:hAnsi="Times New Roman" w:cs="Times New Roman"/>
          <w:i/>
          <w:sz w:val="24"/>
          <w:szCs w:val="24"/>
        </w:rPr>
        <w:t>S</w:t>
      </w:r>
      <w:r>
        <w:rPr>
          <w:rFonts w:ascii="Times New Roman" w:hAnsi="Times New Roman" w:cs="Times New Roman"/>
          <w:sz w:val="24"/>
          <w:szCs w:val="24"/>
        </w:rPr>
        <w:t xml:space="preserve"> v </w:t>
      </w:r>
      <w:r w:rsidRPr="00902241">
        <w:rPr>
          <w:rFonts w:ascii="Times New Roman" w:hAnsi="Times New Roman" w:cs="Times New Roman"/>
          <w:i/>
          <w:sz w:val="24"/>
          <w:szCs w:val="24"/>
        </w:rPr>
        <w:t>Nyathi and Another</w:t>
      </w:r>
      <w:r>
        <w:rPr>
          <w:rFonts w:ascii="Times New Roman" w:hAnsi="Times New Roman" w:cs="Times New Roman"/>
          <w:sz w:val="24"/>
          <w:szCs w:val="24"/>
        </w:rPr>
        <w:t xml:space="preserve"> </w:t>
      </w:r>
      <w:r w:rsidRPr="00902241">
        <w:rPr>
          <w:rFonts w:ascii="Times New Roman" w:hAnsi="Times New Roman" w:cs="Times New Roman"/>
          <w:i/>
          <w:sz w:val="24"/>
          <w:szCs w:val="24"/>
        </w:rPr>
        <w:t>supra</w:t>
      </w:r>
      <w:r>
        <w:rPr>
          <w:rFonts w:ascii="Times New Roman" w:hAnsi="Times New Roman" w:cs="Times New Roman"/>
          <w:sz w:val="24"/>
          <w:szCs w:val="24"/>
        </w:rPr>
        <w:t xml:space="preserve"> there is an onus on the accused to justify the alteration. In this instance, where the presumption of innocence no longer applies, the accused is required to show on the balance of probabilities that the plea of guilty was not made voluntarily correctly and with understanding. He should satisfy the court that there are good grounds for doing so. </w:t>
      </w:r>
    </w:p>
    <w:p w:rsidR="00902241" w:rsidRPr="00531A1E" w:rsidRDefault="00902241" w:rsidP="003C4792">
      <w:pPr>
        <w:spacing w:after="0" w:line="360" w:lineRule="auto"/>
        <w:ind w:firstLine="720"/>
        <w:jc w:val="both"/>
        <w:rPr>
          <w:rFonts w:ascii="Times New Roman" w:hAnsi="Times New Roman" w:cs="Times New Roman"/>
          <w:sz w:val="24"/>
          <w:szCs w:val="24"/>
        </w:rPr>
      </w:pPr>
      <w:r w:rsidRPr="00037B39">
        <w:rPr>
          <w:rFonts w:ascii="Times New Roman" w:hAnsi="Times New Roman" w:cs="Times New Roman"/>
          <w:sz w:val="24"/>
          <w:szCs w:val="24"/>
        </w:rPr>
        <w:t xml:space="preserve">I did not hear the appellant alleging grounds “of force, fear, fraud, ignorance, </w:t>
      </w:r>
      <w:r w:rsidR="00D17DA4" w:rsidRPr="00037B39">
        <w:rPr>
          <w:rFonts w:ascii="Times New Roman" w:hAnsi="Times New Roman" w:cs="Times New Roman"/>
          <w:sz w:val="24"/>
          <w:szCs w:val="24"/>
        </w:rPr>
        <w:t xml:space="preserve">inadvertence or mistake” as would justify the court in accepting that it ought not to be permitted to stand. The court a quo after looking at all the facts placed before together with the reasons advanced by the appellant in the application for the change of plea concluded that the appellant had failed to satisfy the court a quo the basis of his withdrawal. Having carefully looked at the proceedings below I have failed to </w:t>
      </w:r>
      <w:r w:rsidR="001D2DEF" w:rsidRPr="00037B39">
        <w:rPr>
          <w:rFonts w:ascii="Times New Roman" w:hAnsi="Times New Roman" w:cs="Times New Roman"/>
          <w:sz w:val="24"/>
          <w:szCs w:val="24"/>
        </w:rPr>
        <w:t>discern any error nor misdirection on the part of the lower court. In any case this court cannot find any evidence that the factual find</w:t>
      </w:r>
      <w:r w:rsidR="00F20929" w:rsidRPr="00037B39">
        <w:rPr>
          <w:rFonts w:ascii="Times New Roman" w:hAnsi="Times New Roman" w:cs="Times New Roman"/>
          <w:sz w:val="24"/>
          <w:szCs w:val="24"/>
        </w:rPr>
        <w:t xml:space="preserve">ings of the lower court </w:t>
      </w:r>
      <w:r w:rsidR="009B07B7" w:rsidRPr="00037B39">
        <w:rPr>
          <w:rFonts w:ascii="Times New Roman" w:hAnsi="Times New Roman" w:cs="Times New Roman"/>
          <w:sz w:val="24"/>
          <w:szCs w:val="24"/>
        </w:rPr>
        <w:t xml:space="preserve">were </w:t>
      </w:r>
      <w:r w:rsidR="009B07B7" w:rsidRPr="00531A1E">
        <w:rPr>
          <w:rFonts w:ascii="Times New Roman" w:hAnsi="Times New Roman" w:cs="Times New Roman"/>
          <w:sz w:val="24"/>
          <w:szCs w:val="24"/>
        </w:rPr>
        <w:t>“grossly un</w:t>
      </w:r>
      <w:r w:rsidR="001D2DEF" w:rsidRPr="00531A1E">
        <w:rPr>
          <w:rFonts w:ascii="Times New Roman" w:hAnsi="Times New Roman" w:cs="Times New Roman"/>
          <w:sz w:val="24"/>
          <w:szCs w:val="24"/>
        </w:rPr>
        <w:t xml:space="preserve">reasonable that no reasonable person applying his or her mind to the facts would </w:t>
      </w:r>
      <w:r w:rsidR="008B4D4D" w:rsidRPr="00531A1E">
        <w:rPr>
          <w:rFonts w:ascii="Times New Roman" w:hAnsi="Times New Roman" w:cs="Times New Roman"/>
          <w:sz w:val="24"/>
          <w:szCs w:val="24"/>
        </w:rPr>
        <w:t>have reached the same decision.”</w:t>
      </w:r>
      <w:r w:rsidR="001D2DEF" w:rsidRPr="00531A1E">
        <w:rPr>
          <w:rFonts w:ascii="Times New Roman" w:hAnsi="Times New Roman" w:cs="Times New Roman"/>
          <w:sz w:val="24"/>
          <w:szCs w:val="24"/>
        </w:rPr>
        <w:t xml:space="preserve"> </w:t>
      </w:r>
      <w:r w:rsidR="001D2DEF" w:rsidRPr="00531A1E">
        <w:rPr>
          <w:rStyle w:val="FootnoteReference"/>
          <w:rFonts w:ascii="Times New Roman" w:hAnsi="Times New Roman" w:cs="Times New Roman"/>
          <w:sz w:val="24"/>
          <w:szCs w:val="24"/>
        </w:rPr>
        <w:footnoteReference w:id="14"/>
      </w:r>
    </w:p>
    <w:p w:rsidR="00902241" w:rsidRDefault="001D2DEF" w:rsidP="004A3E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dismissal of the application for change of plea is at the discretion of the trial court and I am satisfied that the court </w:t>
      </w:r>
      <w:r w:rsidRPr="001D2DEF">
        <w:rPr>
          <w:rFonts w:ascii="Times New Roman" w:hAnsi="Times New Roman" w:cs="Times New Roman"/>
          <w:i/>
          <w:sz w:val="24"/>
          <w:szCs w:val="24"/>
        </w:rPr>
        <w:t>a quo</w:t>
      </w:r>
      <w:r w:rsidR="00E55EB1">
        <w:rPr>
          <w:rFonts w:ascii="Times New Roman" w:hAnsi="Times New Roman" w:cs="Times New Roman"/>
          <w:i/>
          <w:sz w:val="24"/>
          <w:szCs w:val="24"/>
        </w:rPr>
        <w:t xml:space="preserve">’s </w:t>
      </w:r>
      <w:r w:rsidR="00E55EB1" w:rsidRPr="00E55EB1">
        <w:rPr>
          <w:rFonts w:ascii="Times New Roman" w:hAnsi="Times New Roman" w:cs="Times New Roman"/>
          <w:sz w:val="24"/>
          <w:szCs w:val="24"/>
        </w:rPr>
        <w:t>discretion</w:t>
      </w:r>
      <w:r w:rsidRPr="00E55EB1">
        <w:rPr>
          <w:rFonts w:ascii="Times New Roman" w:hAnsi="Times New Roman" w:cs="Times New Roman"/>
          <w:sz w:val="24"/>
          <w:szCs w:val="24"/>
        </w:rPr>
        <w:t xml:space="preserve"> </w:t>
      </w:r>
      <w:r>
        <w:rPr>
          <w:rFonts w:ascii="Times New Roman" w:hAnsi="Times New Roman" w:cs="Times New Roman"/>
          <w:sz w:val="24"/>
          <w:szCs w:val="24"/>
        </w:rPr>
        <w:t xml:space="preserve">was reasonably and judiciously exercised in my view and there is no basis to interfere with it. The appeal against the dismissal of the application has no merit. I am satisfied </w:t>
      </w:r>
      <w:r w:rsidR="00E55EB1">
        <w:rPr>
          <w:rFonts w:ascii="Times New Roman" w:hAnsi="Times New Roman" w:cs="Times New Roman"/>
          <w:sz w:val="24"/>
          <w:szCs w:val="24"/>
        </w:rPr>
        <w:t xml:space="preserve">further </w:t>
      </w:r>
      <w:r>
        <w:rPr>
          <w:rFonts w:ascii="Times New Roman" w:hAnsi="Times New Roman" w:cs="Times New Roman"/>
          <w:sz w:val="24"/>
          <w:szCs w:val="24"/>
        </w:rPr>
        <w:t>that the plea of guilty by the appel</w:t>
      </w:r>
      <w:r w:rsidR="00B900A2">
        <w:rPr>
          <w:rFonts w:ascii="Times New Roman" w:hAnsi="Times New Roman" w:cs="Times New Roman"/>
          <w:sz w:val="24"/>
          <w:szCs w:val="24"/>
        </w:rPr>
        <w:t>lant was well informed and in h</w:t>
      </w:r>
      <w:r>
        <w:rPr>
          <w:rFonts w:ascii="Times New Roman" w:hAnsi="Times New Roman" w:cs="Times New Roman"/>
          <w:sz w:val="24"/>
          <w:szCs w:val="24"/>
        </w:rPr>
        <w:t xml:space="preserve">is application for change of plea he failed to advance a reasonable </w:t>
      </w:r>
      <w:r w:rsidR="00B900A2">
        <w:rPr>
          <w:rFonts w:ascii="Times New Roman" w:hAnsi="Times New Roman" w:cs="Times New Roman"/>
          <w:sz w:val="24"/>
          <w:szCs w:val="24"/>
        </w:rPr>
        <w:t>explanation</w:t>
      </w:r>
      <w:r>
        <w:rPr>
          <w:rFonts w:ascii="Times New Roman" w:hAnsi="Times New Roman" w:cs="Times New Roman"/>
          <w:sz w:val="24"/>
          <w:szCs w:val="24"/>
        </w:rPr>
        <w:t xml:space="preserve"> why he had plead</w:t>
      </w:r>
      <w:r w:rsidR="00B900A2">
        <w:rPr>
          <w:rFonts w:ascii="Times New Roman" w:hAnsi="Times New Roman" w:cs="Times New Roman"/>
          <w:sz w:val="24"/>
          <w:szCs w:val="24"/>
        </w:rPr>
        <w:t>e</w:t>
      </w:r>
      <w:r>
        <w:rPr>
          <w:rFonts w:ascii="Times New Roman" w:hAnsi="Times New Roman" w:cs="Times New Roman"/>
          <w:sz w:val="24"/>
          <w:szCs w:val="24"/>
        </w:rPr>
        <w:t xml:space="preserve">d guilty in the first instance. </w:t>
      </w:r>
    </w:p>
    <w:p w:rsidR="00ED6FF2" w:rsidRDefault="00ED6FF2" w:rsidP="00976289">
      <w:pPr>
        <w:spacing w:line="360" w:lineRule="auto"/>
        <w:jc w:val="both"/>
        <w:rPr>
          <w:rFonts w:ascii="Times New Roman" w:hAnsi="Times New Roman" w:cs="Times New Roman"/>
          <w:sz w:val="24"/>
          <w:szCs w:val="24"/>
          <w:u w:val="single"/>
        </w:rPr>
      </w:pPr>
    </w:p>
    <w:p w:rsidR="00ED6FF2" w:rsidRDefault="00ED6FF2" w:rsidP="00976289">
      <w:pPr>
        <w:spacing w:line="360" w:lineRule="auto"/>
        <w:jc w:val="both"/>
        <w:rPr>
          <w:rFonts w:ascii="Times New Roman" w:hAnsi="Times New Roman" w:cs="Times New Roman"/>
          <w:sz w:val="24"/>
          <w:szCs w:val="24"/>
          <w:u w:val="single"/>
        </w:rPr>
      </w:pPr>
    </w:p>
    <w:p w:rsidR="00ED6FF2" w:rsidRDefault="00ED6FF2" w:rsidP="00976289">
      <w:pPr>
        <w:spacing w:line="360" w:lineRule="auto"/>
        <w:jc w:val="both"/>
        <w:rPr>
          <w:rFonts w:ascii="Times New Roman" w:hAnsi="Times New Roman" w:cs="Times New Roman"/>
          <w:sz w:val="24"/>
          <w:szCs w:val="24"/>
          <w:u w:val="single"/>
        </w:rPr>
      </w:pPr>
    </w:p>
    <w:p w:rsidR="00976289" w:rsidRPr="00A97E09" w:rsidRDefault="00976289" w:rsidP="00976289">
      <w:pPr>
        <w:spacing w:line="360" w:lineRule="auto"/>
        <w:jc w:val="both"/>
        <w:rPr>
          <w:rFonts w:ascii="Times New Roman" w:hAnsi="Times New Roman" w:cs="Times New Roman"/>
          <w:sz w:val="24"/>
          <w:szCs w:val="24"/>
          <w:u w:val="single"/>
        </w:rPr>
      </w:pPr>
      <w:r w:rsidRPr="00A97E09">
        <w:rPr>
          <w:rFonts w:ascii="Times New Roman" w:hAnsi="Times New Roman" w:cs="Times New Roman"/>
          <w:sz w:val="24"/>
          <w:szCs w:val="24"/>
          <w:u w:val="single"/>
        </w:rPr>
        <w:t xml:space="preserve">Disposition </w:t>
      </w:r>
    </w:p>
    <w:p w:rsidR="00976289" w:rsidRDefault="00976289" w:rsidP="00A97E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 the appeal against the dismissal of the change of plea has no merit and it is dismissed.</w:t>
      </w:r>
    </w:p>
    <w:p w:rsidR="008B191A" w:rsidRDefault="008B191A" w:rsidP="00976289">
      <w:pPr>
        <w:spacing w:line="360" w:lineRule="auto"/>
        <w:jc w:val="both"/>
        <w:rPr>
          <w:rFonts w:ascii="Times New Roman" w:hAnsi="Times New Roman" w:cs="Times New Roman"/>
          <w:sz w:val="24"/>
          <w:szCs w:val="24"/>
        </w:rPr>
      </w:pPr>
    </w:p>
    <w:p w:rsidR="00ED6FF2" w:rsidRDefault="00ED6FF2" w:rsidP="00976289">
      <w:pPr>
        <w:spacing w:line="360" w:lineRule="auto"/>
        <w:jc w:val="both"/>
        <w:rPr>
          <w:rFonts w:ascii="Times New Roman" w:hAnsi="Times New Roman" w:cs="Times New Roman"/>
          <w:sz w:val="24"/>
          <w:szCs w:val="24"/>
        </w:rPr>
      </w:pPr>
    </w:p>
    <w:p w:rsidR="00976289" w:rsidRDefault="00976289" w:rsidP="00976289">
      <w:pPr>
        <w:spacing w:line="360" w:lineRule="auto"/>
        <w:jc w:val="both"/>
        <w:rPr>
          <w:rFonts w:ascii="Times New Roman" w:hAnsi="Times New Roman" w:cs="Times New Roman"/>
          <w:sz w:val="24"/>
          <w:szCs w:val="24"/>
        </w:rPr>
      </w:pPr>
      <w:r>
        <w:rPr>
          <w:rFonts w:ascii="Times New Roman" w:hAnsi="Times New Roman" w:cs="Times New Roman"/>
          <w:sz w:val="24"/>
          <w:szCs w:val="24"/>
        </w:rPr>
        <w:t>MWAYERA J agrees</w:t>
      </w:r>
    </w:p>
    <w:p w:rsidR="00ED6FF2" w:rsidRDefault="00ED6FF2" w:rsidP="008B191A">
      <w:pPr>
        <w:spacing w:after="0" w:line="240" w:lineRule="auto"/>
        <w:jc w:val="both"/>
        <w:rPr>
          <w:rFonts w:ascii="Times New Roman" w:hAnsi="Times New Roman" w:cs="Times New Roman"/>
          <w:sz w:val="24"/>
          <w:szCs w:val="24"/>
        </w:rPr>
      </w:pPr>
    </w:p>
    <w:p w:rsidR="008B191A" w:rsidRDefault="00976289" w:rsidP="008B1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Mugadza Chinzamba and Partners, appellant’s legal practitioners</w:t>
      </w:r>
    </w:p>
    <w:p w:rsidR="00976289" w:rsidRPr="004A3E43" w:rsidRDefault="00976289" w:rsidP="008B1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Prosecuting Authority, respondent’s legal practitioners</w:t>
      </w:r>
    </w:p>
    <w:p w:rsidR="004A3E43" w:rsidRPr="004A3E43" w:rsidRDefault="004A3E43" w:rsidP="00976289">
      <w:pPr>
        <w:spacing w:after="0" w:line="360" w:lineRule="auto"/>
        <w:ind w:firstLine="720"/>
        <w:jc w:val="both"/>
        <w:rPr>
          <w:rFonts w:ascii="Times New Roman" w:hAnsi="Times New Roman" w:cs="Times New Roman"/>
          <w:sz w:val="24"/>
          <w:szCs w:val="24"/>
        </w:rPr>
      </w:pPr>
    </w:p>
    <w:p w:rsidR="004A3E43" w:rsidRPr="004A3E43" w:rsidRDefault="004A3E43" w:rsidP="00976289">
      <w:pPr>
        <w:spacing w:after="0" w:line="360" w:lineRule="auto"/>
        <w:ind w:firstLine="720"/>
        <w:jc w:val="both"/>
        <w:rPr>
          <w:rFonts w:ascii="Times New Roman" w:hAnsi="Times New Roman" w:cs="Times New Roman"/>
          <w:sz w:val="24"/>
          <w:szCs w:val="24"/>
        </w:rPr>
      </w:pPr>
    </w:p>
    <w:p w:rsidR="004A3E43" w:rsidRPr="004A3E43" w:rsidRDefault="004A3E43" w:rsidP="00976289">
      <w:pPr>
        <w:spacing w:after="0" w:line="360" w:lineRule="auto"/>
        <w:ind w:firstLine="720"/>
        <w:jc w:val="both"/>
        <w:rPr>
          <w:rFonts w:ascii="Times New Roman" w:hAnsi="Times New Roman" w:cs="Times New Roman"/>
          <w:sz w:val="24"/>
          <w:szCs w:val="24"/>
        </w:rPr>
      </w:pPr>
    </w:p>
    <w:p w:rsidR="004A3E43" w:rsidRPr="004A3E43" w:rsidRDefault="004A3E43" w:rsidP="00976289">
      <w:pPr>
        <w:spacing w:after="0" w:line="360" w:lineRule="auto"/>
        <w:ind w:firstLine="720"/>
        <w:jc w:val="both"/>
        <w:rPr>
          <w:rFonts w:ascii="Times New Roman" w:hAnsi="Times New Roman" w:cs="Times New Roman"/>
          <w:sz w:val="24"/>
          <w:szCs w:val="24"/>
        </w:rPr>
      </w:pPr>
    </w:p>
    <w:p w:rsidR="004A3E43" w:rsidRPr="004A3E43" w:rsidRDefault="004A3E43" w:rsidP="004A3E43">
      <w:pPr>
        <w:spacing w:line="360" w:lineRule="auto"/>
        <w:ind w:firstLine="720"/>
        <w:jc w:val="both"/>
        <w:rPr>
          <w:rFonts w:ascii="Times New Roman" w:hAnsi="Times New Roman" w:cs="Times New Roman"/>
          <w:sz w:val="24"/>
          <w:szCs w:val="24"/>
        </w:rPr>
      </w:pPr>
    </w:p>
    <w:p w:rsidR="004A3E43" w:rsidRPr="004A3E43" w:rsidRDefault="004A3E43" w:rsidP="004A3E43">
      <w:pPr>
        <w:spacing w:line="360" w:lineRule="auto"/>
        <w:ind w:firstLine="720"/>
        <w:jc w:val="both"/>
        <w:rPr>
          <w:rFonts w:ascii="Times New Roman" w:hAnsi="Times New Roman" w:cs="Times New Roman"/>
          <w:sz w:val="24"/>
          <w:szCs w:val="24"/>
        </w:rPr>
      </w:pPr>
    </w:p>
    <w:p w:rsidR="004A3E43" w:rsidRPr="004A3E43" w:rsidRDefault="004A3E43" w:rsidP="004A3E43">
      <w:pPr>
        <w:spacing w:line="360" w:lineRule="auto"/>
        <w:ind w:firstLine="720"/>
        <w:jc w:val="both"/>
        <w:rPr>
          <w:rFonts w:ascii="Times New Roman" w:hAnsi="Times New Roman" w:cs="Times New Roman"/>
          <w:sz w:val="24"/>
          <w:szCs w:val="24"/>
        </w:rPr>
      </w:pPr>
    </w:p>
    <w:p w:rsidR="004A3E43" w:rsidRPr="004A3E43" w:rsidRDefault="004A3E43" w:rsidP="004A3E43">
      <w:pPr>
        <w:spacing w:line="360" w:lineRule="auto"/>
        <w:ind w:firstLine="720"/>
        <w:jc w:val="both"/>
        <w:rPr>
          <w:rFonts w:ascii="Times New Roman" w:hAnsi="Times New Roman" w:cs="Times New Roman"/>
          <w:sz w:val="24"/>
          <w:szCs w:val="24"/>
        </w:rPr>
      </w:pPr>
    </w:p>
    <w:p w:rsidR="004A3E43" w:rsidRPr="004A3E43" w:rsidRDefault="004A3E43" w:rsidP="004A3E43">
      <w:pPr>
        <w:spacing w:line="360" w:lineRule="auto"/>
        <w:ind w:firstLine="720"/>
        <w:jc w:val="both"/>
        <w:rPr>
          <w:rFonts w:ascii="Times New Roman" w:hAnsi="Times New Roman" w:cs="Times New Roman"/>
          <w:sz w:val="24"/>
          <w:szCs w:val="24"/>
        </w:rPr>
      </w:pPr>
    </w:p>
    <w:p w:rsidR="00370EA1" w:rsidRPr="00370EA1" w:rsidRDefault="00370EA1" w:rsidP="00370EA1">
      <w:pPr>
        <w:spacing w:line="360" w:lineRule="auto"/>
        <w:ind w:firstLine="720"/>
        <w:jc w:val="both"/>
        <w:rPr>
          <w:rFonts w:ascii="Times New Roman" w:hAnsi="Times New Roman" w:cs="Times New Roman"/>
          <w:sz w:val="24"/>
          <w:szCs w:val="24"/>
        </w:rPr>
      </w:pPr>
    </w:p>
    <w:p w:rsidR="00370EA1" w:rsidRPr="00370EA1" w:rsidRDefault="00370EA1" w:rsidP="00370EA1">
      <w:pPr>
        <w:spacing w:line="360" w:lineRule="auto"/>
        <w:ind w:firstLine="720"/>
        <w:jc w:val="both"/>
        <w:rPr>
          <w:rFonts w:ascii="Times New Roman" w:hAnsi="Times New Roman" w:cs="Times New Roman"/>
          <w:sz w:val="24"/>
          <w:szCs w:val="24"/>
        </w:rPr>
      </w:pPr>
    </w:p>
    <w:p w:rsidR="00370EA1" w:rsidRPr="00370EA1" w:rsidRDefault="00370EA1" w:rsidP="00370EA1">
      <w:pPr>
        <w:spacing w:line="360" w:lineRule="auto"/>
        <w:ind w:firstLine="720"/>
        <w:jc w:val="both"/>
        <w:rPr>
          <w:rFonts w:ascii="Times New Roman" w:hAnsi="Times New Roman" w:cs="Times New Roman"/>
          <w:sz w:val="24"/>
          <w:szCs w:val="24"/>
        </w:rPr>
      </w:pPr>
    </w:p>
    <w:p w:rsidR="007E2C7E" w:rsidRPr="007E2C7E" w:rsidRDefault="007E2C7E" w:rsidP="007E2C7E">
      <w:pPr>
        <w:spacing w:line="360" w:lineRule="auto"/>
        <w:ind w:left="720"/>
        <w:jc w:val="both"/>
        <w:rPr>
          <w:rFonts w:ascii="Times New Roman" w:hAnsi="Times New Roman" w:cs="Times New Roman"/>
          <w:sz w:val="24"/>
          <w:szCs w:val="24"/>
        </w:rPr>
      </w:pPr>
    </w:p>
    <w:p w:rsidR="00BB59AD" w:rsidRDefault="00BB59AD" w:rsidP="00365A4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7C29E9" w:rsidRDefault="007C29E9" w:rsidP="00BB53D4">
      <w:pPr>
        <w:tabs>
          <w:tab w:val="left" w:pos="709"/>
        </w:tabs>
        <w:spacing w:after="0" w:line="360" w:lineRule="auto"/>
        <w:jc w:val="both"/>
        <w:rPr>
          <w:rFonts w:ascii="Times New Roman" w:hAnsi="Times New Roman" w:cs="Times New Roman"/>
          <w:sz w:val="24"/>
        </w:rPr>
      </w:pPr>
    </w:p>
    <w:sectPr w:rsidR="007C29E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18A" w:rsidRDefault="0051618A" w:rsidP="00A8528F">
      <w:pPr>
        <w:spacing w:after="0" w:line="240" w:lineRule="auto"/>
      </w:pPr>
      <w:r>
        <w:separator/>
      </w:r>
    </w:p>
  </w:endnote>
  <w:endnote w:type="continuationSeparator" w:id="0">
    <w:p w:rsidR="0051618A" w:rsidRDefault="0051618A" w:rsidP="00A8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18A" w:rsidRDefault="0051618A" w:rsidP="00A8528F">
      <w:pPr>
        <w:spacing w:after="0" w:line="240" w:lineRule="auto"/>
      </w:pPr>
      <w:r>
        <w:separator/>
      </w:r>
    </w:p>
  </w:footnote>
  <w:footnote w:type="continuationSeparator" w:id="0">
    <w:p w:rsidR="0051618A" w:rsidRDefault="0051618A" w:rsidP="00A8528F">
      <w:pPr>
        <w:spacing w:after="0" w:line="240" w:lineRule="auto"/>
      </w:pPr>
      <w:r>
        <w:continuationSeparator/>
      </w:r>
    </w:p>
  </w:footnote>
  <w:footnote w:id="1">
    <w:p w:rsidR="00981B78" w:rsidRDefault="00981B78">
      <w:pPr>
        <w:pStyle w:val="FootnoteText"/>
      </w:pPr>
      <w:r>
        <w:rPr>
          <w:rStyle w:val="FootnoteReference"/>
        </w:rPr>
        <w:footnoteRef/>
      </w:r>
      <w:r>
        <w:t xml:space="preserve"> page 20 of the record</w:t>
      </w:r>
    </w:p>
  </w:footnote>
  <w:footnote w:id="2">
    <w:p w:rsidR="00981B78" w:rsidRDefault="00981B78">
      <w:pPr>
        <w:pStyle w:val="FootnoteText"/>
      </w:pPr>
      <w:r>
        <w:rPr>
          <w:rStyle w:val="FootnoteReference"/>
        </w:rPr>
        <w:footnoteRef/>
      </w:r>
      <w:r>
        <w:t xml:space="preserve"> Page 21 of the record</w:t>
      </w:r>
    </w:p>
  </w:footnote>
  <w:footnote w:id="3">
    <w:p w:rsidR="00422E52" w:rsidRDefault="00422E52">
      <w:pPr>
        <w:pStyle w:val="FootnoteText"/>
      </w:pPr>
      <w:r>
        <w:rPr>
          <w:rStyle w:val="FootnoteReference"/>
        </w:rPr>
        <w:footnoteRef/>
      </w:r>
      <w:r>
        <w:t xml:space="preserve"> Page 21-22 of the record</w:t>
      </w:r>
    </w:p>
  </w:footnote>
  <w:footnote w:id="4">
    <w:p w:rsidR="00455709" w:rsidRDefault="00455709">
      <w:pPr>
        <w:pStyle w:val="FootnoteText"/>
      </w:pPr>
      <w:r>
        <w:rPr>
          <w:rStyle w:val="FootnoteReference"/>
        </w:rPr>
        <w:footnoteRef/>
      </w:r>
      <w:r>
        <w:t xml:space="preserve"> See also S v Matare 19193 (a) ZLR 88 (sc) S v Jackson 2002 (2) ZLR 683 (H) </w:t>
      </w:r>
    </w:p>
  </w:footnote>
  <w:footnote w:id="5">
    <w:p w:rsidR="00370EA1" w:rsidRDefault="00370EA1">
      <w:pPr>
        <w:pStyle w:val="FootnoteText"/>
      </w:pPr>
      <w:r>
        <w:rPr>
          <w:rStyle w:val="FootnoteReference"/>
        </w:rPr>
        <w:footnoteRef/>
      </w:r>
      <w:r>
        <w:t xml:space="preserve"> </w:t>
      </w:r>
      <w:r w:rsidR="0024036E">
        <w:t xml:space="preserve">HB 316/17 a judgment </w:t>
      </w:r>
      <w:r w:rsidR="0024036E" w:rsidRPr="0024036E">
        <w:rPr>
          <w:smallCaps/>
        </w:rPr>
        <w:t>by Mathonsi</w:t>
      </w:r>
      <w:r w:rsidR="0024036E" w:rsidRPr="0024036E">
        <w:rPr>
          <w:i/>
          <w:smallCaps/>
        </w:rPr>
        <w:t xml:space="preserve"> </w:t>
      </w:r>
      <w:r w:rsidR="0024036E" w:rsidRPr="0024036E">
        <w:rPr>
          <w:smallCaps/>
        </w:rPr>
        <w:t>j</w:t>
      </w:r>
      <w:r w:rsidR="0024036E">
        <w:t xml:space="preserve"> (as he then was) </w:t>
      </w:r>
    </w:p>
  </w:footnote>
  <w:footnote w:id="6">
    <w:p w:rsidR="004241DD" w:rsidRDefault="004241DD">
      <w:pPr>
        <w:pStyle w:val="FootnoteText"/>
      </w:pPr>
      <w:r>
        <w:rPr>
          <w:rStyle w:val="FootnoteReference"/>
        </w:rPr>
        <w:footnoteRef/>
      </w:r>
      <w:r>
        <w:t xml:space="preserve"> S v Chikwashira HH 282/14 per </w:t>
      </w:r>
      <w:r w:rsidRPr="004241DD">
        <w:rPr>
          <w:smallCaps/>
        </w:rPr>
        <w:t>Hungwe J</w:t>
      </w:r>
      <w:r>
        <w:t xml:space="preserve"> (as he then was) S v Mutumwa and Another HH 104/2008</w:t>
      </w:r>
    </w:p>
  </w:footnote>
  <w:footnote w:id="7">
    <w:p w:rsidR="00DE59BA" w:rsidRDefault="00DE59BA">
      <w:pPr>
        <w:pStyle w:val="FootnoteText"/>
      </w:pPr>
      <w:r w:rsidRPr="000A36D8">
        <w:rPr>
          <w:rStyle w:val="FootnoteReference"/>
          <w:i/>
        </w:rPr>
        <w:footnoteRef/>
      </w:r>
      <w:r w:rsidRPr="000A36D8">
        <w:rPr>
          <w:i/>
        </w:rPr>
        <w:t xml:space="preserve"> S</w:t>
      </w:r>
      <w:r>
        <w:t xml:space="preserve"> v </w:t>
      </w:r>
      <w:r w:rsidRPr="000A36D8">
        <w:rPr>
          <w:i/>
        </w:rPr>
        <w:t>Mlambo</w:t>
      </w:r>
      <w:r>
        <w:t xml:space="preserve"> 1994 (2) ZLR 410 (S). See also s 30 of the High Court Act [</w:t>
      </w:r>
      <w:r w:rsidRPr="00DE59BA">
        <w:rPr>
          <w:i/>
        </w:rPr>
        <w:t>Chapter 7:06</w:t>
      </w:r>
      <w:r>
        <w:t>]</w:t>
      </w:r>
    </w:p>
  </w:footnote>
  <w:footnote w:id="8">
    <w:p w:rsidR="00DE59BA" w:rsidRDefault="00DE59BA">
      <w:pPr>
        <w:pStyle w:val="FootnoteText"/>
      </w:pPr>
      <w:r>
        <w:rPr>
          <w:rStyle w:val="FootnoteReference"/>
        </w:rPr>
        <w:footnoteRef/>
      </w:r>
      <w:r>
        <w:t xml:space="preserve"> He referred this court to </w:t>
      </w:r>
      <w:r w:rsidRPr="000A36D8">
        <w:rPr>
          <w:i/>
        </w:rPr>
        <w:t>S</w:t>
      </w:r>
      <w:r>
        <w:t xml:space="preserve"> v </w:t>
      </w:r>
      <w:r w:rsidRPr="000A36D8">
        <w:rPr>
          <w:i/>
        </w:rPr>
        <w:t>Gore</w:t>
      </w:r>
      <w:r>
        <w:t xml:space="preserve"> 1991 (1) ZLR 180 F – 181 E per </w:t>
      </w:r>
      <w:r w:rsidRPr="00DE59BA">
        <w:rPr>
          <w:smallCaps/>
        </w:rPr>
        <w:t>Gillespie J</w:t>
      </w:r>
    </w:p>
  </w:footnote>
  <w:footnote w:id="9">
    <w:p w:rsidR="000A36D8" w:rsidRDefault="000A36D8">
      <w:pPr>
        <w:pStyle w:val="FootnoteText"/>
      </w:pPr>
      <w:r>
        <w:rPr>
          <w:rStyle w:val="FootnoteReference"/>
        </w:rPr>
        <w:footnoteRef/>
      </w:r>
      <w:r>
        <w:t xml:space="preserve"> S v Madey 2013 ZLR 4 (H) 28 E-F, 29 C-D</w:t>
      </w:r>
    </w:p>
  </w:footnote>
  <w:footnote w:id="10">
    <w:p w:rsidR="00A01833" w:rsidRDefault="00A01833">
      <w:pPr>
        <w:pStyle w:val="FootnoteText"/>
      </w:pPr>
      <w:r>
        <w:rPr>
          <w:rStyle w:val="FootnoteReference"/>
        </w:rPr>
        <w:footnoteRef/>
      </w:r>
      <w:r>
        <w:t xml:space="preserve"> </w:t>
      </w:r>
      <w:r w:rsidRPr="00A01833">
        <w:rPr>
          <w:smallCaps/>
        </w:rPr>
        <w:t xml:space="preserve">Beadle cj </w:t>
      </w:r>
      <w:r>
        <w:t xml:space="preserve">in </w:t>
      </w:r>
      <w:r w:rsidRPr="00A01833">
        <w:rPr>
          <w:i/>
        </w:rPr>
        <w:t xml:space="preserve">S </w:t>
      </w:r>
      <w:r>
        <w:t xml:space="preserve">v </w:t>
      </w:r>
      <w:r w:rsidRPr="00A01833">
        <w:rPr>
          <w:i/>
        </w:rPr>
        <w:t>Mutimhodyo</w:t>
      </w:r>
      <w:r>
        <w:t xml:space="preserve"> 1973 (1) ZLR 76</w:t>
      </w:r>
    </w:p>
  </w:footnote>
  <w:footnote w:id="11">
    <w:p w:rsidR="00462CEB" w:rsidRDefault="00462CEB">
      <w:pPr>
        <w:pStyle w:val="FootnoteText"/>
      </w:pPr>
      <w:r>
        <w:rPr>
          <w:rStyle w:val="FootnoteReference"/>
        </w:rPr>
        <w:footnoteRef/>
      </w:r>
      <w:r>
        <w:t xml:space="preserve"> At pages 98B-99B</w:t>
      </w:r>
    </w:p>
  </w:footnote>
  <w:footnote w:id="12">
    <w:p w:rsidR="00310F17" w:rsidRDefault="00310F17">
      <w:pPr>
        <w:pStyle w:val="FootnoteText"/>
      </w:pPr>
      <w:r>
        <w:rPr>
          <w:rStyle w:val="FootnoteReference"/>
        </w:rPr>
        <w:footnoteRef/>
      </w:r>
      <w:r>
        <w:t xml:space="preserve"> 1998 (1) ZLR 221 (H) 224D-225A </w:t>
      </w:r>
    </w:p>
  </w:footnote>
  <w:footnote w:id="13">
    <w:p w:rsidR="003D12A9" w:rsidRDefault="003D12A9">
      <w:pPr>
        <w:pStyle w:val="FootnoteText"/>
      </w:pPr>
      <w:r>
        <w:rPr>
          <w:rStyle w:val="FootnoteReference"/>
        </w:rPr>
        <w:footnoteRef/>
      </w:r>
      <w:r>
        <w:t xml:space="preserve"> </w:t>
      </w:r>
      <w:r w:rsidRPr="003D12A9">
        <w:rPr>
          <w:i/>
        </w:rPr>
        <w:t>Zinwa</w:t>
      </w:r>
      <w:r>
        <w:t xml:space="preserve"> v </w:t>
      </w:r>
      <w:r w:rsidRPr="003D12A9">
        <w:rPr>
          <w:i/>
        </w:rPr>
        <w:t>Mwoyounotsva</w:t>
      </w:r>
      <w:r>
        <w:t xml:space="preserve"> 2015 (1) ZLR 935 (S) paragraph 16</w:t>
      </w:r>
    </w:p>
  </w:footnote>
  <w:footnote w:id="14">
    <w:p w:rsidR="001D2DEF" w:rsidRDefault="001D2DEF">
      <w:pPr>
        <w:pStyle w:val="FootnoteText"/>
      </w:pPr>
      <w:r w:rsidRPr="001D2DEF">
        <w:rPr>
          <w:rStyle w:val="FootnoteReference"/>
          <w:i/>
        </w:rPr>
        <w:footnoteRef/>
      </w:r>
      <w:r w:rsidRPr="001D2DEF">
        <w:rPr>
          <w:i/>
        </w:rPr>
        <w:t xml:space="preserve"> Chihwa Chipwere</w:t>
      </w:r>
      <w:r>
        <w:t xml:space="preserve"> v </w:t>
      </w:r>
      <w:r w:rsidRPr="001D2DEF">
        <w:rPr>
          <w:i/>
        </w:rPr>
        <w:t>Manyame Milling Company (Private) Limited</w:t>
      </w:r>
      <w:r>
        <w:t xml:space="preserve"> SC 68/20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230828"/>
      <w:docPartObj>
        <w:docPartGallery w:val="Page Numbers (Top of Page)"/>
        <w:docPartUnique/>
      </w:docPartObj>
    </w:sdtPr>
    <w:sdtEndPr>
      <w:rPr>
        <w:noProof/>
      </w:rPr>
    </w:sdtEndPr>
    <w:sdtContent>
      <w:p w:rsidR="00A8528F" w:rsidRDefault="00A8528F">
        <w:pPr>
          <w:pStyle w:val="Header"/>
          <w:jc w:val="right"/>
          <w:rPr>
            <w:noProof/>
          </w:rPr>
        </w:pPr>
        <w:r>
          <w:fldChar w:fldCharType="begin"/>
        </w:r>
        <w:r>
          <w:instrText xml:space="preserve"> PAGE   \* MERGEFORMAT </w:instrText>
        </w:r>
        <w:r>
          <w:fldChar w:fldCharType="separate"/>
        </w:r>
        <w:r w:rsidR="008B530F">
          <w:rPr>
            <w:noProof/>
          </w:rPr>
          <w:t>1</w:t>
        </w:r>
        <w:r>
          <w:rPr>
            <w:noProof/>
          </w:rPr>
          <w:fldChar w:fldCharType="end"/>
        </w:r>
      </w:p>
      <w:p w:rsidR="00A8528F" w:rsidRDefault="00A8528F">
        <w:pPr>
          <w:pStyle w:val="Header"/>
          <w:jc w:val="right"/>
          <w:rPr>
            <w:noProof/>
          </w:rPr>
        </w:pPr>
        <w:r>
          <w:rPr>
            <w:noProof/>
          </w:rPr>
          <w:t>HMT</w:t>
        </w:r>
        <w:r w:rsidR="00E40355">
          <w:rPr>
            <w:noProof/>
          </w:rPr>
          <w:t xml:space="preserve"> </w:t>
        </w:r>
        <w:r w:rsidR="008B530F">
          <w:rPr>
            <w:noProof/>
          </w:rPr>
          <w:t>68</w:t>
        </w:r>
        <w:r>
          <w:rPr>
            <w:noProof/>
          </w:rPr>
          <w:t>-20</w:t>
        </w:r>
      </w:p>
      <w:p w:rsidR="00A8528F" w:rsidRDefault="00FE5460">
        <w:pPr>
          <w:pStyle w:val="Header"/>
          <w:jc w:val="right"/>
        </w:pPr>
        <w:r>
          <w:rPr>
            <w:noProof/>
          </w:rPr>
          <w:t>CA 11</w:t>
        </w:r>
        <w:r w:rsidR="00A8528F">
          <w:rPr>
            <w:noProof/>
          </w:rPr>
          <w:t>/20</w:t>
        </w:r>
      </w:p>
    </w:sdtContent>
  </w:sdt>
  <w:p w:rsidR="00A8528F" w:rsidRDefault="00A85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E768D"/>
    <w:multiLevelType w:val="hybridMultilevel"/>
    <w:tmpl w:val="86E2F10C"/>
    <w:lvl w:ilvl="0" w:tplc="B4D830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B4C1B8D"/>
    <w:multiLevelType w:val="hybridMultilevel"/>
    <w:tmpl w:val="4D3A146E"/>
    <w:lvl w:ilvl="0" w:tplc="C9BCBF2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EE943AF"/>
    <w:multiLevelType w:val="multilevel"/>
    <w:tmpl w:val="A022D0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CEC6496"/>
    <w:multiLevelType w:val="hybridMultilevel"/>
    <w:tmpl w:val="480EAB66"/>
    <w:lvl w:ilvl="0" w:tplc="182811D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D2"/>
    <w:rsid w:val="00005A2F"/>
    <w:rsid w:val="00014C1A"/>
    <w:rsid w:val="00037B39"/>
    <w:rsid w:val="00042402"/>
    <w:rsid w:val="00043352"/>
    <w:rsid w:val="0005766E"/>
    <w:rsid w:val="00070704"/>
    <w:rsid w:val="000857D1"/>
    <w:rsid w:val="000A0BD5"/>
    <w:rsid w:val="000A36D8"/>
    <w:rsid w:val="000B12A4"/>
    <w:rsid w:val="000B6E6B"/>
    <w:rsid w:val="000F21A7"/>
    <w:rsid w:val="001041DA"/>
    <w:rsid w:val="00112281"/>
    <w:rsid w:val="001251A2"/>
    <w:rsid w:val="0013744D"/>
    <w:rsid w:val="001427B9"/>
    <w:rsid w:val="001445BA"/>
    <w:rsid w:val="001544E0"/>
    <w:rsid w:val="001557ED"/>
    <w:rsid w:val="0017595E"/>
    <w:rsid w:val="001B38E0"/>
    <w:rsid w:val="001C6A44"/>
    <w:rsid w:val="001D003E"/>
    <w:rsid w:val="001D2DEF"/>
    <w:rsid w:val="00203B1C"/>
    <w:rsid w:val="00236C65"/>
    <w:rsid w:val="0024036E"/>
    <w:rsid w:val="00240D83"/>
    <w:rsid w:val="00243DDB"/>
    <w:rsid w:val="00247DC0"/>
    <w:rsid w:val="00251C15"/>
    <w:rsid w:val="00310F17"/>
    <w:rsid w:val="00317AE4"/>
    <w:rsid w:val="00351726"/>
    <w:rsid w:val="00365A4D"/>
    <w:rsid w:val="00370EA1"/>
    <w:rsid w:val="00375CDE"/>
    <w:rsid w:val="0037621A"/>
    <w:rsid w:val="00383CDC"/>
    <w:rsid w:val="00394C51"/>
    <w:rsid w:val="003C4792"/>
    <w:rsid w:val="003D12A9"/>
    <w:rsid w:val="00401B60"/>
    <w:rsid w:val="00422E52"/>
    <w:rsid w:val="004241DD"/>
    <w:rsid w:val="00455709"/>
    <w:rsid w:val="00462CEB"/>
    <w:rsid w:val="004A3E43"/>
    <w:rsid w:val="004A4D57"/>
    <w:rsid w:val="004B18FE"/>
    <w:rsid w:val="004D1CCA"/>
    <w:rsid w:val="0051618A"/>
    <w:rsid w:val="00517899"/>
    <w:rsid w:val="00523262"/>
    <w:rsid w:val="00531A1E"/>
    <w:rsid w:val="00561484"/>
    <w:rsid w:val="005643AD"/>
    <w:rsid w:val="005C2A47"/>
    <w:rsid w:val="005D4A84"/>
    <w:rsid w:val="005D7F86"/>
    <w:rsid w:val="006001C3"/>
    <w:rsid w:val="0062227E"/>
    <w:rsid w:val="006447AD"/>
    <w:rsid w:val="00665766"/>
    <w:rsid w:val="00672B4D"/>
    <w:rsid w:val="00675BF8"/>
    <w:rsid w:val="006957D2"/>
    <w:rsid w:val="006A6062"/>
    <w:rsid w:val="00761EAB"/>
    <w:rsid w:val="0076528E"/>
    <w:rsid w:val="00771187"/>
    <w:rsid w:val="0078058A"/>
    <w:rsid w:val="007823C8"/>
    <w:rsid w:val="0078793F"/>
    <w:rsid w:val="007B51C6"/>
    <w:rsid w:val="007C29E9"/>
    <w:rsid w:val="007E2C7E"/>
    <w:rsid w:val="007E40BF"/>
    <w:rsid w:val="00852C8B"/>
    <w:rsid w:val="008B191A"/>
    <w:rsid w:val="008B4D4D"/>
    <w:rsid w:val="008B530F"/>
    <w:rsid w:val="008C7C0C"/>
    <w:rsid w:val="00902241"/>
    <w:rsid w:val="009521EA"/>
    <w:rsid w:val="00976289"/>
    <w:rsid w:val="00981B78"/>
    <w:rsid w:val="009A5AB8"/>
    <w:rsid w:val="009B07B7"/>
    <w:rsid w:val="009C436B"/>
    <w:rsid w:val="009D3678"/>
    <w:rsid w:val="009D3EA8"/>
    <w:rsid w:val="009D6F6F"/>
    <w:rsid w:val="009F0538"/>
    <w:rsid w:val="00A01833"/>
    <w:rsid w:val="00A02D38"/>
    <w:rsid w:val="00A24795"/>
    <w:rsid w:val="00A310F1"/>
    <w:rsid w:val="00A3795E"/>
    <w:rsid w:val="00A57EB6"/>
    <w:rsid w:val="00A74B32"/>
    <w:rsid w:val="00A8528F"/>
    <w:rsid w:val="00A92047"/>
    <w:rsid w:val="00A97E09"/>
    <w:rsid w:val="00AB43FF"/>
    <w:rsid w:val="00AE29C5"/>
    <w:rsid w:val="00B50401"/>
    <w:rsid w:val="00B900A2"/>
    <w:rsid w:val="00B95F2B"/>
    <w:rsid w:val="00BB53D4"/>
    <w:rsid w:val="00BB59AD"/>
    <w:rsid w:val="00BD618A"/>
    <w:rsid w:val="00C1059D"/>
    <w:rsid w:val="00C111F6"/>
    <w:rsid w:val="00C4669C"/>
    <w:rsid w:val="00C5318C"/>
    <w:rsid w:val="00CA11AC"/>
    <w:rsid w:val="00CC0304"/>
    <w:rsid w:val="00CC3856"/>
    <w:rsid w:val="00CC66AE"/>
    <w:rsid w:val="00CD532A"/>
    <w:rsid w:val="00D17DA4"/>
    <w:rsid w:val="00D22254"/>
    <w:rsid w:val="00D6129A"/>
    <w:rsid w:val="00D65669"/>
    <w:rsid w:val="00D67D8F"/>
    <w:rsid w:val="00D71D3B"/>
    <w:rsid w:val="00D75EA8"/>
    <w:rsid w:val="00D842D4"/>
    <w:rsid w:val="00DC4148"/>
    <w:rsid w:val="00DE59BA"/>
    <w:rsid w:val="00DE7E29"/>
    <w:rsid w:val="00E40355"/>
    <w:rsid w:val="00E51F0F"/>
    <w:rsid w:val="00E55EB1"/>
    <w:rsid w:val="00E56F51"/>
    <w:rsid w:val="00ED6FF2"/>
    <w:rsid w:val="00EE0080"/>
    <w:rsid w:val="00EF091D"/>
    <w:rsid w:val="00EF3852"/>
    <w:rsid w:val="00F07211"/>
    <w:rsid w:val="00F20929"/>
    <w:rsid w:val="00F278C6"/>
    <w:rsid w:val="00F67512"/>
    <w:rsid w:val="00F8189F"/>
    <w:rsid w:val="00F878F7"/>
    <w:rsid w:val="00FB44B8"/>
    <w:rsid w:val="00FE20ED"/>
    <w:rsid w:val="00FE5460"/>
    <w:rsid w:val="00FF6704"/>
    <w:rsid w:val="00FF77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C97D6-D012-425A-A2DD-0263B44F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C1A"/>
    <w:pPr>
      <w:ind w:left="720"/>
      <w:contextualSpacing/>
    </w:pPr>
  </w:style>
  <w:style w:type="paragraph" w:styleId="Header">
    <w:name w:val="header"/>
    <w:basedOn w:val="Normal"/>
    <w:link w:val="HeaderChar"/>
    <w:uiPriority w:val="99"/>
    <w:unhideWhenUsed/>
    <w:rsid w:val="00A85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28F"/>
  </w:style>
  <w:style w:type="paragraph" w:styleId="Footer">
    <w:name w:val="footer"/>
    <w:basedOn w:val="Normal"/>
    <w:link w:val="FooterChar"/>
    <w:uiPriority w:val="99"/>
    <w:unhideWhenUsed/>
    <w:rsid w:val="00A85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28F"/>
  </w:style>
  <w:style w:type="paragraph" w:styleId="BalloonText">
    <w:name w:val="Balloon Text"/>
    <w:basedOn w:val="Normal"/>
    <w:link w:val="BalloonTextChar"/>
    <w:uiPriority w:val="99"/>
    <w:semiHidden/>
    <w:unhideWhenUsed/>
    <w:rsid w:val="009D6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F6F"/>
    <w:rPr>
      <w:rFonts w:ascii="Segoe UI" w:hAnsi="Segoe UI" w:cs="Segoe UI"/>
      <w:sz w:val="18"/>
      <w:szCs w:val="18"/>
    </w:rPr>
  </w:style>
  <w:style w:type="paragraph" w:styleId="FootnoteText">
    <w:name w:val="footnote text"/>
    <w:basedOn w:val="Normal"/>
    <w:link w:val="FootnoteTextChar"/>
    <w:uiPriority w:val="99"/>
    <w:semiHidden/>
    <w:unhideWhenUsed/>
    <w:rsid w:val="00981B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B78"/>
    <w:rPr>
      <w:sz w:val="20"/>
      <w:szCs w:val="20"/>
    </w:rPr>
  </w:style>
  <w:style w:type="character" w:styleId="FootnoteReference">
    <w:name w:val="footnote reference"/>
    <w:basedOn w:val="DefaultParagraphFont"/>
    <w:uiPriority w:val="99"/>
    <w:semiHidden/>
    <w:unhideWhenUsed/>
    <w:rsid w:val="00981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F2895-E3F0-4643-898B-CE031EB2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2020-10-08T05:54:00Z</cp:lastPrinted>
  <dcterms:created xsi:type="dcterms:W3CDTF">2020-10-09T10:06:00Z</dcterms:created>
  <dcterms:modified xsi:type="dcterms:W3CDTF">2020-10-09T10:06:00Z</dcterms:modified>
</cp:coreProperties>
</file>