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16" w:rsidRPr="00C6752E" w:rsidRDefault="00C33216" w:rsidP="00C33216">
      <w:pPr>
        <w:spacing w:line="360" w:lineRule="auto"/>
        <w:jc w:val="both"/>
        <w:rPr>
          <w:b/>
        </w:rPr>
      </w:pPr>
      <w:proofErr w:type="gramStart"/>
      <w:r w:rsidRPr="00C6752E">
        <w:rPr>
          <w:b/>
        </w:rPr>
        <w:t>IN TH</w:t>
      </w:r>
      <w:r>
        <w:rPr>
          <w:b/>
        </w:rPr>
        <w:t xml:space="preserve">E LABOUR COURT </w:t>
      </w:r>
      <w:r w:rsidR="00F317AE">
        <w:rPr>
          <w:b/>
        </w:rPr>
        <w:t>OF ZIMBABWE</w:t>
      </w:r>
      <w:r w:rsidR="00F317AE">
        <w:rPr>
          <w:b/>
        </w:rPr>
        <w:tab/>
        <w:t xml:space="preserve"> JUDGMENT NO.</w:t>
      </w:r>
      <w:proofErr w:type="gramEnd"/>
      <w:r w:rsidR="00F317AE">
        <w:rPr>
          <w:b/>
        </w:rPr>
        <w:t xml:space="preserve"> LC/H/606</w:t>
      </w:r>
      <w:bookmarkStart w:id="0" w:name="_GoBack"/>
      <w:bookmarkEnd w:id="0"/>
      <w:r>
        <w:rPr>
          <w:b/>
        </w:rPr>
        <w:t>/2016</w:t>
      </w:r>
    </w:p>
    <w:p w:rsidR="00C33216" w:rsidRDefault="00C33216" w:rsidP="00C33216">
      <w:pPr>
        <w:spacing w:line="360" w:lineRule="auto"/>
        <w:jc w:val="both"/>
        <w:rPr>
          <w:b/>
        </w:rPr>
      </w:pPr>
      <w:r>
        <w:rPr>
          <w:b/>
        </w:rPr>
        <w:t xml:space="preserve">HARARE, </w:t>
      </w:r>
      <w:r w:rsidR="0060429E">
        <w:rPr>
          <w:b/>
        </w:rPr>
        <w:t xml:space="preserve">2 JUNE </w:t>
      </w:r>
      <w:r>
        <w:rPr>
          <w:b/>
        </w:rPr>
        <w:t>2016</w:t>
      </w:r>
      <w:r w:rsidR="0060429E">
        <w:rPr>
          <w:b/>
        </w:rPr>
        <w:tab/>
      </w:r>
      <w:r w:rsidR="006042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C6752E">
        <w:rPr>
          <w:b/>
        </w:rPr>
        <w:t>CASE NO. LC/</w:t>
      </w:r>
      <w:r>
        <w:rPr>
          <w:b/>
        </w:rPr>
        <w:t>H/</w:t>
      </w:r>
      <w:r w:rsidR="0060429E">
        <w:rPr>
          <w:b/>
        </w:rPr>
        <w:t>70/16</w:t>
      </w:r>
    </w:p>
    <w:p w:rsidR="00C33216" w:rsidRDefault="0060429E" w:rsidP="00C33216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F317AE">
        <w:rPr>
          <w:b/>
        </w:rPr>
        <w:t>7 OCTOBER</w:t>
      </w:r>
      <w:r w:rsidR="00C33216">
        <w:rPr>
          <w:b/>
        </w:rPr>
        <w:t xml:space="preserve"> 2016</w:t>
      </w:r>
    </w:p>
    <w:p w:rsidR="00C33216" w:rsidRDefault="00C33216" w:rsidP="00C33216">
      <w:pPr>
        <w:spacing w:line="360" w:lineRule="auto"/>
        <w:jc w:val="both"/>
      </w:pPr>
      <w:r w:rsidRPr="00C6752E">
        <w:t>In the matter between:-</w:t>
      </w:r>
    </w:p>
    <w:p w:rsidR="00C33216" w:rsidRPr="00C6752E" w:rsidRDefault="00C33216" w:rsidP="00C33216">
      <w:pPr>
        <w:jc w:val="both"/>
      </w:pPr>
    </w:p>
    <w:p w:rsidR="00C33216" w:rsidRDefault="0060429E" w:rsidP="00C33216">
      <w:pPr>
        <w:jc w:val="both"/>
        <w:outlineLvl w:val="0"/>
        <w:rPr>
          <w:b/>
        </w:rPr>
      </w:pPr>
      <w:r>
        <w:rPr>
          <w:b/>
        </w:rPr>
        <w:t>VONGAI MAGADZIRE</w:t>
      </w:r>
      <w:r w:rsidR="00002C76">
        <w:rPr>
          <w:b/>
        </w:rPr>
        <w:tab/>
      </w:r>
      <w:r w:rsidR="00002C76">
        <w:rPr>
          <w:b/>
        </w:rPr>
        <w:tab/>
      </w:r>
      <w:r w:rsidR="00002C76">
        <w:rPr>
          <w:b/>
        </w:rPr>
        <w:tab/>
      </w:r>
      <w:r w:rsidR="00002C76">
        <w:rPr>
          <w:b/>
        </w:rPr>
        <w:tab/>
      </w:r>
      <w:r w:rsidR="00002C76">
        <w:rPr>
          <w:b/>
        </w:rPr>
        <w:tab/>
        <w:t>Appellant</w:t>
      </w:r>
    </w:p>
    <w:p w:rsidR="00C33216" w:rsidRDefault="00C33216" w:rsidP="00C33216">
      <w:pPr>
        <w:jc w:val="both"/>
        <w:outlineLvl w:val="0"/>
        <w:rPr>
          <w:b/>
        </w:rPr>
      </w:pPr>
    </w:p>
    <w:p w:rsidR="00C33216" w:rsidRDefault="00C33216" w:rsidP="00C33216">
      <w:pPr>
        <w:jc w:val="both"/>
        <w:outlineLvl w:val="0"/>
      </w:pPr>
      <w:r w:rsidRPr="00C6752E">
        <w:t>And</w:t>
      </w:r>
    </w:p>
    <w:p w:rsidR="00C33216" w:rsidRPr="00C6752E" w:rsidRDefault="00C33216" w:rsidP="00C33216">
      <w:pPr>
        <w:jc w:val="both"/>
        <w:outlineLvl w:val="0"/>
      </w:pPr>
    </w:p>
    <w:p w:rsidR="00C33216" w:rsidRDefault="00002C76" w:rsidP="00C33216">
      <w:pPr>
        <w:jc w:val="both"/>
        <w:rPr>
          <w:b/>
        </w:rPr>
      </w:pPr>
      <w:r>
        <w:rPr>
          <w:b/>
        </w:rPr>
        <w:t>BAINES IMAGING GROUP</w:t>
      </w:r>
      <w:r w:rsidR="00C33216">
        <w:rPr>
          <w:b/>
        </w:rPr>
        <w:tab/>
      </w:r>
      <w:r w:rsidR="00C33216">
        <w:rPr>
          <w:b/>
        </w:rPr>
        <w:tab/>
      </w:r>
      <w:r w:rsidR="00C33216">
        <w:rPr>
          <w:b/>
        </w:rPr>
        <w:tab/>
      </w:r>
      <w:r w:rsidR="00C33216">
        <w:rPr>
          <w:b/>
        </w:rPr>
        <w:tab/>
        <w:t>Respondent</w:t>
      </w:r>
    </w:p>
    <w:p w:rsidR="00C33216" w:rsidRPr="00C6752E" w:rsidRDefault="00C33216" w:rsidP="00C33216">
      <w:pPr>
        <w:jc w:val="both"/>
        <w:rPr>
          <w:b/>
        </w:rPr>
      </w:pPr>
    </w:p>
    <w:p w:rsidR="00C33216" w:rsidRDefault="00C33216" w:rsidP="00C33216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proofErr w:type="spellStart"/>
      <w:r>
        <w:t>Chidziva</w:t>
      </w:r>
      <w:proofErr w:type="spellEnd"/>
      <w:r>
        <w:t>, Judge</w:t>
      </w:r>
    </w:p>
    <w:p w:rsidR="00C33216" w:rsidRDefault="00C33216" w:rsidP="00C33216">
      <w:pPr>
        <w:jc w:val="both"/>
      </w:pPr>
    </w:p>
    <w:p w:rsidR="00C33216" w:rsidRPr="00DC0454" w:rsidRDefault="00C33216" w:rsidP="00C33216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C33216" w:rsidRDefault="00002C76" w:rsidP="00C33216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T. </w:t>
      </w:r>
      <w:proofErr w:type="spellStart"/>
      <w:r>
        <w:rPr>
          <w:b/>
        </w:rPr>
        <w:t>Garabga</w:t>
      </w:r>
      <w:proofErr w:type="spellEnd"/>
      <w:r>
        <w:rPr>
          <w:b/>
        </w:rPr>
        <w:t xml:space="preserve"> (Legal Practitioner)</w:t>
      </w:r>
      <w:r w:rsidR="00C33216">
        <w:rPr>
          <w:b/>
        </w:rPr>
        <w:tab/>
      </w:r>
      <w:r w:rsidR="00C33216">
        <w:rPr>
          <w:b/>
        </w:rPr>
        <w:tab/>
      </w:r>
    </w:p>
    <w:p w:rsidR="00C33216" w:rsidRDefault="00C33216" w:rsidP="00C33216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For Respondent</w:t>
      </w:r>
      <w:r w:rsidR="00EB0279">
        <w:rPr>
          <w:b/>
        </w:rPr>
        <w:tab/>
      </w:r>
      <w:r w:rsidR="00EB0279">
        <w:rPr>
          <w:b/>
        </w:rPr>
        <w:tab/>
      </w:r>
      <w:proofErr w:type="spellStart"/>
      <w:r w:rsidR="00EB0279">
        <w:rPr>
          <w:b/>
        </w:rPr>
        <w:t>Mr</w:t>
      </w:r>
      <w:proofErr w:type="spellEnd"/>
      <w:r w:rsidR="00EB0279">
        <w:rPr>
          <w:b/>
        </w:rPr>
        <w:t xml:space="preserve"> T J </w:t>
      </w:r>
      <w:proofErr w:type="spellStart"/>
      <w:r w:rsidR="00EB0279">
        <w:rPr>
          <w:b/>
        </w:rPr>
        <w:t>Mafo</w:t>
      </w:r>
      <w:r w:rsidR="00002C76">
        <w:rPr>
          <w:b/>
        </w:rPr>
        <w:t>ngoya</w:t>
      </w:r>
      <w:proofErr w:type="spellEnd"/>
      <w:r w:rsidR="00002C76">
        <w:rPr>
          <w:b/>
        </w:rPr>
        <w:t xml:space="preserve"> (Legal Practitioner)</w:t>
      </w:r>
      <w:r>
        <w:rPr>
          <w:b/>
        </w:rPr>
        <w:tab/>
      </w:r>
      <w:r>
        <w:rPr>
          <w:b/>
        </w:rPr>
        <w:tab/>
      </w:r>
    </w:p>
    <w:p w:rsidR="00C33216" w:rsidRDefault="00C33216" w:rsidP="00C33216">
      <w:pPr>
        <w:jc w:val="both"/>
        <w:rPr>
          <w:b/>
        </w:rPr>
      </w:pPr>
    </w:p>
    <w:p w:rsidR="00C33216" w:rsidRDefault="00C33216" w:rsidP="00C33216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C33216" w:rsidRDefault="00C33216" w:rsidP="00C33216">
      <w:pPr>
        <w:jc w:val="both"/>
        <w:outlineLvl w:val="0"/>
        <w:rPr>
          <w:b/>
        </w:rPr>
      </w:pPr>
    </w:p>
    <w:p w:rsidR="00B06115" w:rsidRDefault="00DE27BB" w:rsidP="00DE27BB">
      <w:pPr>
        <w:spacing w:line="360" w:lineRule="auto"/>
        <w:jc w:val="both"/>
      </w:pPr>
      <w:r>
        <w:tab/>
      </w:r>
    </w:p>
    <w:p w:rsidR="00DE27BB" w:rsidRDefault="00DE27BB" w:rsidP="00DE27BB">
      <w:pPr>
        <w:spacing w:line="360" w:lineRule="auto"/>
        <w:jc w:val="both"/>
      </w:pPr>
      <w:r>
        <w:tab/>
        <w:t xml:space="preserve">This is an appeal against the decision of the Honourable </w:t>
      </w:r>
      <w:r w:rsidR="005748C2">
        <w:t>Arbitrator Richard Masinire.  The arbitrator ruled that the dismissal of the appellant was fair.</w:t>
      </w:r>
    </w:p>
    <w:p w:rsidR="005748C2" w:rsidRDefault="005748C2" w:rsidP="00D42E89">
      <w:pPr>
        <w:jc w:val="both"/>
      </w:pPr>
    </w:p>
    <w:p w:rsidR="005748C2" w:rsidRDefault="005748C2" w:rsidP="00DE27BB">
      <w:pPr>
        <w:spacing w:line="360" w:lineRule="auto"/>
        <w:jc w:val="both"/>
      </w:pPr>
      <w:r>
        <w:tab/>
        <w:t>The background facts of this matter are that;</w:t>
      </w:r>
    </w:p>
    <w:p w:rsidR="005748C2" w:rsidRDefault="005748C2" w:rsidP="00E868AC">
      <w:pPr>
        <w:jc w:val="both"/>
      </w:pPr>
    </w:p>
    <w:p w:rsidR="005748C2" w:rsidRDefault="005748C2" w:rsidP="005748C2">
      <w:pPr>
        <w:pStyle w:val="ListParagraph"/>
        <w:numPr>
          <w:ilvl w:val="0"/>
          <w:numId w:val="1"/>
        </w:numPr>
        <w:spacing w:line="360" w:lineRule="auto"/>
        <w:jc w:val="both"/>
      </w:pPr>
      <w:r>
        <w:t>Appellant was employed by the respondent as its Operations Manager</w:t>
      </w:r>
      <w:r w:rsidR="00EF6DA7">
        <w:t xml:space="preserve"> at Avenues Clinic.</w:t>
      </w:r>
    </w:p>
    <w:p w:rsidR="00EF6DA7" w:rsidRDefault="00EF6DA7" w:rsidP="005748C2">
      <w:pPr>
        <w:pStyle w:val="ListParagraph"/>
        <w:numPr>
          <w:ilvl w:val="0"/>
          <w:numId w:val="1"/>
        </w:numPr>
        <w:spacing w:line="360" w:lineRule="auto"/>
        <w:jc w:val="both"/>
      </w:pPr>
      <w:r>
        <w:t>On the 4</w:t>
      </w:r>
      <w:r w:rsidRPr="00EF6DA7">
        <w:rPr>
          <w:vertAlign w:val="superscript"/>
        </w:rPr>
        <w:t>th</w:t>
      </w:r>
      <w:r>
        <w:t xml:space="preserve"> of June 2015 appellant</w:t>
      </w:r>
      <w:r w:rsidR="009F2D10">
        <w:t xml:space="preserve"> was suspended from work without salary and bene</w:t>
      </w:r>
      <w:r w:rsidR="00067325">
        <w:t>fits.</w:t>
      </w:r>
    </w:p>
    <w:p w:rsidR="00067325" w:rsidRDefault="00067325" w:rsidP="005748C2">
      <w:pPr>
        <w:pStyle w:val="ListParagraph"/>
        <w:numPr>
          <w:ilvl w:val="0"/>
          <w:numId w:val="1"/>
        </w:numPr>
        <w:spacing w:line="360" w:lineRule="auto"/>
        <w:jc w:val="both"/>
      </w:pPr>
      <w:r>
        <w:t>Appellant was eventually charged with theft or fraud in terms of Section</w:t>
      </w:r>
      <w:r w:rsidR="00394408">
        <w:t xml:space="preserve"> 4 (a) “Any act of </w:t>
      </w:r>
      <w:r w:rsidR="00B35D7E">
        <w:t xml:space="preserve">conduct on omission inconstant with the fulfillment of the express or </w:t>
      </w:r>
      <w:r w:rsidR="00A06342">
        <w:t>implied conditions of his or her contract”. The charges were based on allegations that the appellant had encashed</w:t>
      </w:r>
      <w:r w:rsidR="0039442F">
        <w:t xml:space="preserve"> </w:t>
      </w:r>
      <w:r w:rsidR="0045648C">
        <w:t>leave days in excess of the available le</w:t>
      </w:r>
      <w:r w:rsidR="00A23112">
        <w:t xml:space="preserve">ave days and also that she had defrauded the company of       US$5 520,00. </w:t>
      </w:r>
    </w:p>
    <w:p w:rsidR="000028C7" w:rsidRDefault="000028C7" w:rsidP="000028C7">
      <w:pPr>
        <w:pStyle w:val="ListParagraph"/>
        <w:spacing w:line="360" w:lineRule="auto"/>
        <w:jc w:val="both"/>
      </w:pPr>
    </w:p>
    <w:p w:rsidR="00CE44F0" w:rsidRDefault="00CE44F0" w:rsidP="005556B3">
      <w:pPr>
        <w:spacing w:line="360" w:lineRule="auto"/>
        <w:ind w:firstLine="720"/>
        <w:jc w:val="both"/>
      </w:pPr>
      <w:r>
        <w:lastRenderedPageBreak/>
        <w:t>On the 12</w:t>
      </w:r>
      <w:r w:rsidRPr="00CE44F0">
        <w:rPr>
          <w:vertAlign w:val="superscript"/>
        </w:rPr>
        <w:t>th</w:t>
      </w:r>
      <w:r>
        <w:t xml:space="preserve"> June 2015 the appellant appeared before a Disciplinary Authority to consider the charges.  She was</w:t>
      </w:r>
      <w:r w:rsidR="00AD6EBB">
        <w:t xml:space="preserve"> found guilty</w:t>
      </w:r>
      <w:r w:rsidR="005556B3">
        <w:t xml:space="preserve"> and dismissed from employment.</w:t>
      </w:r>
    </w:p>
    <w:p w:rsidR="005556B3" w:rsidRDefault="005556B3" w:rsidP="00E868AC">
      <w:pPr>
        <w:ind w:firstLine="720"/>
        <w:jc w:val="both"/>
      </w:pPr>
    </w:p>
    <w:p w:rsidR="005556B3" w:rsidRDefault="005556B3" w:rsidP="005556B3">
      <w:pPr>
        <w:spacing w:line="360" w:lineRule="auto"/>
        <w:ind w:firstLine="720"/>
        <w:jc w:val="both"/>
      </w:pPr>
      <w:r>
        <w:t>On 29</w:t>
      </w:r>
      <w:r w:rsidRPr="005556B3">
        <w:rPr>
          <w:vertAlign w:val="superscript"/>
        </w:rPr>
        <w:t>th</w:t>
      </w:r>
      <w:r>
        <w:t xml:space="preserve"> Jun 2015 the appellant appealed to the Appeals Officer.  The Appeals Officer upheld the decision of the Dis</w:t>
      </w:r>
      <w:r w:rsidR="009D47DB">
        <w:t>ci</w:t>
      </w:r>
      <w:r>
        <w:t>plinary Authority and upheld the decision of the disciplinary Authority.</w:t>
      </w:r>
    </w:p>
    <w:p w:rsidR="00F55C9A" w:rsidRDefault="00F55C9A" w:rsidP="00E868AC">
      <w:pPr>
        <w:ind w:firstLine="720"/>
        <w:jc w:val="both"/>
      </w:pPr>
    </w:p>
    <w:p w:rsidR="00F55C9A" w:rsidRDefault="00F55C9A" w:rsidP="005556B3">
      <w:pPr>
        <w:spacing w:line="360" w:lineRule="auto"/>
        <w:ind w:firstLine="720"/>
        <w:jc w:val="both"/>
      </w:pPr>
      <w:r>
        <w:t>The appellant then referred the matter to the Labour Officer and eventually to the Arbitrator.  On the 11</w:t>
      </w:r>
      <w:r w:rsidRPr="00F55C9A">
        <w:rPr>
          <w:vertAlign w:val="superscript"/>
        </w:rPr>
        <w:t>th</w:t>
      </w:r>
      <w:r>
        <w:t xml:space="preserve"> </w:t>
      </w:r>
      <w:r w:rsidR="005E22A6">
        <w:t>January</w:t>
      </w:r>
      <w:r>
        <w:t xml:space="preserve"> 2016 the</w:t>
      </w:r>
      <w:r w:rsidR="005E22A6">
        <w:t xml:space="preserve"> Arbitrator found </w:t>
      </w:r>
      <w:r w:rsidR="00F31031">
        <w:t>in respondent’s favour and the appellant was dismissed from employment</w:t>
      </w:r>
      <w:r w:rsidR="0088713A">
        <w:t>.  She has, filed an appeal against this decision.</w:t>
      </w:r>
    </w:p>
    <w:p w:rsidR="00F01674" w:rsidRDefault="00F01674" w:rsidP="00F0630D">
      <w:pPr>
        <w:ind w:firstLine="720"/>
        <w:jc w:val="both"/>
      </w:pPr>
    </w:p>
    <w:p w:rsidR="00F01674" w:rsidRDefault="00F01674" w:rsidP="005556B3">
      <w:pPr>
        <w:spacing w:line="360" w:lineRule="auto"/>
        <w:ind w:firstLine="720"/>
        <w:jc w:val="both"/>
      </w:pPr>
      <w:r>
        <w:t>The grounds of appeal before this court are as follows;</w:t>
      </w:r>
    </w:p>
    <w:p w:rsidR="00F01674" w:rsidRDefault="00F01674" w:rsidP="00F0630D">
      <w:pPr>
        <w:ind w:firstLine="720"/>
        <w:jc w:val="both"/>
      </w:pPr>
    </w:p>
    <w:p w:rsidR="00F01674" w:rsidRDefault="000028C7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Arbitrator erred by sta</w:t>
      </w:r>
      <w:r w:rsidR="003930C2">
        <w:t xml:space="preserve">ting that the appellant failed to prove her innocence and yet an </w:t>
      </w:r>
      <w:r w:rsidR="00F878CD">
        <w:t xml:space="preserve">employer can only be found guilty where the employer has discharged the </w:t>
      </w:r>
      <w:r>
        <w:t>onus</w:t>
      </w:r>
      <w:r w:rsidR="00F878CD">
        <w:t xml:space="preserve"> of proof.</w:t>
      </w:r>
    </w:p>
    <w:p w:rsidR="003946E6" w:rsidRDefault="00E72224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Disciplinary </w:t>
      </w:r>
      <w:r w:rsidR="0009198A">
        <w:t xml:space="preserve">Authority failed to pinpoint as to what was proved on a </w:t>
      </w:r>
      <w:r w:rsidR="00A052E2">
        <w:t>balance of probabilities.</w:t>
      </w:r>
    </w:p>
    <w:p w:rsidR="00A052E2" w:rsidRDefault="00A052E2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Arbitrator erred by ruling that the affidavit by the former Regional</w:t>
      </w:r>
      <w:r w:rsidR="003928C2">
        <w:t xml:space="preserve"> Accounts Administrator was inadmissible.</w:t>
      </w:r>
    </w:p>
    <w:p w:rsidR="003928C2" w:rsidRDefault="003928C2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Arbitrator erred by overlooking the fact that </w:t>
      </w:r>
      <w:r w:rsidR="00200857">
        <w:t>t</w:t>
      </w:r>
      <w:r>
        <w:t>he</w:t>
      </w:r>
      <w:r w:rsidR="00564D71">
        <w:t xml:space="preserve"> appellant had registered a complaint concerning minutes of the hearing before the Disciplinary Authority</w:t>
      </w:r>
      <w:r w:rsidR="00130B36">
        <w:t>. The minutes were doctored to exclude all that appellant has stated in respect of the respondent’s policies on overtime and conv</w:t>
      </w:r>
      <w:r w:rsidR="00C6603D">
        <w:t>ersion of the leave days.</w:t>
      </w:r>
    </w:p>
    <w:p w:rsidR="00C6603D" w:rsidRDefault="00C6603D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Arbitrator erred by concluding that the charges of misconduct against the appellant had not prescribed.</w:t>
      </w:r>
    </w:p>
    <w:p w:rsidR="00C6603D" w:rsidRDefault="00C6603D" w:rsidP="00F01674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Arbitrator erred by failing to find </w:t>
      </w:r>
      <w:r w:rsidR="00425ABB">
        <w:t xml:space="preserve">evidence that </w:t>
      </w:r>
      <w:r w:rsidR="00684C5A">
        <w:t>on</w:t>
      </w:r>
      <w:r w:rsidR="00425ABB">
        <w:t xml:space="preserve"> count 7 the charge for an offence that arose in 2013 </w:t>
      </w:r>
      <w:r w:rsidR="00185621">
        <w:t>was dropped.</w:t>
      </w:r>
    </w:p>
    <w:p w:rsidR="00185621" w:rsidRDefault="00185621" w:rsidP="00D42E89">
      <w:pPr>
        <w:jc w:val="both"/>
      </w:pPr>
    </w:p>
    <w:p w:rsidR="00185621" w:rsidRDefault="00185621" w:rsidP="00684C5A">
      <w:pPr>
        <w:spacing w:line="360" w:lineRule="auto"/>
        <w:ind w:firstLine="720"/>
        <w:jc w:val="both"/>
      </w:pPr>
      <w:r>
        <w:t xml:space="preserve">The respondent in response has raised a point </w:t>
      </w:r>
      <w:r w:rsidRPr="007D631F">
        <w:rPr>
          <w:i/>
        </w:rPr>
        <w:t>in limine</w:t>
      </w:r>
      <w:r>
        <w:t xml:space="preserve"> to the effect that the appeal does not raise any question of law</w:t>
      </w:r>
      <w:r w:rsidR="007D631F">
        <w:t xml:space="preserve">.  It is this point </w:t>
      </w:r>
      <w:r w:rsidR="007D631F" w:rsidRPr="00801CDA">
        <w:rPr>
          <w:i/>
        </w:rPr>
        <w:t>in limi</w:t>
      </w:r>
      <w:r w:rsidR="0094517A" w:rsidRPr="00801CDA">
        <w:rPr>
          <w:i/>
        </w:rPr>
        <w:t>n</w:t>
      </w:r>
      <w:r w:rsidR="007D631F" w:rsidRPr="00801CDA">
        <w:rPr>
          <w:i/>
        </w:rPr>
        <w:t>e</w:t>
      </w:r>
      <w:r w:rsidR="007D631F">
        <w:t xml:space="preserve"> </w:t>
      </w:r>
      <w:r w:rsidR="0094517A">
        <w:t>that I am going to deal with in this judgment</w:t>
      </w:r>
      <w:r w:rsidR="00552686">
        <w:t>.</w:t>
      </w:r>
    </w:p>
    <w:p w:rsidR="00552686" w:rsidRDefault="00552686" w:rsidP="00F0630D">
      <w:pPr>
        <w:jc w:val="both"/>
      </w:pPr>
    </w:p>
    <w:p w:rsidR="00552686" w:rsidRDefault="00552686" w:rsidP="00185621">
      <w:pPr>
        <w:spacing w:line="360" w:lineRule="auto"/>
        <w:jc w:val="both"/>
      </w:pPr>
      <w:r>
        <w:tab/>
        <w:t>To start</w:t>
      </w:r>
      <w:r w:rsidR="00476643">
        <w:t xml:space="preserve"> with the appeal does not leave a prayer which means that the appeal is defective.  In the case of </w:t>
      </w:r>
      <w:r w:rsidR="00476643" w:rsidRPr="00C32ECA">
        <w:rPr>
          <w:i/>
        </w:rPr>
        <w:t>Matanhire</w:t>
      </w:r>
      <w:r w:rsidR="00476643">
        <w:t xml:space="preserve"> v </w:t>
      </w:r>
      <w:r w:rsidR="00476643" w:rsidRPr="00C32ECA">
        <w:rPr>
          <w:i/>
        </w:rPr>
        <w:t>BP</w:t>
      </w:r>
      <w:r w:rsidR="00C32ECA" w:rsidRPr="00C32ECA">
        <w:rPr>
          <w:i/>
        </w:rPr>
        <w:t xml:space="preserve"> Shell Marketin Services (Pvt) Ltd</w:t>
      </w:r>
      <w:r w:rsidR="00C32ECA">
        <w:t xml:space="preserve"> SC 113/2004 the court held that;</w:t>
      </w:r>
    </w:p>
    <w:p w:rsidR="005556B3" w:rsidRDefault="005556B3" w:rsidP="00775215">
      <w:pPr>
        <w:ind w:left="360"/>
        <w:jc w:val="both"/>
      </w:pPr>
    </w:p>
    <w:p w:rsidR="00A232E3" w:rsidRPr="00775215" w:rsidRDefault="00A232E3" w:rsidP="00775215">
      <w:pPr>
        <w:spacing w:line="276" w:lineRule="auto"/>
        <w:ind w:left="360" w:firstLine="360"/>
        <w:jc w:val="both"/>
        <w:rPr>
          <w:sz w:val="22"/>
          <w:szCs w:val="22"/>
        </w:rPr>
      </w:pPr>
      <w:r w:rsidRPr="00775215">
        <w:rPr>
          <w:sz w:val="22"/>
          <w:szCs w:val="22"/>
        </w:rPr>
        <w:t xml:space="preserve">“Nullity cannot be amended in </w:t>
      </w:r>
      <w:r w:rsidRPr="00D42E89">
        <w:rPr>
          <w:i/>
          <w:sz w:val="22"/>
          <w:szCs w:val="22"/>
        </w:rPr>
        <w:t>Janse</w:t>
      </w:r>
      <w:r w:rsidR="00EC4C59" w:rsidRPr="00D42E89">
        <w:rPr>
          <w:i/>
          <w:sz w:val="22"/>
          <w:szCs w:val="22"/>
        </w:rPr>
        <w:t xml:space="preserve">n </w:t>
      </w:r>
      <w:r w:rsidR="00EC4C59" w:rsidRPr="00775215">
        <w:rPr>
          <w:sz w:val="22"/>
          <w:szCs w:val="22"/>
        </w:rPr>
        <w:t xml:space="preserve">v </w:t>
      </w:r>
      <w:proofErr w:type="spellStart"/>
      <w:r w:rsidR="00EC4C59" w:rsidRPr="00D42E89">
        <w:rPr>
          <w:i/>
          <w:sz w:val="22"/>
          <w:szCs w:val="22"/>
        </w:rPr>
        <w:t>Acavalos</w:t>
      </w:r>
      <w:proofErr w:type="spellEnd"/>
      <w:r w:rsidR="00EC4C59" w:rsidRPr="00D42E89">
        <w:rPr>
          <w:i/>
          <w:sz w:val="22"/>
          <w:szCs w:val="22"/>
        </w:rPr>
        <w:t xml:space="preserve"> </w:t>
      </w:r>
      <w:r w:rsidR="00EC4C59" w:rsidRPr="00775215">
        <w:rPr>
          <w:sz w:val="22"/>
          <w:szCs w:val="22"/>
        </w:rPr>
        <w:t xml:space="preserve">1993 (1) ZLR 216 </w:t>
      </w:r>
      <w:proofErr w:type="spellStart"/>
      <w:r w:rsidR="00EC4C59" w:rsidRPr="00775215">
        <w:rPr>
          <w:sz w:val="22"/>
          <w:szCs w:val="22"/>
        </w:rPr>
        <w:t>Korsah</w:t>
      </w:r>
      <w:proofErr w:type="spellEnd"/>
      <w:r w:rsidR="00EC4C59" w:rsidRPr="00775215">
        <w:rPr>
          <w:sz w:val="22"/>
          <w:szCs w:val="22"/>
        </w:rPr>
        <w:t xml:space="preserve"> JA at 22 or</w:t>
      </w:r>
      <w:r w:rsidR="004E2D73" w:rsidRPr="00775215">
        <w:rPr>
          <w:sz w:val="22"/>
          <w:szCs w:val="22"/>
        </w:rPr>
        <w:t xml:space="preserve"> said </w:t>
      </w:r>
      <w:r w:rsidR="00196669" w:rsidRPr="00775215">
        <w:rPr>
          <w:sz w:val="22"/>
          <w:szCs w:val="22"/>
        </w:rPr>
        <w:t>that</w:t>
      </w:r>
      <w:r w:rsidR="0058373F" w:rsidRPr="00775215">
        <w:rPr>
          <w:sz w:val="22"/>
          <w:szCs w:val="22"/>
        </w:rPr>
        <w:t xml:space="preserve"> the reason why a fatally defective notice of appeal could not be amended was that: it is not only bad but incurably bad.”</w:t>
      </w:r>
    </w:p>
    <w:p w:rsidR="000A1AC4" w:rsidRDefault="000A1AC4" w:rsidP="00775215">
      <w:pPr>
        <w:ind w:left="360"/>
        <w:jc w:val="both"/>
      </w:pPr>
    </w:p>
    <w:p w:rsidR="000A1AC4" w:rsidRDefault="000A1AC4" w:rsidP="00CE44F0">
      <w:pPr>
        <w:spacing w:line="360" w:lineRule="auto"/>
        <w:ind w:left="360"/>
        <w:jc w:val="both"/>
      </w:pPr>
      <w:r>
        <w:tab/>
        <w:t>This appeal is incurably bad because it does not have any prayer.</w:t>
      </w:r>
    </w:p>
    <w:p w:rsidR="000A1AC4" w:rsidRDefault="000A1AC4" w:rsidP="00775215">
      <w:pPr>
        <w:ind w:left="360"/>
        <w:jc w:val="both"/>
      </w:pPr>
    </w:p>
    <w:p w:rsidR="000A1AC4" w:rsidRDefault="000A1AC4" w:rsidP="00A81A9F">
      <w:pPr>
        <w:spacing w:line="360" w:lineRule="auto"/>
        <w:ind w:firstLine="720"/>
        <w:jc w:val="both"/>
      </w:pPr>
      <w:r>
        <w:t xml:space="preserve">The case of </w:t>
      </w:r>
      <w:proofErr w:type="spellStart"/>
      <w:r w:rsidRPr="00775215">
        <w:rPr>
          <w:i/>
        </w:rPr>
        <w:t>Muzuva</w:t>
      </w:r>
      <w:proofErr w:type="spellEnd"/>
      <w:r>
        <w:t xml:space="preserve"> v </w:t>
      </w:r>
      <w:r w:rsidRPr="00775215">
        <w:rPr>
          <w:i/>
        </w:rPr>
        <w:t xml:space="preserve">United </w:t>
      </w:r>
      <w:proofErr w:type="spellStart"/>
      <w:r w:rsidRPr="00775215">
        <w:rPr>
          <w:i/>
        </w:rPr>
        <w:t>Botters</w:t>
      </w:r>
      <w:proofErr w:type="spellEnd"/>
      <w:r w:rsidRPr="00775215">
        <w:rPr>
          <w:i/>
        </w:rPr>
        <w:t xml:space="preserve"> (</w:t>
      </w:r>
      <w:proofErr w:type="spellStart"/>
      <w:r w:rsidRPr="00775215">
        <w:rPr>
          <w:i/>
        </w:rPr>
        <w:t>Pvt</w:t>
      </w:r>
      <w:proofErr w:type="spellEnd"/>
      <w:r w:rsidRPr="00775215">
        <w:rPr>
          <w:i/>
        </w:rPr>
        <w:t>) Ltd</w:t>
      </w:r>
      <w:r>
        <w:t xml:space="preserve"> 1994 </w:t>
      </w:r>
      <w:r w:rsidR="00A44CDF">
        <w:t>(1) ZLR 217 discussed what constitutes a question of law as follows:-</w:t>
      </w:r>
    </w:p>
    <w:p w:rsidR="00A44CDF" w:rsidRDefault="00A44CDF" w:rsidP="00775215">
      <w:pPr>
        <w:ind w:left="360"/>
        <w:jc w:val="both"/>
      </w:pPr>
    </w:p>
    <w:p w:rsidR="001A7B7E" w:rsidRPr="00775215" w:rsidRDefault="00A44CDF" w:rsidP="00775215">
      <w:pPr>
        <w:spacing w:line="276" w:lineRule="auto"/>
        <w:ind w:left="720"/>
        <w:jc w:val="both"/>
        <w:rPr>
          <w:sz w:val="22"/>
          <w:szCs w:val="22"/>
        </w:rPr>
      </w:pPr>
      <w:r w:rsidRPr="00775215">
        <w:rPr>
          <w:sz w:val="22"/>
          <w:szCs w:val="22"/>
        </w:rPr>
        <w:t xml:space="preserve">“… </w:t>
      </w:r>
      <w:proofErr w:type="gramStart"/>
      <w:r w:rsidRPr="00775215">
        <w:rPr>
          <w:sz w:val="22"/>
          <w:szCs w:val="22"/>
        </w:rPr>
        <w:t>the</w:t>
      </w:r>
      <w:proofErr w:type="gramEnd"/>
      <w:r w:rsidRPr="00775215">
        <w:rPr>
          <w:sz w:val="22"/>
          <w:szCs w:val="22"/>
        </w:rPr>
        <w:t xml:space="preserve"> term question of law is used in three distinct</w:t>
      </w:r>
      <w:r w:rsidR="00F63328" w:rsidRPr="00775215">
        <w:rPr>
          <w:sz w:val="22"/>
          <w:szCs w:val="22"/>
        </w:rPr>
        <w:t xml:space="preserve"> though related senses.  First it means a question which the law itself has authoritatively</w:t>
      </w:r>
      <w:r w:rsidR="00EC639B" w:rsidRPr="00775215">
        <w:rPr>
          <w:sz w:val="22"/>
          <w:szCs w:val="22"/>
        </w:rPr>
        <w:t xml:space="preserve"> answered to the exclusion</w:t>
      </w:r>
      <w:r w:rsidR="00A803F5" w:rsidRPr="00775215">
        <w:rPr>
          <w:sz w:val="22"/>
          <w:szCs w:val="22"/>
        </w:rPr>
        <w:t xml:space="preserve"> of the right of the court to answer the question as it thinks </w:t>
      </w:r>
      <w:r w:rsidR="00543653" w:rsidRPr="00775215">
        <w:rPr>
          <w:sz w:val="22"/>
          <w:szCs w:val="22"/>
        </w:rPr>
        <w:t>f</w:t>
      </w:r>
      <w:r w:rsidR="00543653">
        <w:rPr>
          <w:sz w:val="22"/>
          <w:szCs w:val="22"/>
        </w:rPr>
        <w:t>it i</w:t>
      </w:r>
      <w:r w:rsidR="00543653" w:rsidRPr="00775215">
        <w:rPr>
          <w:sz w:val="22"/>
          <w:szCs w:val="22"/>
        </w:rPr>
        <w:t>n</w:t>
      </w:r>
      <w:r w:rsidR="00A803F5" w:rsidRPr="00775215">
        <w:rPr>
          <w:sz w:val="22"/>
          <w:szCs w:val="22"/>
        </w:rPr>
        <w:t xml:space="preserve"> accordance</w:t>
      </w:r>
      <w:r w:rsidR="001A7B7E" w:rsidRPr="00775215">
        <w:rPr>
          <w:sz w:val="22"/>
          <w:szCs w:val="22"/>
        </w:rPr>
        <w:t xml:space="preserve"> with what is considered to be the truth and justice of the matter.</w:t>
      </w:r>
    </w:p>
    <w:p w:rsidR="00F90A22" w:rsidRPr="00775215" w:rsidRDefault="00F90A22" w:rsidP="00775215">
      <w:pPr>
        <w:ind w:left="360"/>
        <w:jc w:val="both"/>
        <w:rPr>
          <w:sz w:val="22"/>
          <w:szCs w:val="22"/>
        </w:rPr>
      </w:pPr>
    </w:p>
    <w:p w:rsidR="00AD01E0" w:rsidRPr="00775215" w:rsidRDefault="00F90A22" w:rsidP="00775215">
      <w:pPr>
        <w:spacing w:line="276" w:lineRule="auto"/>
        <w:ind w:left="720"/>
        <w:jc w:val="both"/>
        <w:rPr>
          <w:sz w:val="22"/>
          <w:szCs w:val="22"/>
        </w:rPr>
      </w:pPr>
      <w:r w:rsidRPr="00E76493">
        <w:rPr>
          <w:sz w:val="22"/>
          <w:szCs w:val="22"/>
          <w:u w:val="single"/>
        </w:rPr>
        <w:t>Second</w:t>
      </w:r>
      <w:r w:rsidRPr="00775215">
        <w:rPr>
          <w:sz w:val="22"/>
          <w:szCs w:val="22"/>
        </w:rPr>
        <w:t>, it means a question of law means an appeal in which the question for argument and determination is what the</w:t>
      </w:r>
      <w:r w:rsidR="00AD01E0" w:rsidRPr="00775215">
        <w:rPr>
          <w:sz w:val="22"/>
          <w:szCs w:val="22"/>
        </w:rPr>
        <w:t xml:space="preserve"> true rule of law is on a certain matter.  </w:t>
      </w:r>
    </w:p>
    <w:p w:rsidR="00AD01E0" w:rsidRPr="00775215" w:rsidRDefault="00AD01E0" w:rsidP="00775215">
      <w:pPr>
        <w:ind w:left="360"/>
        <w:jc w:val="both"/>
        <w:rPr>
          <w:sz w:val="22"/>
          <w:szCs w:val="22"/>
        </w:rPr>
      </w:pPr>
    </w:p>
    <w:p w:rsidR="00A44CDF" w:rsidRPr="00775215" w:rsidRDefault="00AD01E0" w:rsidP="00775215">
      <w:pPr>
        <w:spacing w:line="276" w:lineRule="auto"/>
        <w:ind w:left="720"/>
        <w:jc w:val="both"/>
        <w:rPr>
          <w:sz w:val="22"/>
          <w:szCs w:val="22"/>
        </w:rPr>
      </w:pPr>
      <w:r w:rsidRPr="00E76493">
        <w:rPr>
          <w:sz w:val="22"/>
          <w:szCs w:val="22"/>
          <w:u w:val="single"/>
        </w:rPr>
        <w:t>And third</w:t>
      </w:r>
      <w:r w:rsidRPr="00775215">
        <w:rPr>
          <w:sz w:val="22"/>
          <w:szCs w:val="22"/>
        </w:rPr>
        <w:t>,</w:t>
      </w:r>
      <w:r w:rsidR="00F63328" w:rsidRPr="00775215">
        <w:rPr>
          <w:sz w:val="22"/>
          <w:szCs w:val="22"/>
        </w:rPr>
        <w:t xml:space="preserve"> </w:t>
      </w:r>
      <w:r w:rsidR="004D6443" w:rsidRPr="00775215">
        <w:rPr>
          <w:sz w:val="22"/>
          <w:szCs w:val="22"/>
        </w:rPr>
        <w:t xml:space="preserve">any question which is within the province of the judge instead of the jury is called a question of law.  This </w:t>
      </w:r>
      <w:r w:rsidR="00E14DC4" w:rsidRPr="00775215">
        <w:rPr>
          <w:sz w:val="22"/>
          <w:szCs w:val="22"/>
        </w:rPr>
        <w:t>decision</w:t>
      </w:r>
      <w:r w:rsidR="004D6443" w:rsidRPr="00775215">
        <w:rPr>
          <w:sz w:val="22"/>
          <w:szCs w:val="22"/>
        </w:rPr>
        <w:t xml:space="preserve"> of jud</w:t>
      </w:r>
      <w:r w:rsidR="00E14DC4" w:rsidRPr="00775215">
        <w:rPr>
          <w:sz w:val="22"/>
          <w:szCs w:val="22"/>
        </w:rPr>
        <w:t xml:space="preserve">icial function arises in this country in a criminal </w:t>
      </w:r>
      <w:r w:rsidR="006E4F28" w:rsidRPr="00775215">
        <w:rPr>
          <w:sz w:val="22"/>
          <w:szCs w:val="22"/>
        </w:rPr>
        <w:t>trial presided over by a judge and assessors.”</w:t>
      </w:r>
    </w:p>
    <w:p w:rsidR="00A81A9F" w:rsidRDefault="00A81A9F" w:rsidP="00775215">
      <w:pPr>
        <w:ind w:firstLine="720"/>
        <w:jc w:val="both"/>
      </w:pPr>
    </w:p>
    <w:p w:rsidR="00A81A9F" w:rsidRDefault="004A1D20" w:rsidP="00A81A9F">
      <w:pPr>
        <w:spacing w:line="360" w:lineRule="auto"/>
        <w:ind w:firstLine="720"/>
        <w:jc w:val="both"/>
      </w:pPr>
      <w:r>
        <w:t xml:space="preserve">The grounds of appeal are attacking the factual findings of the Arbitrator.  There is </w:t>
      </w:r>
      <w:r w:rsidR="00774C72">
        <w:t>nowhere where</w:t>
      </w:r>
      <w:r>
        <w:t xml:space="preserve"> it is indicated that the factual findings ar</w:t>
      </w:r>
      <w:r w:rsidR="00C16351">
        <w:t>e</w:t>
      </w:r>
      <w:r>
        <w:t xml:space="preserve"> so u</w:t>
      </w:r>
      <w:r w:rsidR="00774C72">
        <w:t xml:space="preserve">nreasonable to the extent that no reasonable person would come to such a conclusion.  Ground 3 </w:t>
      </w:r>
      <w:r w:rsidR="00AD6CAB">
        <w:t>and 4 are mere narrative</w:t>
      </w:r>
      <w:r w:rsidR="002126C0">
        <w:t>s</w:t>
      </w:r>
      <w:r w:rsidR="00AD6CAB">
        <w:t xml:space="preserve"> which do not raise any question of law.</w:t>
      </w:r>
    </w:p>
    <w:p w:rsidR="00AD6CAB" w:rsidRDefault="00AD6CAB" w:rsidP="00775215">
      <w:pPr>
        <w:ind w:firstLine="720"/>
        <w:jc w:val="both"/>
      </w:pPr>
    </w:p>
    <w:p w:rsidR="00AD6CAB" w:rsidRDefault="00AD6CAB" w:rsidP="00A81A9F">
      <w:pPr>
        <w:spacing w:line="360" w:lineRule="auto"/>
        <w:ind w:firstLine="720"/>
        <w:jc w:val="both"/>
      </w:pPr>
      <w:r>
        <w:t xml:space="preserve">Section 98 (10) of the Labour </w:t>
      </w:r>
      <w:r w:rsidR="00874E27">
        <w:t>Act states that;</w:t>
      </w:r>
    </w:p>
    <w:p w:rsidR="00874E27" w:rsidRDefault="00874E27" w:rsidP="00775215">
      <w:pPr>
        <w:ind w:firstLine="720"/>
        <w:jc w:val="both"/>
      </w:pPr>
    </w:p>
    <w:p w:rsidR="00874E27" w:rsidRPr="00775215" w:rsidRDefault="00874E27" w:rsidP="00775215">
      <w:pPr>
        <w:spacing w:line="276" w:lineRule="auto"/>
        <w:ind w:left="720"/>
        <w:jc w:val="both"/>
        <w:rPr>
          <w:sz w:val="22"/>
          <w:szCs w:val="22"/>
        </w:rPr>
      </w:pPr>
      <w:r w:rsidRPr="00775215">
        <w:rPr>
          <w:sz w:val="22"/>
          <w:szCs w:val="22"/>
        </w:rPr>
        <w:t>“An appeal on a</w:t>
      </w:r>
      <w:r w:rsidR="005618F5" w:rsidRPr="00775215">
        <w:rPr>
          <w:sz w:val="22"/>
          <w:szCs w:val="22"/>
        </w:rPr>
        <w:t xml:space="preserve"> question of law shall lie to t</w:t>
      </w:r>
      <w:r w:rsidRPr="00775215">
        <w:rPr>
          <w:sz w:val="22"/>
          <w:szCs w:val="22"/>
        </w:rPr>
        <w:t xml:space="preserve">he </w:t>
      </w:r>
      <w:r w:rsidR="005618F5" w:rsidRPr="00775215">
        <w:rPr>
          <w:sz w:val="22"/>
          <w:szCs w:val="22"/>
        </w:rPr>
        <w:t>Labour Court from any decision of an arbitrator appointed in terms of this section.</w:t>
      </w:r>
      <w:r w:rsidR="00763F8E" w:rsidRPr="00775215">
        <w:rPr>
          <w:sz w:val="22"/>
          <w:szCs w:val="22"/>
        </w:rPr>
        <w:t>”</w:t>
      </w:r>
    </w:p>
    <w:p w:rsidR="00763F8E" w:rsidRDefault="00763F8E" w:rsidP="00775215">
      <w:pPr>
        <w:ind w:firstLine="720"/>
        <w:jc w:val="both"/>
      </w:pPr>
    </w:p>
    <w:p w:rsidR="00763F8E" w:rsidRDefault="00763F8E" w:rsidP="00A81A9F">
      <w:pPr>
        <w:spacing w:line="360" w:lineRule="auto"/>
        <w:ind w:firstLine="720"/>
        <w:jc w:val="both"/>
      </w:pPr>
      <w:r>
        <w:t xml:space="preserve">In the absence of questions of law in the grounds of appeal this court </w:t>
      </w:r>
      <w:r w:rsidR="0043322E">
        <w:t>finds that there is no appeal before this court.</w:t>
      </w:r>
    </w:p>
    <w:p w:rsidR="0043322E" w:rsidRDefault="0043322E" w:rsidP="00775215">
      <w:pPr>
        <w:jc w:val="both"/>
      </w:pPr>
    </w:p>
    <w:p w:rsidR="0043322E" w:rsidRDefault="0043322E" w:rsidP="0043322E">
      <w:pPr>
        <w:spacing w:line="360" w:lineRule="auto"/>
        <w:jc w:val="both"/>
      </w:pPr>
      <w:r>
        <w:t xml:space="preserve">To that end therefore </w:t>
      </w:r>
      <w:proofErr w:type="gramStart"/>
      <w:r>
        <w:t>this</w:t>
      </w:r>
      <w:proofErr w:type="gramEnd"/>
      <w:r>
        <w:t xml:space="preserve"> court orders as follows;</w:t>
      </w:r>
    </w:p>
    <w:p w:rsidR="0043322E" w:rsidRDefault="0043322E" w:rsidP="00775215">
      <w:pPr>
        <w:jc w:val="both"/>
      </w:pPr>
    </w:p>
    <w:p w:rsidR="0043322E" w:rsidRDefault="00DC0B20" w:rsidP="0043322E">
      <w:pPr>
        <w:pStyle w:val="ListParagraph"/>
        <w:numPr>
          <w:ilvl w:val="0"/>
          <w:numId w:val="3"/>
        </w:numPr>
        <w:spacing w:line="360" w:lineRule="auto"/>
        <w:jc w:val="both"/>
      </w:pPr>
      <w:r>
        <w:t>The point in lime be and is hereby upheld.</w:t>
      </w:r>
    </w:p>
    <w:p w:rsidR="00DC0B20" w:rsidRDefault="00DC0B20" w:rsidP="0043322E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Appellant </w:t>
      </w:r>
      <w:r w:rsidR="00747A72">
        <w:t>to</w:t>
      </w:r>
      <w:r>
        <w:t xml:space="preserve"> pay costs.</w:t>
      </w:r>
    </w:p>
    <w:p w:rsidR="00513DC2" w:rsidRDefault="00513DC2" w:rsidP="00513DC2">
      <w:pPr>
        <w:spacing w:line="360" w:lineRule="auto"/>
        <w:jc w:val="both"/>
      </w:pPr>
    </w:p>
    <w:p w:rsidR="00775215" w:rsidRDefault="00775215" w:rsidP="00513DC2">
      <w:pPr>
        <w:spacing w:line="360" w:lineRule="auto"/>
        <w:jc w:val="both"/>
      </w:pPr>
    </w:p>
    <w:p w:rsidR="00513DC2" w:rsidRDefault="00513DC2" w:rsidP="00513DC2">
      <w:pPr>
        <w:spacing w:line="360" w:lineRule="auto"/>
        <w:jc w:val="both"/>
      </w:pPr>
      <w:proofErr w:type="spellStart"/>
      <w:r w:rsidRPr="00775215">
        <w:rPr>
          <w:i/>
        </w:rPr>
        <w:t>Garabga</w:t>
      </w:r>
      <w:proofErr w:type="spellEnd"/>
      <w:r w:rsidRPr="00775215">
        <w:rPr>
          <w:i/>
        </w:rPr>
        <w:t xml:space="preserve">, </w:t>
      </w:r>
      <w:proofErr w:type="spellStart"/>
      <w:r w:rsidRPr="00775215">
        <w:rPr>
          <w:i/>
        </w:rPr>
        <w:t>Ncube</w:t>
      </w:r>
      <w:proofErr w:type="spellEnd"/>
      <w:r w:rsidRPr="00775215">
        <w:rPr>
          <w:i/>
        </w:rPr>
        <w:t xml:space="preserve"> and Partners</w:t>
      </w:r>
      <w:r>
        <w:t>, appellant’s legal practitioners</w:t>
      </w:r>
    </w:p>
    <w:p w:rsidR="00513DC2" w:rsidRDefault="00775215" w:rsidP="00513DC2">
      <w:pPr>
        <w:spacing w:line="360" w:lineRule="auto"/>
        <w:jc w:val="both"/>
      </w:pPr>
      <w:proofErr w:type="spellStart"/>
      <w:r w:rsidRPr="00775215">
        <w:rPr>
          <w:i/>
        </w:rPr>
        <w:t>Matsikidze</w:t>
      </w:r>
      <w:proofErr w:type="spellEnd"/>
      <w:r w:rsidRPr="00775215">
        <w:rPr>
          <w:i/>
        </w:rPr>
        <w:t xml:space="preserve"> and </w:t>
      </w:r>
      <w:proofErr w:type="spellStart"/>
      <w:r w:rsidRPr="00775215">
        <w:rPr>
          <w:i/>
        </w:rPr>
        <w:t>Mucheche</w:t>
      </w:r>
      <w:proofErr w:type="spellEnd"/>
      <w:r>
        <w:t>, respondent’s legal practitioners</w:t>
      </w:r>
    </w:p>
    <w:p w:rsidR="006E4F28" w:rsidRDefault="006E4F28" w:rsidP="00AD01E0">
      <w:pPr>
        <w:spacing w:line="360" w:lineRule="auto"/>
        <w:ind w:left="360" w:firstLine="360"/>
        <w:jc w:val="both"/>
      </w:pPr>
    </w:p>
    <w:p w:rsidR="006E4F28" w:rsidRDefault="006E4F28" w:rsidP="00AD01E0">
      <w:pPr>
        <w:spacing w:line="360" w:lineRule="auto"/>
        <w:ind w:left="360" w:firstLine="360"/>
        <w:jc w:val="both"/>
      </w:pPr>
    </w:p>
    <w:sectPr w:rsidR="006E4F28" w:rsidSect="000155E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66" w:rsidRDefault="00F86A66" w:rsidP="000155E3">
      <w:r>
        <w:separator/>
      </w:r>
    </w:p>
  </w:endnote>
  <w:endnote w:type="continuationSeparator" w:id="0">
    <w:p w:rsidR="00F86A66" w:rsidRDefault="00F86A66" w:rsidP="000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807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E27" w:rsidRDefault="00874E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E27" w:rsidRDefault="00874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66" w:rsidRDefault="00F86A66" w:rsidP="000155E3">
      <w:r>
        <w:separator/>
      </w:r>
    </w:p>
  </w:footnote>
  <w:footnote w:type="continuationSeparator" w:id="0">
    <w:p w:rsidR="00F86A66" w:rsidRDefault="00F86A66" w:rsidP="0001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27" w:rsidRPr="000155E3" w:rsidRDefault="00B57163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NO.LC/H/606</w:t>
    </w:r>
    <w:r w:rsidR="00874E27"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D1F"/>
    <w:multiLevelType w:val="hybridMultilevel"/>
    <w:tmpl w:val="8BD8657E"/>
    <w:lvl w:ilvl="0" w:tplc="9F12F3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EE65A9"/>
    <w:multiLevelType w:val="hybridMultilevel"/>
    <w:tmpl w:val="7E6440EC"/>
    <w:lvl w:ilvl="0" w:tplc="57D640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414A"/>
    <w:multiLevelType w:val="hybridMultilevel"/>
    <w:tmpl w:val="154094CC"/>
    <w:lvl w:ilvl="0" w:tplc="1DC2F83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16"/>
    <w:rsid w:val="000028C7"/>
    <w:rsid w:val="00002C76"/>
    <w:rsid w:val="000155E3"/>
    <w:rsid w:val="00067325"/>
    <w:rsid w:val="0009198A"/>
    <w:rsid w:val="000A1AC4"/>
    <w:rsid w:val="00130B36"/>
    <w:rsid w:val="00185621"/>
    <w:rsid w:val="00196669"/>
    <w:rsid w:val="001A7B7E"/>
    <w:rsid w:val="00200857"/>
    <w:rsid w:val="002126C0"/>
    <w:rsid w:val="003928C2"/>
    <w:rsid w:val="003930C2"/>
    <w:rsid w:val="00394408"/>
    <w:rsid w:val="0039442F"/>
    <w:rsid w:val="003946E6"/>
    <w:rsid w:val="00425ABB"/>
    <w:rsid w:val="0043322E"/>
    <w:rsid w:val="0045648C"/>
    <w:rsid w:val="00476643"/>
    <w:rsid w:val="004A1D20"/>
    <w:rsid w:val="004D6443"/>
    <w:rsid w:val="004E2D73"/>
    <w:rsid w:val="00513DC2"/>
    <w:rsid w:val="00514B3D"/>
    <w:rsid w:val="00543653"/>
    <w:rsid w:val="00552686"/>
    <w:rsid w:val="005556B3"/>
    <w:rsid w:val="005618F5"/>
    <w:rsid w:val="00564D71"/>
    <w:rsid w:val="005748C2"/>
    <w:rsid w:val="0058373F"/>
    <w:rsid w:val="005D6471"/>
    <w:rsid w:val="005E22A6"/>
    <w:rsid w:val="0060429E"/>
    <w:rsid w:val="006437EB"/>
    <w:rsid w:val="00684C5A"/>
    <w:rsid w:val="00686ED1"/>
    <w:rsid w:val="006E4F28"/>
    <w:rsid w:val="007352F8"/>
    <w:rsid w:val="00747A72"/>
    <w:rsid w:val="00757A8E"/>
    <w:rsid w:val="00763F8E"/>
    <w:rsid w:val="00774C72"/>
    <w:rsid w:val="00775215"/>
    <w:rsid w:val="007D631F"/>
    <w:rsid w:val="00801CDA"/>
    <w:rsid w:val="00874E27"/>
    <w:rsid w:val="0088713A"/>
    <w:rsid w:val="0094517A"/>
    <w:rsid w:val="00954CF3"/>
    <w:rsid w:val="009D47DB"/>
    <w:rsid w:val="009F2D10"/>
    <w:rsid w:val="00A052E2"/>
    <w:rsid w:val="00A06342"/>
    <w:rsid w:val="00A23112"/>
    <w:rsid w:val="00A232E3"/>
    <w:rsid w:val="00A44CDF"/>
    <w:rsid w:val="00A803F5"/>
    <w:rsid w:val="00A81A9F"/>
    <w:rsid w:val="00AD01E0"/>
    <w:rsid w:val="00AD6CAB"/>
    <w:rsid w:val="00AD6EBB"/>
    <w:rsid w:val="00B06115"/>
    <w:rsid w:val="00B35D7E"/>
    <w:rsid w:val="00B57163"/>
    <w:rsid w:val="00C16351"/>
    <w:rsid w:val="00C32ECA"/>
    <w:rsid w:val="00C33216"/>
    <w:rsid w:val="00C6603D"/>
    <w:rsid w:val="00CB39A9"/>
    <w:rsid w:val="00CE44F0"/>
    <w:rsid w:val="00D42E89"/>
    <w:rsid w:val="00DB2842"/>
    <w:rsid w:val="00DC0B20"/>
    <w:rsid w:val="00DE27BB"/>
    <w:rsid w:val="00E034EC"/>
    <w:rsid w:val="00E14DC4"/>
    <w:rsid w:val="00E32DEF"/>
    <w:rsid w:val="00E72224"/>
    <w:rsid w:val="00E76493"/>
    <w:rsid w:val="00E868AC"/>
    <w:rsid w:val="00EB0279"/>
    <w:rsid w:val="00EC4C59"/>
    <w:rsid w:val="00EC639B"/>
    <w:rsid w:val="00ED3064"/>
    <w:rsid w:val="00EF6DA7"/>
    <w:rsid w:val="00F01674"/>
    <w:rsid w:val="00F0630D"/>
    <w:rsid w:val="00F31031"/>
    <w:rsid w:val="00F317AE"/>
    <w:rsid w:val="00F55C9A"/>
    <w:rsid w:val="00F63328"/>
    <w:rsid w:val="00F86A66"/>
    <w:rsid w:val="00F878CD"/>
    <w:rsid w:val="00F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1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E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E3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1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E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E3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2016-09-28T07:28:00Z</dcterms:created>
  <dcterms:modified xsi:type="dcterms:W3CDTF">2016-09-29T12:40:00Z</dcterms:modified>
</cp:coreProperties>
</file>