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B2B5B" w14:textId="5AFDA7D6" w:rsidR="003569AE" w:rsidRPr="008E2161" w:rsidRDefault="003569AE" w:rsidP="003569AE">
      <w:pPr>
        <w:spacing w:line="360" w:lineRule="auto"/>
        <w:jc w:val="both"/>
        <w:rPr>
          <w:rFonts w:ascii="Century Gothic" w:hAnsi="Century Gothic"/>
          <w:b/>
          <w:sz w:val="24"/>
          <w:szCs w:val="24"/>
        </w:rPr>
      </w:pPr>
      <w:bookmarkStart w:id="0" w:name="_GoBack"/>
      <w:bookmarkEnd w:id="0"/>
      <w:r w:rsidRPr="008E2161">
        <w:rPr>
          <w:rFonts w:ascii="Century Gothic" w:hAnsi="Century Gothic"/>
          <w:b/>
          <w:sz w:val="24"/>
          <w:szCs w:val="24"/>
        </w:rPr>
        <w:t xml:space="preserve">IN THE LABOUR COURT OF ZIMBABWE       </w:t>
      </w:r>
      <w:r>
        <w:rPr>
          <w:rFonts w:ascii="Century Gothic" w:hAnsi="Century Gothic"/>
          <w:b/>
          <w:sz w:val="24"/>
          <w:szCs w:val="24"/>
        </w:rPr>
        <w:t xml:space="preserve">                CASE NO LC/H/</w:t>
      </w:r>
      <w:r w:rsidR="00B72B64">
        <w:rPr>
          <w:rFonts w:ascii="Century Gothic" w:hAnsi="Century Gothic"/>
          <w:b/>
          <w:sz w:val="24"/>
          <w:szCs w:val="24"/>
        </w:rPr>
        <w:t>1076</w:t>
      </w:r>
      <w:r>
        <w:rPr>
          <w:rFonts w:ascii="Century Gothic" w:hAnsi="Century Gothic"/>
          <w:b/>
          <w:sz w:val="24"/>
          <w:szCs w:val="24"/>
        </w:rPr>
        <w:t>/24</w:t>
      </w:r>
    </w:p>
    <w:p w14:paraId="644B221D" w14:textId="3A53B856" w:rsidR="003569AE" w:rsidRDefault="003569AE" w:rsidP="003569AE">
      <w:pPr>
        <w:spacing w:line="360" w:lineRule="auto"/>
        <w:jc w:val="both"/>
        <w:rPr>
          <w:rFonts w:ascii="Century Gothic" w:hAnsi="Century Gothic"/>
          <w:b/>
          <w:sz w:val="24"/>
          <w:szCs w:val="24"/>
        </w:rPr>
      </w:pPr>
      <w:r>
        <w:rPr>
          <w:rFonts w:ascii="Century Gothic" w:hAnsi="Century Gothic"/>
          <w:b/>
          <w:sz w:val="24"/>
          <w:szCs w:val="24"/>
        </w:rPr>
        <w:t xml:space="preserve">HELD AT HARARE, </w:t>
      </w:r>
      <w:r w:rsidR="00B72B64">
        <w:rPr>
          <w:rFonts w:ascii="Century Gothic" w:hAnsi="Century Gothic"/>
          <w:b/>
          <w:sz w:val="24"/>
          <w:szCs w:val="24"/>
        </w:rPr>
        <w:t>30</w:t>
      </w:r>
      <w:r w:rsidR="00B72B64">
        <w:rPr>
          <w:rFonts w:ascii="Century Gothic" w:hAnsi="Century Gothic"/>
          <w:b/>
          <w:sz w:val="24"/>
          <w:szCs w:val="24"/>
          <w:vertAlign w:val="superscript"/>
        </w:rPr>
        <w:t>TH</w:t>
      </w:r>
      <w:r>
        <w:rPr>
          <w:rFonts w:ascii="Century Gothic" w:hAnsi="Century Gothic"/>
          <w:b/>
          <w:sz w:val="24"/>
          <w:szCs w:val="24"/>
        </w:rPr>
        <w:t xml:space="preserve"> </w:t>
      </w:r>
      <w:r w:rsidR="00B72B64">
        <w:rPr>
          <w:rFonts w:ascii="Century Gothic" w:hAnsi="Century Gothic"/>
          <w:b/>
          <w:sz w:val="24"/>
          <w:szCs w:val="24"/>
        </w:rPr>
        <w:t>JANUARY</w:t>
      </w:r>
      <w:r w:rsidRPr="008E2161">
        <w:rPr>
          <w:rFonts w:ascii="Century Gothic" w:hAnsi="Century Gothic"/>
          <w:b/>
          <w:sz w:val="24"/>
          <w:szCs w:val="24"/>
        </w:rPr>
        <w:t xml:space="preserve"> 202</w:t>
      </w:r>
      <w:r w:rsidR="00B72B64">
        <w:rPr>
          <w:rFonts w:ascii="Century Gothic" w:hAnsi="Century Gothic"/>
          <w:b/>
          <w:sz w:val="24"/>
          <w:szCs w:val="24"/>
        </w:rPr>
        <w:t>5</w:t>
      </w:r>
    </w:p>
    <w:p w14:paraId="7BDD0DA3" w14:textId="7E850899" w:rsidR="00176CDB" w:rsidRPr="008E2161" w:rsidRDefault="00176CDB" w:rsidP="003569AE">
      <w:pPr>
        <w:spacing w:line="360" w:lineRule="auto"/>
        <w:jc w:val="both"/>
        <w:rPr>
          <w:rFonts w:ascii="Century Gothic" w:hAnsi="Century Gothic"/>
          <w:b/>
          <w:sz w:val="24"/>
          <w:szCs w:val="24"/>
        </w:rPr>
      </w:pPr>
      <w:r>
        <w:rPr>
          <w:rFonts w:ascii="Century Gothic" w:hAnsi="Century Gothic"/>
          <w:b/>
          <w:sz w:val="24"/>
          <w:szCs w:val="24"/>
        </w:rPr>
        <w:t>AND 6 MARCH 2025</w:t>
      </w:r>
    </w:p>
    <w:p w14:paraId="3168AD7E" w14:textId="77777777" w:rsidR="003569AE" w:rsidRDefault="003569AE" w:rsidP="003569AE">
      <w:pPr>
        <w:spacing w:line="360" w:lineRule="auto"/>
        <w:jc w:val="both"/>
        <w:rPr>
          <w:rFonts w:ascii="Century Gothic" w:hAnsi="Century Gothic"/>
          <w:b/>
          <w:sz w:val="24"/>
          <w:szCs w:val="24"/>
        </w:rPr>
      </w:pPr>
    </w:p>
    <w:p w14:paraId="67D0145A" w14:textId="77777777" w:rsidR="00A8068F" w:rsidRPr="008E2161" w:rsidRDefault="00A8068F" w:rsidP="003569AE">
      <w:pPr>
        <w:spacing w:line="360" w:lineRule="auto"/>
        <w:jc w:val="both"/>
        <w:rPr>
          <w:rFonts w:ascii="Century Gothic" w:hAnsi="Century Gothic"/>
          <w:b/>
          <w:sz w:val="24"/>
          <w:szCs w:val="24"/>
        </w:rPr>
      </w:pPr>
    </w:p>
    <w:p w14:paraId="17D49763" w14:textId="77777777" w:rsidR="003569AE" w:rsidRPr="008E2161" w:rsidRDefault="003569AE" w:rsidP="003569AE">
      <w:pPr>
        <w:spacing w:line="360" w:lineRule="auto"/>
        <w:jc w:val="both"/>
        <w:rPr>
          <w:rFonts w:ascii="Century Gothic" w:hAnsi="Century Gothic"/>
          <w:sz w:val="24"/>
          <w:szCs w:val="24"/>
        </w:rPr>
      </w:pPr>
      <w:r w:rsidRPr="008E2161">
        <w:rPr>
          <w:rFonts w:ascii="Century Gothic" w:hAnsi="Century Gothic"/>
          <w:sz w:val="24"/>
          <w:szCs w:val="24"/>
        </w:rPr>
        <w:t>In the matter between: -</w:t>
      </w:r>
    </w:p>
    <w:p w14:paraId="51C077EC" w14:textId="77777777" w:rsidR="003569AE" w:rsidRDefault="003569AE" w:rsidP="003569AE">
      <w:pPr>
        <w:spacing w:line="360" w:lineRule="auto"/>
        <w:jc w:val="both"/>
        <w:rPr>
          <w:rFonts w:ascii="Century Gothic" w:hAnsi="Century Gothic"/>
          <w:sz w:val="24"/>
          <w:szCs w:val="24"/>
        </w:rPr>
      </w:pPr>
    </w:p>
    <w:p w14:paraId="6BF5F048" w14:textId="77777777" w:rsidR="00A8068F" w:rsidRPr="008E2161" w:rsidRDefault="00A8068F" w:rsidP="003569AE">
      <w:pPr>
        <w:spacing w:line="360" w:lineRule="auto"/>
        <w:jc w:val="both"/>
        <w:rPr>
          <w:rFonts w:ascii="Century Gothic" w:hAnsi="Century Gothic"/>
          <w:sz w:val="24"/>
          <w:szCs w:val="24"/>
        </w:rPr>
      </w:pPr>
    </w:p>
    <w:p w14:paraId="5FC57319" w14:textId="69D2607E" w:rsidR="003569AE" w:rsidRPr="008E2161" w:rsidRDefault="001D36D5" w:rsidP="003569AE">
      <w:pPr>
        <w:spacing w:line="360" w:lineRule="auto"/>
        <w:jc w:val="both"/>
        <w:rPr>
          <w:rFonts w:ascii="Century Gothic" w:hAnsi="Century Gothic"/>
          <w:b/>
          <w:sz w:val="24"/>
          <w:szCs w:val="24"/>
        </w:rPr>
      </w:pPr>
      <w:r>
        <w:rPr>
          <w:rFonts w:ascii="Century Gothic" w:hAnsi="Century Gothic"/>
          <w:b/>
          <w:sz w:val="24"/>
          <w:szCs w:val="24"/>
        </w:rPr>
        <w:t>VIMBAI SIMON CHIGINYA:</w:t>
      </w:r>
      <w:r w:rsidR="003569AE">
        <w:rPr>
          <w:rFonts w:ascii="Century Gothic" w:hAnsi="Century Gothic"/>
          <w:b/>
          <w:sz w:val="24"/>
          <w:szCs w:val="24"/>
        </w:rPr>
        <w:tab/>
      </w:r>
      <w:r w:rsidR="003569AE">
        <w:rPr>
          <w:rFonts w:ascii="Century Gothic" w:hAnsi="Century Gothic"/>
          <w:b/>
          <w:sz w:val="24"/>
          <w:szCs w:val="24"/>
        </w:rPr>
        <w:tab/>
      </w:r>
      <w:r w:rsidR="003569AE">
        <w:rPr>
          <w:rFonts w:ascii="Century Gothic" w:hAnsi="Century Gothic"/>
          <w:b/>
          <w:sz w:val="24"/>
          <w:szCs w:val="24"/>
        </w:rPr>
        <w:tab/>
      </w:r>
      <w:r w:rsidR="003569AE">
        <w:rPr>
          <w:rFonts w:ascii="Century Gothic" w:hAnsi="Century Gothic"/>
          <w:b/>
          <w:sz w:val="24"/>
          <w:szCs w:val="24"/>
        </w:rPr>
        <w:tab/>
      </w:r>
      <w:r w:rsidR="003569AE" w:rsidRPr="008E2161">
        <w:rPr>
          <w:rFonts w:ascii="Century Gothic" w:hAnsi="Century Gothic"/>
          <w:b/>
          <w:sz w:val="24"/>
          <w:szCs w:val="24"/>
        </w:rPr>
        <w:t>APP</w:t>
      </w:r>
      <w:r w:rsidR="003569AE">
        <w:rPr>
          <w:rFonts w:ascii="Century Gothic" w:hAnsi="Century Gothic"/>
          <w:b/>
          <w:sz w:val="24"/>
          <w:szCs w:val="24"/>
        </w:rPr>
        <w:t>ELLANT</w:t>
      </w:r>
    </w:p>
    <w:p w14:paraId="34DD622B" w14:textId="77777777" w:rsidR="003569AE" w:rsidRPr="008E2161" w:rsidRDefault="003569AE" w:rsidP="003569AE">
      <w:pPr>
        <w:spacing w:line="360" w:lineRule="auto"/>
        <w:jc w:val="both"/>
        <w:rPr>
          <w:rFonts w:ascii="Century Gothic" w:hAnsi="Century Gothic"/>
          <w:b/>
          <w:sz w:val="24"/>
          <w:szCs w:val="24"/>
        </w:rPr>
      </w:pPr>
      <w:r w:rsidRPr="008E2161">
        <w:rPr>
          <w:rFonts w:ascii="Century Gothic" w:hAnsi="Century Gothic"/>
          <w:b/>
          <w:sz w:val="24"/>
          <w:szCs w:val="24"/>
        </w:rPr>
        <w:t xml:space="preserve">And </w:t>
      </w:r>
    </w:p>
    <w:p w14:paraId="2C0BEE87" w14:textId="6492E11C" w:rsidR="003569AE" w:rsidRPr="008E2161" w:rsidRDefault="001D36D5" w:rsidP="003569AE">
      <w:pPr>
        <w:spacing w:line="360" w:lineRule="auto"/>
        <w:jc w:val="both"/>
        <w:rPr>
          <w:rFonts w:ascii="Century Gothic" w:hAnsi="Century Gothic"/>
          <w:b/>
          <w:sz w:val="24"/>
          <w:szCs w:val="24"/>
        </w:rPr>
      </w:pPr>
      <w:r>
        <w:rPr>
          <w:rFonts w:ascii="Century Gothic" w:hAnsi="Century Gothic"/>
          <w:b/>
          <w:sz w:val="24"/>
          <w:szCs w:val="24"/>
        </w:rPr>
        <w:t>BANC ABC</w:t>
      </w:r>
      <w:r w:rsidR="003569AE" w:rsidRPr="008E2161">
        <w:rPr>
          <w:rFonts w:ascii="Century Gothic" w:hAnsi="Century Gothic"/>
          <w:b/>
          <w:sz w:val="24"/>
          <w:szCs w:val="24"/>
        </w:rPr>
        <w:t>:</w:t>
      </w:r>
      <w:r w:rsidR="003569AE">
        <w:rPr>
          <w:rFonts w:ascii="Century Gothic" w:hAnsi="Century Gothic"/>
          <w:b/>
          <w:sz w:val="24"/>
          <w:szCs w:val="24"/>
        </w:rPr>
        <w:tab/>
      </w:r>
      <w:r w:rsidR="003569AE">
        <w:rPr>
          <w:rFonts w:ascii="Century Gothic" w:hAnsi="Century Gothic"/>
          <w:b/>
          <w:sz w:val="24"/>
          <w:szCs w:val="24"/>
        </w:rPr>
        <w:tab/>
      </w:r>
      <w:r w:rsidR="003569AE">
        <w:rPr>
          <w:rFonts w:ascii="Century Gothic" w:hAnsi="Century Gothic"/>
          <w:b/>
          <w:sz w:val="24"/>
          <w:szCs w:val="24"/>
        </w:rPr>
        <w:tab/>
      </w:r>
      <w:r w:rsidR="003569AE">
        <w:rPr>
          <w:rFonts w:ascii="Century Gothic" w:hAnsi="Century Gothic"/>
          <w:b/>
          <w:sz w:val="24"/>
          <w:szCs w:val="24"/>
        </w:rPr>
        <w:tab/>
      </w:r>
      <w:r w:rsidR="003569AE">
        <w:rPr>
          <w:rFonts w:ascii="Century Gothic" w:hAnsi="Century Gothic"/>
          <w:b/>
          <w:sz w:val="24"/>
          <w:szCs w:val="24"/>
        </w:rPr>
        <w:tab/>
      </w:r>
      <w:r>
        <w:rPr>
          <w:rFonts w:ascii="Century Gothic" w:hAnsi="Century Gothic"/>
          <w:b/>
          <w:sz w:val="24"/>
          <w:szCs w:val="24"/>
        </w:rPr>
        <w:t xml:space="preserve">                     </w:t>
      </w:r>
      <w:r w:rsidR="003569AE" w:rsidRPr="008E2161">
        <w:rPr>
          <w:rFonts w:ascii="Century Gothic" w:hAnsi="Century Gothic"/>
          <w:b/>
          <w:sz w:val="24"/>
          <w:szCs w:val="24"/>
        </w:rPr>
        <w:t>RESPONDENT</w:t>
      </w:r>
    </w:p>
    <w:p w14:paraId="60CA81E4" w14:textId="77777777" w:rsidR="003569AE" w:rsidRPr="008E2161" w:rsidRDefault="003569AE" w:rsidP="003569AE">
      <w:pPr>
        <w:spacing w:line="360" w:lineRule="auto"/>
        <w:jc w:val="both"/>
        <w:rPr>
          <w:rFonts w:ascii="Century Gothic" w:hAnsi="Century Gothic"/>
          <w:b/>
          <w:sz w:val="24"/>
          <w:szCs w:val="24"/>
        </w:rPr>
      </w:pPr>
    </w:p>
    <w:p w14:paraId="53E5E14B" w14:textId="77777777" w:rsidR="003569AE" w:rsidRDefault="003569AE" w:rsidP="003569AE">
      <w:pPr>
        <w:spacing w:line="360" w:lineRule="auto"/>
        <w:jc w:val="both"/>
        <w:rPr>
          <w:rFonts w:ascii="Century Gothic" w:hAnsi="Century Gothic"/>
          <w:sz w:val="24"/>
          <w:szCs w:val="24"/>
        </w:rPr>
      </w:pPr>
    </w:p>
    <w:p w14:paraId="5DBD12EE" w14:textId="77777777" w:rsidR="00A8068F" w:rsidRPr="008E2161" w:rsidRDefault="00A8068F" w:rsidP="003569AE">
      <w:pPr>
        <w:spacing w:line="360" w:lineRule="auto"/>
        <w:jc w:val="both"/>
        <w:rPr>
          <w:rFonts w:ascii="Century Gothic" w:hAnsi="Century Gothic"/>
          <w:sz w:val="24"/>
          <w:szCs w:val="24"/>
        </w:rPr>
      </w:pPr>
    </w:p>
    <w:p w14:paraId="3500CF71" w14:textId="2C1995DF" w:rsidR="003569AE" w:rsidRPr="008E2161" w:rsidRDefault="003569AE" w:rsidP="003569AE">
      <w:pPr>
        <w:spacing w:line="360" w:lineRule="auto"/>
        <w:jc w:val="both"/>
        <w:rPr>
          <w:rFonts w:ascii="Century Gothic" w:hAnsi="Century Gothic"/>
          <w:sz w:val="24"/>
          <w:szCs w:val="24"/>
        </w:rPr>
      </w:pPr>
      <w:r w:rsidRPr="008E2161">
        <w:rPr>
          <w:rFonts w:ascii="Century Gothic" w:hAnsi="Century Gothic"/>
          <w:sz w:val="24"/>
          <w:szCs w:val="24"/>
        </w:rPr>
        <w:t>BEFORE THE HONOURABLE KACHAMBWA J</w:t>
      </w:r>
      <w:r w:rsidR="00D9298A">
        <w:rPr>
          <w:rFonts w:ascii="Century Gothic" w:hAnsi="Century Gothic"/>
          <w:sz w:val="24"/>
          <w:szCs w:val="24"/>
        </w:rPr>
        <w:t>,</w:t>
      </w:r>
    </w:p>
    <w:p w14:paraId="7B22E9AE" w14:textId="77777777" w:rsidR="003569AE" w:rsidRPr="008E2161" w:rsidRDefault="003569AE" w:rsidP="003569AE">
      <w:pPr>
        <w:spacing w:line="360" w:lineRule="auto"/>
        <w:jc w:val="both"/>
        <w:rPr>
          <w:rFonts w:ascii="Century Gothic" w:hAnsi="Century Gothic"/>
          <w:sz w:val="24"/>
          <w:szCs w:val="24"/>
        </w:rPr>
      </w:pPr>
    </w:p>
    <w:p w14:paraId="056BAAEE" w14:textId="59E9AD1C" w:rsidR="003569AE" w:rsidRPr="008E2161" w:rsidRDefault="003569AE" w:rsidP="00A8068F">
      <w:pPr>
        <w:spacing w:line="480" w:lineRule="auto"/>
        <w:jc w:val="both"/>
        <w:rPr>
          <w:rFonts w:ascii="Century Gothic" w:hAnsi="Century Gothic"/>
          <w:b/>
          <w:sz w:val="24"/>
          <w:szCs w:val="24"/>
        </w:rPr>
      </w:pPr>
      <w:r w:rsidRPr="008E2161">
        <w:rPr>
          <w:rFonts w:ascii="Century Gothic" w:hAnsi="Century Gothic"/>
          <w:b/>
          <w:sz w:val="24"/>
          <w:szCs w:val="24"/>
        </w:rPr>
        <w:t>For the App</w:t>
      </w:r>
      <w:r>
        <w:rPr>
          <w:rFonts w:ascii="Century Gothic" w:hAnsi="Century Gothic"/>
          <w:b/>
          <w:sz w:val="24"/>
          <w:szCs w:val="24"/>
        </w:rPr>
        <w:t>ellant</w:t>
      </w:r>
      <w:r w:rsidRPr="008E2161">
        <w:rPr>
          <w:rFonts w:ascii="Century Gothic" w:hAnsi="Century Gothic"/>
          <w:b/>
          <w:sz w:val="24"/>
          <w:szCs w:val="24"/>
        </w:rPr>
        <w:t xml:space="preserve">:                                     </w:t>
      </w:r>
      <w:r w:rsidR="00CB60EF">
        <w:rPr>
          <w:rFonts w:ascii="Century Gothic" w:hAnsi="Century Gothic"/>
          <w:b/>
          <w:i/>
          <w:sz w:val="24"/>
          <w:szCs w:val="24"/>
        </w:rPr>
        <w:t>P</w:t>
      </w:r>
      <w:r w:rsidR="00B23CD3">
        <w:rPr>
          <w:rFonts w:ascii="Century Gothic" w:hAnsi="Century Gothic"/>
          <w:b/>
          <w:i/>
          <w:sz w:val="24"/>
          <w:szCs w:val="24"/>
        </w:rPr>
        <w:t>.</w:t>
      </w:r>
      <w:r w:rsidR="00CB60EF">
        <w:rPr>
          <w:rFonts w:ascii="Century Gothic" w:hAnsi="Century Gothic"/>
          <w:b/>
          <w:i/>
          <w:sz w:val="24"/>
          <w:szCs w:val="24"/>
        </w:rPr>
        <w:t xml:space="preserve"> </w:t>
      </w:r>
      <w:r w:rsidR="002A66BE">
        <w:rPr>
          <w:rFonts w:ascii="Century Gothic" w:hAnsi="Century Gothic"/>
          <w:b/>
          <w:i/>
          <w:sz w:val="24"/>
          <w:szCs w:val="24"/>
        </w:rPr>
        <w:t>Makururu</w:t>
      </w:r>
      <w:r w:rsidRPr="008E2161">
        <w:rPr>
          <w:rFonts w:ascii="Century Gothic" w:hAnsi="Century Gothic"/>
          <w:b/>
          <w:i/>
          <w:sz w:val="24"/>
          <w:szCs w:val="24"/>
        </w:rPr>
        <w:t>,</w:t>
      </w:r>
      <w:r w:rsidRPr="008E2161">
        <w:rPr>
          <w:rFonts w:ascii="Century Gothic" w:hAnsi="Century Gothic"/>
          <w:b/>
          <w:sz w:val="24"/>
          <w:szCs w:val="24"/>
        </w:rPr>
        <w:t xml:space="preserve"> Legal Practitioner</w:t>
      </w:r>
    </w:p>
    <w:p w14:paraId="0E892389" w14:textId="74A2FB30" w:rsidR="003569AE" w:rsidRPr="008E2161" w:rsidRDefault="003569AE" w:rsidP="00A8068F">
      <w:pPr>
        <w:spacing w:line="480" w:lineRule="auto"/>
        <w:jc w:val="both"/>
        <w:rPr>
          <w:rFonts w:ascii="Century Gothic" w:hAnsi="Century Gothic"/>
          <w:b/>
          <w:sz w:val="24"/>
          <w:szCs w:val="24"/>
        </w:rPr>
      </w:pPr>
      <w:r w:rsidRPr="008E2161">
        <w:rPr>
          <w:rFonts w:ascii="Century Gothic" w:hAnsi="Century Gothic"/>
          <w:b/>
          <w:sz w:val="24"/>
          <w:szCs w:val="24"/>
        </w:rPr>
        <w:t xml:space="preserve">For the Respondent:                                 </w:t>
      </w:r>
      <w:r w:rsidR="008E3AB6" w:rsidRPr="00B23CD3">
        <w:rPr>
          <w:rFonts w:ascii="Century Gothic" w:hAnsi="Century Gothic"/>
          <w:b/>
          <w:i/>
          <w:iCs/>
          <w:sz w:val="24"/>
          <w:szCs w:val="24"/>
        </w:rPr>
        <w:t>N</w:t>
      </w:r>
      <w:r w:rsidR="00B23CD3">
        <w:rPr>
          <w:rFonts w:ascii="Century Gothic" w:hAnsi="Century Gothic"/>
          <w:b/>
          <w:i/>
          <w:iCs/>
          <w:sz w:val="24"/>
          <w:szCs w:val="24"/>
        </w:rPr>
        <w:t>.</w:t>
      </w:r>
      <w:r w:rsidR="008E3AB6" w:rsidRPr="00B23CD3">
        <w:rPr>
          <w:rFonts w:ascii="Century Gothic" w:hAnsi="Century Gothic"/>
          <w:b/>
          <w:i/>
          <w:iCs/>
          <w:sz w:val="24"/>
          <w:szCs w:val="24"/>
        </w:rPr>
        <w:t xml:space="preserve"> Chidembo</w:t>
      </w:r>
      <w:r w:rsidRPr="008E2161">
        <w:rPr>
          <w:rFonts w:ascii="Century Gothic" w:hAnsi="Century Gothic"/>
          <w:b/>
          <w:sz w:val="24"/>
          <w:szCs w:val="24"/>
        </w:rPr>
        <w:t>, Legal Practitioner</w:t>
      </w:r>
    </w:p>
    <w:p w14:paraId="3E2505A7" w14:textId="77777777" w:rsidR="003569AE" w:rsidRPr="008E2161" w:rsidRDefault="003569AE" w:rsidP="003569AE">
      <w:pPr>
        <w:spacing w:line="360" w:lineRule="auto"/>
        <w:jc w:val="both"/>
        <w:rPr>
          <w:rFonts w:ascii="Century Gothic" w:hAnsi="Century Gothic"/>
          <w:sz w:val="24"/>
          <w:szCs w:val="24"/>
        </w:rPr>
      </w:pPr>
    </w:p>
    <w:p w14:paraId="2D56AB11" w14:textId="77777777" w:rsidR="003569AE" w:rsidRPr="008E2161" w:rsidRDefault="003569AE" w:rsidP="003569AE">
      <w:pPr>
        <w:spacing w:line="360" w:lineRule="auto"/>
        <w:jc w:val="both"/>
        <w:rPr>
          <w:rFonts w:ascii="Century Gothic" w:hAnsi="Century Gothic"/>
          <w:sz w:val="24"/>
          <w:szCs w:val="24"/>
        </w:rPr>
      </w:pPr>
    </w:p>
    <w:p w14:paraId="70ED6505" w14:textId="77777777" w:rsidR="003569AE" w:rsidRPr="008E2161" w:rsidRDefault="003569AE" w:rsidP="003569AE">
      <w:pPr>
        <w:spacing w:line="360" w:lineRule="auto"/>
        <w:jc w:val="both"/>
        <w:rPr>
          <w:rFonts w:ascii="Century Gothic" w:hAnsi="Century Gothic"/>
          <w:b/>
          <w:sz w:val="24"/>
          <w:szCs w:val="24"/>
        </w:rPr>
      </w:pPr>
      <w:r w:rsidRPr="008E2161">
        <w:rPr>
          <w:rFonts w:ascii="Century Gothic" w:hAnsi="Century Gothic"/>
          <w:b/>
          <w:sz w:val="24"/>
          <w:szCs w:val="24"/>
        </w:rPr>
        <w:t>KACHAMBWA, J:</w:t>
      </w:r>
    </w:p>
    <w:p w14:paraId="5E495358" w14:textId="77777777" w:rsidR="003569AE" w:rsidRPr="008E2161" w:rsidRDefault="003569AE" w:rsidP="003569AE">
      <w:pPr>
        <w:spacing w:line="360" w:lineRule="auto"/>
        <w:jc w:val="both"/>
        <w:rPr>
          <w:rFonts w:ascii="Century Gothic" w:hAnsi="Century Gothic"/>
          <w:sz w:val="24"/>
          <w:szCs w:val="24"/>
        </w:rPr>
      </w:pPr>
    </w:p>
    <w:p w14:paraId="4132744E" w14:textId="77777777" w:rsidR="00382EDA" w:rsidRDefault="00382EDA" w:rsidP="00D92C63">
      <w:pPr>
        <w:spacing w:line="480" w:lineRule="auto"/>
        <w:jc w:val="both"/>
        <w:rPr>
          <w:rFonts w:ascii="Century Gothic" w:hAnsi="Century Gothic"/>
          <w:b/>
          <w:sz w:val="24"/>
          <w:szCs w:val="24"/>
        </w:rPr>
      </w:pPr>
    </w:p>
    <w:p w14:paraId="3E0F51C7" w14:textId="4612256C" w:rsidR="003569AE" w:rsidRDefault="003569AE" w:rsidP="00D92C63">
      <w:pPr>
        <w:spacing w:line="480" w:lineRule="auto"/>
        <w:jc w:val="both"/>
        <w:rPr>
          <w:rFonts w:ascii="Century Gothic" w:hAnsi="Century Gothic"/>
          <w:b/>
          <w:sz w:val="24"/>
          <w:szCs w:val="24"/>
        </w:rPr>
      </w:pPr>
      <w:r>
        <w:rPr>
          <w:rFonts w:ascii="Century Gothic" w:hAnsi="Century Gothic"/>
          <w:b/>
          <w:sz w:val="24"/>
          <w:szCs w:val="24"/>
        </w:rPr>
        <w:lastRenderedPageBreak/>
        <w:t>THE APPEAL</w:t>
      </w:r>
    </w:p>
    <w:p w14:paraId="6CC10DF7" w14:textId="034DF988" w:rsidR="003569AE" w:rsidRPr="00D61C8F" w:rsidRDefault="003569AE" w:rsidP="00D92C63">
      <w:pPr>
        <w:pStyle w:val="ListParagraph"/>
        <w:numPr>
          <w:ilvl w:val="0"/>
          <w:numId w:val="3"/>
        </w:numPr>
        <w:spacing w:line="480" w:lineRule="auto"/>
        <w:jc w:val="both"/>
        <w:rPr>
          <w:rFonts w:ascii="Century Gothic" w:hAnsi="Century Gothic"/>
          <w:sz w:val="24"/>
          <w:szCs w:val="24"/>
        </w:rPr>
      </w:pPr>
      <w:r w:rsidRPr="00D61C8F">
        <w:rPr>
          <w:rFonts w:ascii="Century Gothic" w:hAnsi="Century Gothic"/>
          <w:sz w:val="24"/>
          <w:szCs w:val="24"/>
        </w:rPr>
        <w:t xml:space="preserve">This is an </w:t>
      </w:r>
      <w:r w:rsidR="00072886">
        <w:rPr>
          <w:rFonts w:ascii="Century Gothic" w:hAnsi="Century Gothic"/>
          <w:sz w:val="24"/>
          <w:szCs w:val="24"/>
        </w:rPr>
        <w:t xml:space="preserve">opposed </w:t>
      </w:r>
      <w:r w:rsidRPr="00D61C8F">
        <w:rPr>
          <w:rFonts w:ascii="Century Gothic" w:hAnsi="Century Gothic"/>
          <w:sz w:val="24"/>
          <w:szCs w:val="24"/>
        </w:rPr>
        <w:t xml:space="preserve">appeal against </w:t>
      </w:r>
      <w:r w:rsidR="00072886">
        <w:rPr>
          <w:rFonts w:ascii="Century Gothic" w:hAnsi="Century Gothic"/>
          <w:sz w:val="24"/>
          <w:szCs w:val="24"/>
        </w:rPr>
        <w:t xml:space="preserve">the decision of the </w:t>
      </w:r>
      <w:r w:rsidR="00413DA0">
        <w:rPr>
          <w:rFonts w:ascii="Century Gothic" w:hAnsi="Century Gothic"/>
          <w:sz w:val="24"/>
          <w:szCs w:val="24"/>
        </w:rPr>
        <w:t xml:space="preserve">Respondent’s </w:t>
      </w:r>
      <w:r w:rsidRPr="00D61C8F">
        <w:rPr>
          <w:rFonts w:ascii="Century Gothic" w:hAnsi="Century Gothic"/>
          <w:sz w:val="24"/>
          <w:szCs w:val="24"/>
        </w:rPr>
        <w:t xml:space="preserve">Disciplinary </w:t>
      </w:r>
      <w:r w:rsidR="009D209D">
        <w:rPr>
          <w:rFonts w:ascii="Century Gothic" w:hAnsi="Century Gothic"/>
          <w:sz w:val="24"/>
          <w:szCs w:val="24"/>
        </w:rPr>
        <w:t>Authority</w:t>
      </w:r>
      <w:r w:rsidRPr="00D61C8F">
        <w:rPr>
          <w:rFonts w:ascii="Century Gothic" w:hAnsi="Century Gothic"/>
          <w:sz w:val="24"/>
          <w:szCs w:val="24"/>
        </w:rPr>
        <w:t xml:space="preserve">. </w:t>
      </w:r>
      <w:r w:rsidR="00072886">
        <w:rPr>
          <w:rFonts w:ascii="Century Gothic" w:hAnsi="Century Gothic"/>
          <w:sz w:val="24"/>
          <w:szCs w:val="24"/>
        </w:rPr>
        <w:t>Eight</w:t>
      </w:r>
      <w:r>
        <w:rPr>
          <w:rFonts w:ascii="Century Gothic" w:hAnsi="Century Gothic"/>
          <w:sz w:val="24"/>
          <w:szCs w:val="24"/>
        </w:rPr>
        <w:t xml:space="preserve"> grounds of appeal </w:t>
      </w:r>
      <w:r w:rsidR="00072886">
        <w:rPr>
          <w:rFonts w:ascii="Century Gothic" w:hAnsi="Century Gothic"/>
          <w:sz w:val="24"/>
          <w:szCs w:val="24"/>
        </w:rPr>
        <w:t xml:space="preserve">were raised </w:t>
      </w:r>
      <w:r w:rsidRPr="00D61C8F">
        <w:rPr>
          <w:rFonts w:ascii="Century Gothic" w:hAnsi="Century Gothic"/>
          <w:sz w:val="24"/>
          <w:szCs w:val="24"/>
        </w:rPr>
        <w:t>as follows:</w:t>
      </w:r>
    </w:p>
    <w:p w14:paraId="4541B24B" w14:textId="77777777" w:rsidR="003569AE" w:rsidRPr="00454F4D" w:rsidRDefault="003569AE" w:rsidP="00D92C63">
      <w:pPr>
        <w:spacing w:line="480" w:lineRule="auto"/>
        <w:jc w:val="both"/>
        <w:rPr>
          <w:rFonts w:ascii="Century Gothic" w:hAnsi="Century Gothic"/>
          <w:b/>
          <w:sz w:val="24"/>
          <w:szCs w:val="24"/>
        </w:rPr>
      </w:pPr>
    </w:p>
    <w:p w14:paraId="0461C0F0" w14:textId="77777777" w:rsidR="003569AE" w:rsidRDefault="003569AE" w:rsidP="00D92C63">
      <w:pPr>
        <w:pStyle w:val="ListParagraph"/>
        <w:spacing w:line="480" w:lineRule="auto"/>
        <w:jc w:val="both"/>
        <w:rPr>
          <w:rFonts w:ascii="Century Gothic" w:hAnsi="Century Gothic"/>
          <w:sz w:val="24"/>
          <w:szCs w:val="24"/>
        </w:rPr>
      </w:pPr>
    </w:p>
    <w:p w14:paraId="66886308" w14:textId="68E4B9D4" w:rsidR="003569AE" w:rsidRDefault="003569AE" w:rsidP="00D92C63">
      <w:pPr>
        <w:pStyle w:val="ListParagraph"/>
        <w:numPr>
          <w:ilvl w:val="1"/>
          <w:numId w:val="1"/>
        </w:numPr>
        <w:spacing w:line="480" w:lineRule="auto"/>
        <w:jc w:val="both"/>
        <w:rPr>
          <w:rFonts w:ascii="Century Gothic" w:hAnsi="Century Gothic"/>
          <w:sz w:val="24"/>
          <w:szCs w:val="24"/>
        </w:rPr>
      </w:pPr>
      <w:bookmarkStart w:id="1" w:name="_Hlk177139708"/>
      <w:r>
        <w:rPr>
          <w:rFonts w:ascii="Century Gothic" w:hAnsi="Century Gothic"/>
          <w:sz w:val="24"/>
          <w:szCs w:val="24"/>
        </w:rPr>
        <w:t>“</w:t>
      </w:r>
      <w:r w:rsidRPr="003569AE">
        <w:rPr>
          <w:rFonts w:ascii="Century Gothic" w:hAnsi="Century Gothic"/>
          <w:sz w:val="24"/>
          <w:szCs w:val="24"/>
        </w:rPr>
        <w:t xml:space="preserve">The Disciplinary Authority grossly misdirected himself in holding that the Appellant breached clause 6.3 (4) of the Respondent’s policy and procedure manual, which manual was not applicable to Appellant. </w:t>
      </w:r>
    </w:p>
    <w:p w14:paraId="5C0F96A0" w14:textId="77777777" w:rsidR="003569AE" w:rsidRDefault="003569AE" w:rsidP="00D92C63">
      <w:pPr>
        <w:pStyle w:val="ListParagraph"/>
        <w:numPr>
          <w:ilvl w:val="1"/>
          <w:numId w:val="1"/>
        </w:numPr>
        <w:spacing w:line="480" w:lineRule="auto"/>
        <w:jc w:val="both"/>
        <w:rPr>
          <w:rFonts w:ascii="Century Gothic" w:hAnsi="Century Gothic"/>
          <w:sz w:val="24"/>
          <w:szCs w:val="24"/>
        </w:rPr>
      </w:pPr>
      <w:r w:rsidRPr="003569AE">
        <w:rPr>
          <w:rFonts w:ascii="Century Gothic" w:hAnsi="Century Gothic"/>
          <w:sz w:val="24"/>
          <w:szCs w:val="24"/>
        </w:rPr>
        <w:t xml:space="preserve"> In any case, the Disciplinary Authority further grossly misdirected himself in holding that the appellant breached clause 6.3 (4) of its policy and procedure manual, which was not operational at the time and no evidence had been led of its existence on a portal. </w:t>
      </w:r>
    </w:p>
    <w:p w14:paraId="6C6FD97F" w14:textId="77777777" w:rsidR="003569AE" w:rsidRDefault="003569AE" w:rsidP="00D92C63">
      <w:pPr>
        <w:pStyle w:val="ListParagraph"/>
        <w:numPr>
          <w:ilvl w:val="1"/>
          <w:numId w:val="1"/>
        </w:numPr>
        <w:spacing w:line="480" w:lineRule="auto"/>
        <w:jc w:val="both"/>
        <w:rPr>
          <w:rFonts w:ascii="Century Gothic" w:hAnsi="Century Gothic"/>
          <w:sz w:val="24"/>
          <w:szCs w:val="24"/>
        </w:rPr>
      </w:pPr>
      <w:r w:rsidRPr="003569AE">
        <w:rPr>
          <w:rFonts w:ascii="Century Gothic" w:hAnsi="Century Gothic"/>
          <w:sz w:val="24"/>
          <w:szCs w:val="24"/>
        </w:rPr>
        <w:t xml:space="preserve"> In any case, the Disciplinary Authority further grossly misdirected himself in dismissing the Appellant on the basis of a breach of clause 6.3 (4) of its policy and procedure manual in instances where a cash check is concerned with items</w:t>
      </w:r>
      <w:r w:rsidRPr="003569AE">
        <w:t xml:space="preserve"> </w:t>
      </w:r>
      <w:r w:rsidRPr="003569AE">
        <w:rPr>
          <w:rFonts w:ascii="Century Gothic" w:hAnsi="Century Gothic"/>
          <w:sz w:val="24"/>
          <w:szCs w:val="24"/>
        </w:rPr>
        <w:t>making up a cash balance and not entries, which items are bank notes and their denomination.</w:t>
      </w:r>
    </w:p>
    <w:p w14:paraId="6435027D" w14:textId="77777777" w:rsidR="003569AE" w:rsidRDefault="003569AE" w:rsidP="00D92C63">
      <w:pPr>
        <w:pStyle w:val="ListParagraph"/>
        <w:numPr>
          <w:ilvl w:val="1"/>
          <w:numId w:val="1"/>
        </w:numPr>
        <w:spacing w:line="480" w:lineRule="auto"/>
        <w:jc w:val="both"/>
        <w:rPr>
          <w:rFonts w:ascii="Century Gothic" w:hAnsi="Century Gothic"/>
          <w:sz w:val="24"/>
          <w:szCs w:val="24"/>
        </w:rPr>
      </w:pPr>
      <w:r w:rsidRPr="003569AE">
        <w:rPr>
          <w:rFonts w:ascii="Century Gothic" w:hAnsi="Century Gothic"/>
          <w:sz w:val="24"/>
          <w:szCs w:val="24"/>
        </w:rPr>
        <w:t>The Disciplinary Authority further grossly misdirected himself in holding that appellant failed to initiate criminal proceedings in instances where he complied with what was required of him in terms of the security policy and procedure manual.</w:t>
      </w:r>
    </w:p>
    <w:p w14:paraId="19268D7B" w14:textId="77777777" w:rsidR="003569AE" w:rsidRDefault="003569AE" w:rsidP="00D92C63">
      <w:pPr>
        <w:pStyle w:val="ListParagraph"/>
        <w:numPr>
          <w:ilvl w:val="1"/>
          <w:numId w:val="1"/>
        </w:numPr>
        <w:spacing w:line="480" w:lineRule="auto"/>
        <w:jc w:val="both"/>
        <w:rPr>
          <w:rFonts w:ascii="Century Gothic" w:hAnsi="Century Gothic"/>
          <w:sz w:val="24"/>
          <w:szCs w:val="24"/>
        </w:rPr>
      </w:pPr>
      <w:r w:rsidRPr="003569AE">
        <w:rPr>
          <w:rFonts w:ascii="Century Gothic" w:hAnsi="Century Gothic"/>
          <w:sz w:val="24"/>
          <w:szCs w:val="24"/>
        </w:rPr>
        <w:t xml:space="preserve">The Disciplinary Authority further grossly misdirected himself in holding that appellant failed to initiate criminal proceedings since he had gone to recover the money yet all he had done was to drive the Security Manager who recovered the money. </w:t>
      </w:r>
    </w:p>
    <w:p w14:paraId="7A56ED5F" w14:textId="77777777" w:rsidR="003569AE" w:rsidRDefault="003569AE" w:rsidP="00D92C63">
      <w:pPr>
        <w:pStyle w:val="ListParagraph"/>
        <w:numPr>
          <w:ilvl w:val="1"/>
          <w:numId w:val="1"/>
        </w:numPr>
        <w:spacing w:line="480" w:lineRule="auto"/>
        <w:jc w:val="both"/>
        <w:rPr>
          <w:rFonts w:ascii="Century Gothic" w:hAnsi="Century Gothic"/>
          <w:sz w:val="24"/>
          <w:szCs w:val="24"/>
        </w:rPr>
      </w:pPr>
      <w:r w:rsidRPr="003569AE">
        <w:rPr>
          <w:rFonts w:ascii="Century Gothic" w:hAnsi="Century Gothic"/>
          <w:sz w:val="24"/>
          <w:szCs w:val="24"/>
        </w:rPr>
        <w:t xml:space="preserve">The Disciplinary Authority further grossly misdirected himself in holding that the Appellant failed to initiate criminal proceedings in instances where an interim report had concluded that there was no evidence of commission of an offence. </w:t>
      </w:r>
    </w:p>
    <w:p w14:paraId="1124A65D" w14:textId="77777777" w:rsidR="003569AE" w:rsidRDefault="003569AE" w:rsidP="00D92C63">
      <w:pPr>
        <w:pStyle w:val="ListParagraph"/>
        <w:numPr>
          <w:ilvl w:val="1"/>
          <w:numId w:val="1"/>
        </w:numPr>
        <w:spacing w:line="480" w:lineRule="auto"/>
        <w:jc w:val="both"/>
        <w:rPr>
          <w:rFonts w:ascii="Century Gothic" w:hAnsi="Century Gothic"/>
          <w:sz w:val="24"/>
          <w:szCs w:val="24"/>
        </w:rPr>
      </w:pPr>
      <w:r w:rsidRPr="003569AE">
        <w:rPr>
          <w:rFonts w:ascii="Century Gothic" w:hAnsi="Century Gothic"/>
          <w:sz w:val="24"/>
          <w:szCs w:val="24"/>
        </w:rPr>
        <w:t>The Disciplinary Authority further grossly misdirected himself in holding that the Appellant failed to initiate criminal proceedings in instances where the security policy and procedure manual required that a report to the police is only made in cases of material prejudice.</w:t>
      </w:r>
    </w:p>
    <w:p w14:paraId="1DD9EAD7" w14:textId="460F05CB" w:rsidR="003569AE" w:rsidRDefault="003569AE" w:rsidP="00D92C63">
      <w:pPr>
        <w:pStyle w:val="ListParagraph"/>
        <w:numPr>
          <w:ilvl w:val="1"/>
          <w:numId w:val="1"/>
        </w:numPr>
        <w:spacing w:line="480" w:lineRule="auto"/>
        <w:jc w:val="both"/>
        <w:rPr>
          <w:rFonts w:ascii="Century Gothic" w:hAnsi="Century Gothic"/>
          <w:sz w:val="24"/>
          <w:szCs w:val="24"/>
        </w:rPr>
      </w:pPr>
      <w:r w:rsidRPr="003569AE">
        <w:rPr>
          <w:rFonts w:ascii="Century Gothic" w:hAnsi="Century Gothic"/>
          <w:sz w:val="24"/>
          <w:szCs w:val="24"/>
        </w:rPr>
        <w:t>The Disciplinary Authority further erred in dismissing the Appellant for lax or inadequate implementation and monitoring of CCD controls in instances where no evidence of laxity or inadequate implementation was proved</w:t>
      </w:r>
      <w:r>
        <w:rPr>
          <w:rFonts w:ascii="Century Gothic" w:hAnsi="Century Gothic"/>
          <w:sz w:val="24"/>
          <w:szCs w:val="24"/>
        </w:rPr>
        <w:t>.”</w:t>
      </w:r>
    </w:p>
    <w:p w14:paraId="45839A7F" w14:textId="6CEA9B6A" w:rsidR="00413DA0" w:rsidRPr="00AC1A5A" w:rsidRDefault="00413DA0" w:rsidP="00D92C63">
      <w:pPr>
        <w:pStyle w:val="ListParagraph"/>
        <w:numPr>
          <w:ilvl w:val="0"/>
          <w:numId w:val="1"/>
        </w:numPr>
        <w:spacing w:line="480" w:lineRule="auto"/>
        <w:jc w:val="both"/>
        <w:rPr>
          <w:rFonts w:ascii="Century Gothic" w:hAnsi="Century Gothic"/>
          <w:sz w:val="24"/>
          <w:szCs w:val="24"/>
        </w:rPr>
      </w:pPr>
      <w:r>
        <w:rPr>
          <w:rFonts w:ascii="Century Gothic" w:hAnsi="Century Gothic"/>
          <w:sz w:val="24"/>
          <w:szCs w:val="24"/>
        </w:rPr>
        <w:t>The Court</w:t>
      </w:r>
      <w:r w:rsidR="00D9298A">
        <w:rPr>
          <w:rFonts w:ascii="Century Gothic" w:hAnsi="Century Gothic"/>
          <w:sz w:val="24"/>
          <w:szCs w:val="24"/>
        </w:rPr>
        <w:t>,</w:t>
      </w:r>
      <w:r>
        <w:rPr>
          <w:rFonts w:ascii="Century Gothic" w:hAnsi="Century Gothic"/>
          <w:sz w:val="24"/>
          <w:szCs w:val="24"/>
        </w:rPr>
        <w:t xml:space="preserve"> having heard the parties, dismissed the appeal and now provides reasons for its decision as follows.</w:t>
      </w:r>
    </w:p>
    <w:bookmarkEnd w:id="1"/>
    <w:p w14:paraId="0EB79E0C" w14:textId="6B0FDDBB" w:rsidR="003569AE" w:rsidRDefault="003569AE" w:rsidP="00D92C63">
      <w:pPr>
        <w:spacing w:line="480" w:lineRule="auto"/>
        <w:jc w:val="both"/>
        <w:rPr>
          <w:rFonts w:ascii="Century Gothic" w:hAnsi="Century Gothic"/>
          <w:b/>
          <w:sz w:val="24"/>
          <w:szCs w:val="24"/>
        </w:rPr>
      </w:pPr>
      <w:r>
        <w:rPr>
          <w:rFonts w:ascii="Century Gothic" w:hAnsi="Century Gothic"/>
          <w:b/>
          <w:sz w:val="24"/>
          <w:szCs w:val="24"/>
        </w:rPr>
        <w:t>BACKGROUND OF APPEAL</w:t>
      </w:r>
    </w:p>
    <w:p w14:paraId="3536E83C" w14:textId="5D5C874F" w:rsidR="003569AE" w:rsidRDefault="003569AE" w:rsidP="00D92C63">
      <w:pPr>
        <w:pStyle w:val="ListParagraph"/>
        <w:numPr>
          <w:ilvl w:val="0"/>
          <w:numId w:val="1"/>
        </w:numPr>
        <w:spacing w:line="480" w:lineRule="auto"/>
        <w:jc w:val="both"/>
        <w:rPr>
          <w:rFonts w:ascii="Century Gothic" w:hAnsi="Century Gothic"/>
          <w:sz w:val="24"/>
          <w:szCs w:val="24"/>
        </w:rPr>
      </w:pPr>
      <w:r>
        <w:rPr>
          <w:rFonts w:ascii="Century Gothic" w:hAnsi="Century Gothic"/>
          <w:sz w:val="24"/>
          <w:szCs w:val="24"/>
        </w:rPr>
        <w:t>The</w:t>
      </w:r>
      <w:r w:rsidR="003A67CB" w:rsidRPr="003A67CB">
        <w:rPr>
          <w:rFonts w:ascii="Century Gothic" w:hAnsi="Century Gothic"/>
          <w:sz w:val="24"/>
          <w:szCs w:val="24"/>
        </w:rPr>
        <w:t xml:space="preserve"> </w:t>
      </w:r>
      <w:r w:rsidR="0006099F">
        <w:rPr>
          <w:rFonts w:ascii="Century Gothic" w:hAnsi="Century Gothic"/>
          <w:sz w:val="24"/>
          <w:szCs w:val="24"/>
        </w:rPr>
        <w:t>Appellant</w:t>
      </w:r>
      <w:r w:rsidR="003A67CB" w:rsidRPr="003A67CB">
        <w:rPr>
          <w:rFonts w:ascii="Century Gothic" w:hAnsi="Century Gothic"/>
          <w:sz w:val="24"/>
          <w:szCs w:val="24"/>
        </w:rPr>
        <w:t xml:space="preserve"> was </w:t>
      </w:r>
      <w:r w:rsidR="003A67CB">
        <w:rPr>
          <w:rFonts w:ascii="Century Gothic" w:hAnsi="Century Gothic"/>
          <w:sz w:val="24"/>
          <w:szCs w:val="24"/>
        </w:rPr>
        <w:t>employ</w:t>
      </w:r>
      <w:r w:rsidR="003A67CB" w:rsidRPr="003A67CB">
        <w:rPr>
          <w:rFonts w:ascii="Century Gothic" w:hAnsi="Century Gothic"/>
          <w:sz w:val="24"/>
          <w:szCs w:val="24"/>
        </w:rPr>
        <w:t xml:space="preserve">ed by the </w:t>
      </w:r>
      <w:r w:rsidR="0006099F">
        <w:rPr>
          <w:rFonts w:ascii="Century Gothic" w:hAnsi="Century Gothic"/>
          <w:sz w:val="24"/>
          <w:szCs w:val="24"/>
        </w:rPr>
        <w:t>Respondent</w:t>
      </w:r>
      <w:r w:rsidR="003A67CB" w:rsidRPr="003A67CB">
        <w:rPr>
          <w:rFonts w:ascii="Century Gothic" w:hAnsi="Century Gothic"/>
          <w:sz w:val="24"/>
          <w:szCs w:val="24"/>
        </w:rPr>
        <w:t xml:space="preserve"> as</w:t>
      </w:r>
      <w:r w:rsidR="0006099F">
        <w:rPr>
          <w:rFonts w:ascii="Century Gothic" w:hAnsi="Century Gothic"/>
          <w:sz w:val="24"/>
          <w:szCs w:val="24"/>
        </w:rPr>
        <w:t xml:space="preserve"> </w:t>
      </w:r>
      <w:bookmarkStart w:id="2" w:name="_Hlk190182260"/>
      <w:r w:rsidR="00064125">
        <w:rPr>
          <w:rFonts w:ascii="Century Gothic" w:hAnsi="Century Gothic"/>
          <w:sz w:val="24"/>
          <w:szCs w:val="24"/>
        </w:rPr>
        <w:t xml:space="preserve">a </w:t>
      </w:r>
      <w:r w:rsidR="00064125" w:rsidRPr="003A67CB">
        <w:rPr>
          <w:rFonts w:ascii="Century Gothic" w:hAnsi="Century Gothic"/>
          <w:sz w:val="24"/>
          <w:szCs w:val="24"/>
        </w:rPr>
        <w:t>Senior</w:t>
      </w:r>
      <w:r w:rsidR="003A67CB" w:rsidRPr="003A67CB">
        <w:rPr>
          <w:rFonts w:ascii="Century Gothic" w:hAnsi="Century Gothic"/>
          <w:sz w:val="24"/>
          <w:szCs w:val="24"/>
        </w:rPr>
        <w:t xml:space="preserve"> Manager -Branch Operations</w:t>
      </w:r>
      <w:bookmarkEnd w:id="2"/>
      <w:r w:rsidR="003A67CB" w:rsidRPr="003A67CB">
        <w:rPr>
          <w:rFonts w:ascii="Century Gothic" w:hAnsi="Century Gothic"/>
          <w:sz w:val="24"/>
          <w:szCs w:val="24"/>
        </w:rPr>
        <w:t xml:space="preserve">. </w:t>
      </w:r>
      <w:r w:rsidR="00064125">
        <w:rPr>
          <w:rFonts w:ascii="Century Gothic" w:hAnsi="Century Gothic"/>
          <w:sz w:val="24"/>
          <w:szCs w:val="24"/>
        </w:rPr>
        <w:t>T</w:t>
      </w:r>
      <w:r w:rsidR="00485B1C">
        <w:rPr>
          <w:rFonts w:ascii="Century Gothic" w:hAnsi="Century Gothic"/>
          <w:sz w:val="24"/>
          <w:szCs w:val="24"/>
        </w:rPr>
        <w:t xml:space="preserve">he Appellant’s </w:t>
      </w:r>
      <w:r w:rsidR="003A67CB" w:rsidRPr="003A67CB">
        <w:rPr>
          <w:rFonts w:ascii="Century Gothic" w:hAnsi="Century Gothic"/>
          <w:sz w:val="24"/>
          <w:szCs w:val="24"/>
        </w:rPr>
        <w:t xml:space="preserve">responsibilities were outlined in </w:t>
      </w:r>
      <w:r w:rsidR="00485B1C">
        <w:rPr>
          <w:rFonts w:ascii="Century Gothic" w:hAnsi="Century Gothic"/>
          <w:sz w:val="24"/>
          <w:szCs w:val="24"/>
        </w:rPr>
        <w:t>his</w:t>
      </w:r>
      <w:r w:rsidR="003A67CB" w:rsidRPr="003A67CB">
        <w:rPr>
          <w:rFonts w:ascii="Century Gothic" w:hAnsi="Century Gothic"/>
          <w:sz w:val="24"/>
          <w:szCs w:val="24"/>
        </w:rPr>
        <w:t xml:space="preserve"> Contract of Employment and Job Description, which are linked to the position, and are also governed by relevant Legislation, Regulations, Legal Instruments, the Bank’s Policies, and Regulatory Directives. Among other duties, the</w:t>
      </w:r>
      <w:r w:rsidR="00417D1F">
        <w:rPr>
          <w:rFonts w:ascii="Century Gothic" w:hAnsi="Century Gothic"/>
          <w:sz w:val="24"/>
          <w:szCs w:val="24"/>
        </w:rPr>
        <w:t xml:space="preserve"> Appellant</w:t>
      </w:r>
      <w:r w:rsidR="003A67CB" w:rsidRPr="003A67CB">
        <w:rPr>
          <w:rFonts w:ascii="Century Gothic" w:hAnsi="Century Gothic"/>
          <w:sz w:val="24"/>
          <w:szCs w:val="24"/>
        </w:rPr>
        <w:t xml:space="preserve"> was responsible for ensuring that procedures and processes were established and consistently followed, verifying that cash was balanced daily with any excesses reported according to policy, monitoring approved cash holding limits across all branches, and overseeing staff motivation and discipline, which included managing subordinates both functionally and disciplinarily.</w:t>
      </w:r>
    </w:p>
    <w:p w14:paraId="16781047" w14:textId="77777777" w:rsidR="003569AE" w:rsidRDefault="003569AE" w:rsidP="00D92C63">
      <w:pPr>
        <w:pStyle w:val="ListParagraph"/>
        <w:spacing w:line="480" w:lineRule="auto"/>
        <w:jc w:val="both"/>
        <w:rPr>
          <w:rFonts w:ascii="Century Gothic" w:hAnsi="Century Gothic"/>
          <w:sz w:val="24"/>
          <w:szCs w:val="24"/>
        </w:rPr>
      </w:pPr>
    </w:p>
    <w:p w14:paraId="17153C67" w14:textId="3E953C27" w:rsidR="003569AE" w:rsidRDefault="003A67CB" w:rsidP="00D92C63">
      <w:pPr>
        <w:pStyle w:val="ListParagraph"/>
        <w:numPr>
          <w:ilvl w:val="0"/>
          <w:numId w:val="1"/>
        </w:numPr>
        <w:spacing w:line="480" w:lineRule="auto"/>
        <w:jc w:val="both"/>
        <w:rPr>
          <w:rFonts w:ascii="Century Gothic" w:hAnsi="Century Gothic"/>
          <w:sz w:val="24"/>
          <w:szCs w:val="24"/>
        </w:rPr>
      </w:pPr>
      <w:r w:rsidRPr="003A67CB">
        <w:rPr>
          <w:rFonts w:ascii="Century Gothic" w:hAnsi="Century Gothic"/>
          <w:sz w:val="24"/>
          <w:szCs w:val="24"/>
        </w:rPr>
        <w:t xml:space="preserve">On </w:t>
      </w:r>
      <w:r>
        <w:rPr>
          <w:rFonts w:ascii="Century Gothic" w:hAnsi="Century Gothic"/>
          <w:sz w:val="24"/>
          <w:szCs w:val="24"/>
        </w:rPr>
        <w:t xml:space="preserve">the </w:t>
      </w:r>
      <w:r w:rsidRPr="003A67CB">
        <w:rPr>
          <w:rFonts w:ascii="Century Gothic" w:hAnsi="Century Gothic"/>
          <w:sz w:val="24"/>
          <w:szCs w:val="24"/>
        </w:rPr>
        <w:t>28</w:t>
      </w:r>
      <w:r w:rsidRPr="003A67CB">
        <w:rPr>
          <w:rFonts w:ascii="Century Gothic" w:hAnsi="Century Gothic"/>
          <w:sz w:val="24"/>
          <w:szCs w:val="24"/>
          <w:vertAlign w:val="superscript"/>
        </w:rPr>
        <w:t>th</w:t>
      </w:r>
      <w:r>
        <w:rPr>
          <w:rFonts w:ascii="Century Gothic" w:hAnsi="Century Gothic"/>
          <w:sz w:val="24"/>
          <w:szCs w:val="24"/>
        </w:rPr>
        <w:t xml:space="preserve"> of</w:t>
      </w:r>
      <w:r w:rsidRPr="003A67CB">
        <w:rPr>
          <w:rFonts w:ascii="Century Gothic" w:hAnsi="Century Gothic"/>
          <w:sz w:val="24"/>
          <w:szCs w:val="24"/>
        </w:rPr>
        <w:t xml:space="preserve"> October 2022, the Bank received a sum of US$3,000,000.00 from the Reserve Bank of Zimbabwe (“RBZ”). However, this amount was not recorded in the Bank’s Central Cash Depot Vault Register. On the same day, the</w:t>
      </w:r>
      <w:r w:rsidR="00417D1F">
        <w:rPr>
          <w:rFonts w:ascii="Century Gothic" w:hAnsi="Century Gothic"/>
          <w:sz w:val="24"/>
          <w:szCs w:val="24"/>
        </w:rPr>
        <w:t xml:space="preserve"> Appellant</w:t>
      </w:r>
      <w:r w:rsidRPr="003A67CB">
        <w:rPr>
          <w:rFonts w:ascii="Century Gothic" w:hAnsi="Century Gothic"/>
          <w:sz w:val="24"/>
          <w:szCs w:val="24"/>
        </w:rPr>
        <w:t xml:space="preserve"> is said to have conducted a cash check and subsequently certified the totals in the Bank’s Vault Register. In doing so, </w:t>
      </w:r>
      <w:r w:rsidR="00064125">
        <w:rPr>
          <w:rFonts w:ascii="Century Gothic" w:hAnsi="Century Gothic"/>
          <w:sz w:val="24"/>
          <w:szCs w:val="24"/>
        </w:rPr>
        <w:t xml:space="preserve">it is alleged that </w:t>
      </w:r>
      <w:r w:rsidRPr="003A67CB">
        <w:rPr>
          <w:rFonts w:ascii="Century Gothic" w:hAnsi="Century Gothic"/>
          <w:sz w:val="24"/>
          <w:szCs w:val="24"/>
        </w:rPr>
        <w:t xml:space="preserve">the </w:t>
      </w:r>
      <w:r w:rsidR="00417D1F">
        <w:rPr>
          <w:rFonts w:ascii="Century Gothic" w:hAnsi="Century Gothic"/>
          <w:sz w:val="24"/>
          <w:szCs w:val="24"/>
        </w:rPr>
        <w:t>Appellant</w:t>
      </w:r>
      <w:r w:rsidRPr="003A67CB">
        <w:rPr>
          <w:rFonts w:ascii="Century Gothic" w:hAnsi="Century Gothic"/>
          <w:sz w:val="24"/>
          <w:szCs w:val="24"/>
        </w:rPr>
        <w:t xml:space="preserve"> failed to adhere to the Bank’s policies and procedures by not properly verifying all items that made up the total figures and did not ensure their accuracy.</w:t>
      </w:r>
    </w:p>
    <w:p w14:paraId="24BAEF45" w14:textId="77777777" w:rsidR="003569AE" w:rsidRPr="00630179" w:rsidRDefault="003569AE" w:rsidP="00D92C63">
      <w:pPr>
        <w:pStyle w:val="ListParagraph"/>
        <w:spacing w:line="480" w:lineRule="auto"/>
        <w:rPr>
          <w:rFonts w:ascii="Century Gothic" w:hAnsi="Century Gothic"/>
          <w:sz w:val="24"/>
          <w:szCs w:val="24"/>
        </w:rPr>
      </w:pPr>
    </w:p>
    <w:p w14:paraId="302C6461" w14:textId="0047EE31" w:rsidR="003A79D1" w:rsidRDefault="003A67CB" w:rsidP="003A79D1">
      <w:pPr>
        <w:pStyle w:val="ListParagraph"/>
        <w:numPr>
          <w:ilvl w:val="0"/>
          <w:numId w:val="1"/>
        </w:numPr>
        <w:spacing w:line="480" w:lineRule="auto"/>
        <w:jc w:val="both"/>
        <w:rPr>
          <w:rFonts w:ascii="Century Gothic" w:hAnsi="Century Gothic"/>
          <w:sz w:val="24"/>
          <w:szCs w:val="24"/>
        </w:rPr>
      </w:pPr>
      <w:r w:rsidRPr="003A67CB">
        <w:rPr>
          <w:rFonts w:ascii="Century Gothic" w:hAnsi="Century Gothic"/>
          <w:sz w:val="24"/>
          <w:szCs w:val="24"/>
        </w:rPr>
        <w:t>T</w:t>
      </w:r>
      <w:r w:rsidR="00417D1F">
        <w:rPr>
          <w:rFonts w:ascii="Century Gothic" w:hAnsi="Century Gothic"/>
          <w:sz w:val="24"/>
          <w:szCs w:val="24"/>
        </w:rPr>
        <w:t xml:space="preserve">he Respondent </w:t>
      </w:r>
      <w:r w:rsidRPr="003A67CB">
        <w:rPr>
          <w:rFonts w:ascii="Century Gothic" w:hAnsi="Century Gothic"/>
          <w:sz w:val="24"/>
          <w:szCs w:val="24"/>
        </w:rPr>
        <w:t xml:space="preserve">conducted internal audit investigations regarding fraudulent transactions and withdrawals from its cash vault. These investigations uncovered that US$75,000.00 had been unlawfully taken from the Bank’s vault by vault co-custodian Kudakwashe Benza. The amount was later recovered from Mr. Benza’s residence. Despite </w:t>
      </w:r>
      <w:r w:rsidR="00417D1F">
        <w:rPr>
          <w:rFonts w:ascii="Century Gothic" w:hAnsi="Century Gothic"/>
          <w:sz w:val="24"/>
          <w:szCs w:val="24"/>
        </w:rPr>
        <w:t>the Appellant’s</w:t>
      </w:r>
      <w:r w:rsidRPr="003A67CB">
        <w:rPr>
          <w:rFonts w:ascii="Century Gothic" w:hAnsi="Century Gothic"/>
          <w:sz w:val="24"/>
          <w:szCs w:val="24"/>
        </w:rPr>
        <w:t xml:space="preserve"> position as Senior Manager and his responsibilities, the </w:t>
      </w:r>
      <w:r w:rsidR="00417D1F">
        <w:rPr>
          <w:rFonts w:ascii="Century Gothic" w:hAnsi="Century Gothic"/>
          <w:sz w:val="24"/>
          <w:szCs w:val="24"/>
        </w:rPr>
        <w:t>Appellant</w:t>
      </w:r>
      <w:r w:rsidRPr="003A67CB">
        <w:rPr>
          <w:rFonts w:ascii="Century Gothic" w:hAnsi="Century Gothic"/>
          <w:sz w:val="24"/>
          <w:szCs w:val="24"/>
        </w:rPr>
        <w:t xml:space="preserve"> </w:t>
      </w:r>
      <w:r w:rsidR="00D9298A">
        <w:rPr>
          <w:rFonts w:ascii="Century Gothic" w:hAnsi="Century Gothic"/>
          <w:sz w:val="24"/>
          <w:szCs w:val="24"/>
        </w:rPr>
        <w:t xml:space="preserve">did not </w:t>
      </w:r>
      <w:r w:rsidRPr="003A67CB">
        <w:rPr>
          <w:rFonts w:ascii="Century Gothic" w:hAnsi="Century Gothic"/>
          <w:sz w:val="24"/>
          <w:szCs w:val="24"/>
        </w:rPr>
        <w:t>take any action against his subordinate(s</w:t>
      </w:r>
      <w:r w:rsidR="00D9298A">
        <w:rPr>
          <w:rFonts w:ascii="Century Gothic" w:hAnsi="Century Gothic"/>
          <w:sz w:val="24"/>
          <w:szCs w:val="24"/>
        </w:rPr>
        <w:t>). This failure</w:t>
      </w:r>
      <w:r w:rsidRPr="003A67CB">
        <w:rPr>
          <w:rFonts w:ascii="Century Gothic" w:hAnsi="Century Gothic"/>
          <w:sz w:val="24"/>
          <w:szCs w:val="24"/>
        </w:rPr>
        <w:t xml:space="preserve"> directly </w:t>
      </w:r>
      <w:r w:rsidR="00D9298A" w:rsidRPr="003A67CB">
        <w:rPr>
          <w:rFonts w:ascii="Century Gothic" w:hAnsi="Century Gothic"/>
          <w:sz w:val="24"/>
          <w:szCs w:val="24"/>
        </w:rPr>
        <w:t>violate</w:t>
      </w:r>
      <w:r w:rsidR="00D9298A">
        <w:rPr>
          <w:rFonts w:ascii="Century Gothic" w:hAnsi="Century Gothic"/>
          <w:sz w:val="24"/>
          <w:szCs w:val="24"/>
        </w:rPr>
        <w:t>d</w:t>
      </w:r>
      <w:r w:rsidRPr="003A67CB">
        <w:rPr>
          <w:rFonts w:ascii="Century Gothic" w:hAnsi="Century Gothic"/>
          <w:sz w:val="24"/>
          <w:szCs w:val="24"/>
        </w:rPr>
        <w:t xml:space="preserve"> clauses 3.1 of his Job Description</w:t>
      </w:r>
      <w:r w:rsidR="0026118A">
        <w:rPr>
          <w:rFonts w:ascii="Century Gothic" w:hAnsi="Century Gothic"/>
          <w:sz w:val="24"/>
          <w:szCs w:val="24"/>
        </w:rPr>
        <w:t>,</w:t>
      </w:r>
      <w:r w:rsidR="00D9298A">
        <w:rPr>
          <w:rFonts w:ascii="Century Gothic" w:hAnsi="Century Gothic"/>
          <w:sz w:val="24"/>
          <w:szCs w:val="24"/>
        </w:rPr>
        <w:t xml:space="preserve"> which say that</w:t>
      </w:r>
      <w:r w:rsidR="00797759">
        <w:rPr>
          <w:rFonts w:ascii="Century Gothic" w:hAnsi="Century Gothic"/>
          <w:sz w:val="24"/>
          <w:szCs w:val="24"/>
        </w:rPr>
        <w:t>:</w:t>
      </w:r>
    </w:p>
    <w:p w14:paraId="2B0D22F9" w14:textId="77777777" w:rsidR="003A79D1" w:rsidRPr="003A79D1" w:rsidRDefault="003A79D1" w:rsidP="003A79D1">
      <w:pPr>
        <w:pStyle w:val="ListParagraph"/>
        <w:rPr>
          <w:rFonts w:ascii="Century Gothic" w:hAnsi="Century Gothic"/>
          <w:sz w:val="24"/>
          <w:szCs w:val="24"/>
        </w:rPr>
      </w:pPr>
    </w:p>
    <w:p w14:paraId="4E8DA559" w14:textId="4F48FF74" w:rsidR="003A79D1" w:rsidRPr="003A79D1" w:rsidRDefault="003A79D1" w:rsidP="003A79D1">
      <w:pPr>
        <w:pStyle w:val="ListParagraph"/>
        <w:spacing w:line="480" w:lineRule="auto"/>
        <w:ind w:left="1440"/>
        <w:jc w:val="both"/>
        <w:rPr>
          <w:rFonts w:ascii="Century Gothic" w:hAnsi="Century Gothic"/>
          <w:sz w:val="24"/>
          <w:szCs w:val="24"/>
        </w:rPr>
      </w:pPr>
      <w:r>
        <w:rPr>
          <w:rFonts w:ascii="Century Gothic" w:hAnsi="Century Gothic"/>
          <w:sz w:val="24"/>
          <w:szCs w:val="24"/>
        </w:rPr>
        <w:t xml:space="preserve">“3.1 </w:t>
      </w:r>
      <w:r w:rsidRPr="003A79D1">
        <w:rPr>
          <w:rFonts w:ascii="Century Gothic" w:hAnsi="Century Gothic"/>
          <w:b/>
          <w:bCs/>
          <w:sz w:val="24"/>
          <w:szCs w:val="24"/>
        </w:rPr>
        <w:t>Resource Management:</w:t>
      </w:r>
    </w:p>
    <w:p w14:paraId="0C9275A0" w14:textId="77777777" w:rsidR="00797759" w:rsidRPr="00797759" w:rsidRDefault="00797759" w:rsidP="00797759">
      <w:pPr>
        <w:pStyle w:val="ListParagraph"/>
        <w:rPr>
          <w:rFonts w:ascii="Century Gothic" w:hAnsi="Century Gothic"/>
          <w:sz w:val="24"/>
          <w:szCs w:val="24"/>
        </w:rPr>
      </w:pPr>
    </w:p>
    <w:p w14:paraId="541A35E5" w14:textId="3E7CE161" w:rsidR="00797759" w:rsidRPr="0026118A" w:rsidRDefault="00196784" w:rsidP="0026118A">
      <w:pPr>
        <w:pStyle w:val="ListParagraph"/>
        <w:numPr>
          <w:ilvl w:val="0"/>
          <w:numId w:val="7"/>
        </w:numPr>
        <w:spacing w:line="360" w:lineRule="auto"/>
        <w:jc w:val="both"/>
        <w:rPr>
          <w:rFonts w:ascii="Century Gothic" w:hAnsi="Century Gothic"/>
        </w:rPr>
      </w:pPr>
      <w:r w:rsidRPr="0026118A">
        <w:rPr>
          <w:rFonts w:ascii="Century Gothic" w:hAnsi="Century Gothic"/>
        </w:rPr>
        <w:t>Provide input to Branch Managers to put in place meaningful BSC for Branch Operations Teams</w:t>
      </w:r>
      <w:r w:rsidR="003A79D1">
        <w:rPr>
          <w:rFonts w:ascii="Century Gothic" w:hAnsi="Century Gothic"/>
        </w:rPr>
        <w:t>.</w:t>
      </w:r>
    </w:p>
    <w:p w14:paraId="6783F409" w14:textId="57DF10B7" w:rsidR="00196784" w:rsidRPr="0026118A" w:rsidRDefault="00196784" w:rsidP="0026118A">
      <w:pPr>
        <w:pStyle w:val="ListParagraph"/>
        <w:numPr>
          <w:ilvl w:val="0"/>
          <w:numId w:val="7"/>
        </w:numPr>
        <w:spacing w:line="360" w:lineRule="auto"/>
        <w:jc w:val="both"/>
        <w:rPr>
          <w:rFonts w:ascii="Century Gothic" w:hAnsi="Century Gothic"/>
        </w:rPr>
      </w:pPr>
      <w:r w:rsidRPr="0026118A">
        <w:rPr>
          <w:rFonts w:ascii="Century Gothic" w:hAnsi="Century Gothic"/>
        </w:rPr>
        <w:t>Provide input to ensure that performance reviews are done on time</w:t>
      </w:r>
      <w:r w:rsidR="003A79D1">
        <w:rPr>
          <w:rFonts w:ascii="Century Gothic" w:hAnsi="Century Gothic"/>
        </w:rPr>
        <w:t>.</w:t>
      </w:r>
    </w:p>
    <w:p w14:paraId="518E954A" w14:textId="23912B74" w:rsidR="00196784" w:rsidRPr="0026118A" w:rsidRDefault="00196784" w:rsidP="0026118A">
      <w:pPr>
        <w:pStyle w:val="ListParagraph"/>
        <w:numPr>
          <w:ilvl w:val="0"/>
          <w:numId w:val="7"/>
        </w:numPr>
        <w:spacing w:line="360" w:lineRule="auto"/>
        <w:jc w:val="both"/>
        <w:rPr>
          <w:rFonts w:ascii="Century Gothic" w:hAnsi="Century Gothic"/>
        </w:rPr>
      </w:pPr>
      <w:r w:rsidRPr="0026118A">
        <w:rPr>
          <w:rFonts w:ascii="Century Gothic" w:hAnsi="Century Gothic"/>
        </w:rPr>
        <w:t>Identify training needs for Branch Operations staff and ensure that raining is delivered</w:t>
      </w:r>
      <w:r w:rsidR="003A79D1">
        <w:rPr>
          <w:rFonts w:ascii="Century Gothic" w:hAnsi="Century Gothic"/>
        </w:rPr>
        <w:t>.</w:t>
      </w:r>
    </w:p>
    <w:p w14:paraId="70C4AD96" w14:textId="133CB4FE" w:rsidR="00196784" w:rsidRPr="0026118A" w:rsidRDefault="00196784" w:rsidP="0026118A">
      <w:pPr>
        <w:pStyle w:val="ListParagraph"/>
        <w:numPr>
          <w:ilvl w:val="0"/>
          <w:numId w:val="7"/>
        </w:numPr>
        <w:spacing w:line="360" w:lineRule="auto"/>
        <w:jc w:val="both"/>
        <w:rPr>
          <w:rFonts w:ascii="Century Gothic" w:hAnsi="Century Gothic"/>
        </w:rPr>
      </w:pPr>
      <w:r w:rsidRPr="0026118A">
        <w:rPr>
          <w:rFonts w:ascii="Century Gothic" w:hAnsi="Century Gothic"/>
        </w:rPr>
        <w:t>Liaise with other departments to promote team work</w:t>
      </w:r>
      <w:r w:rsidR="003A79D1">
        <w:rPr>
          <w:rFonts w:ascii="Century Gothic" w:hAnsi="Century Gothic"/>
        </w:rPr>
        <w:t>.</w:t>
      </w:r>
    </w:p>
    <w:p w14:paraId="49E9770E" w14:textId="1AF8426D" w:rsidR="00196784" w:rsidRPr="0026118A" w:rsidRDefault="00196784" w:rsidP="0026118A">
      <w:pPr>
        <w:pStyle w:val="ListParagraph"/>
        <w:numPr>
          <w:ilvl w:val="0"/>
          <w:numId w:val="7"/>
        </w:numPr>
        <w:spacing w:line="360" w:lineRule="auto"/>
        <w:jc w:val="both"/>
        <w:rPr>
          <w:rFonts w:ascii="Century Gothic" w:hAnsi="Century Gothic"/>
        </w:rPr>
      </w:pPr>
      <w:r w:rsidRPr="0026118A">
        <w:rPr>
          <w:rFonts w:ascii="Century Gothic" w:hAnsi="Century Gothic"/>
        </w:rPr>
        <w:t>Facilitate various Branch Operations forums</w:t>
      </w:r>
      <w:r w:rsidR="003A79D1">
        <w:rPr>
          <w:rFonts w:ascii="Century Gothic" w:hAnsi="Century Gothic"/>
        </w:rPr>
        <w:t>.</w:t>
      </w:r>
    </w:p>
    <w:p w14:paraId="6A03FA56" w14:textId="41191462" w:rsidR="00196784" w:rsidRPr="0026118A" w:rsidRDefault="00196784" w:rsidP="0026118A">
      <w:pPr>
        <w:pStyle w:val="ListParagraph"/>
        <w:numPr>
          <w:ilvl w:val="0"/>
          <w:numId w:val="7"/>
        </w:numPr>
        <w:spacing w:line="360" w:lineRule="auto"/>
        <w:jc w:val="both"/>
        <w:rPr>
          <w:rFonts w:ascii="Century Gothic" w:hAnsi="Century Gothic"/>
        </w:rPr>
      </w:pPr>
      <w:r w:rsidRPr="0026118A">
        <w:rPr>
          <w:rFonts w:ascii="Century Gothic" w:hAnsi="Century Gothic"/>
        </w:rPr>
        <w:t>Provide training and coaching to Branch Operating teams</w:t>
      </w:r>
      <w:r w:rsidR="003A79D1">
        <w:rPr>
          <w:rFonts w:ascii="Century Gothic" w:hAnsi="Century Gothic"/>
        </w:rPr>
        <w:t>.</w:t>
      </w:r>
    </w:p>
    <w:p w14:paraId="77137E6A" w14:textId="7A2FC3B2" w:rsidR="00196784" w:rsidRPr="0026118A" w:rsidRDefault="00196784" w:rsidP="0026118A">
      <w:pPr>
        <w:pStyle w:val="ListParagraph"/>
        <w:numPr>
          <w:ilvl w:val="0"/>
          <w:numId w:val="7"/>
        </w:numPr>
        <w:spacing w:line="360" w:lineRule="auto"/>
        <w:jc w:val="both"/>
        <w:rPr>
          <w:rFonts w:ascii="Century Gothic" w:hAnsi="Century Gothic"/>
        </w:rPr>
      </w:pPr>
      <w:r w:rsidRPr="0026118A">
        <w:rPr>
          <w:rFonts w:ascii="Century Gothic" w:hAnsi="Century Gothic"/>
        </w:rPr>
        <w:t>Ensure proper training and coaching to Branch Operations Teams</w:t>
      </w:r>
      <w:r w:rsidR="003A79D1">
        <w:rPr>
          <w:rFonts w:ascii="Century Gothic" w:hAnsi="Century Gothic"/>
        </w:rPr>
        <w:t>.</w:t>
      </w:r>
    </w:p>
    <w:p w14:paraId="7D9247CF" w14:textId="15738A8A" w:rsidR="00196784" w:rsidRPr="0026118A" w:rsidRDefault="00196784" w:rsidP="0026118A">
      <w:pPr>
        <w:pStyle w:val="ListParagraph"/>
        <w:numPr>
          <w:ilvl w:val="0"/>
          <w:numId w:val="7"/>
        </w:numPr>
        <w:spacing w:line="360" w:lineRule="auto"/>
        <w:jc w:val="both"/>
        <w:rPr>
          <w:rFonts w:ascii="Century Gothic" w:hAnsi="Century Gothic"/>
        </w:rPr>
      </w:pPr>
      <w:r w:rsidRPr="0026118A">
        <w:rPr>
          <w:rFonts w:ascii="Century Gothic" w:hAnsi="Century Gothic"/>
        </w:rPr>
        <w:t>Attend to all Central Bank meetings in relation to Cash Management</w:t>
      </w:r>
      <w:r w:rsidR="003A79D1">
        <w:rPr>
          <w:rFonts w:ascii="Century Gothic" w:hAnsi="Century Gothic"/>
        </w:rPr>
        <w:t>.</w:t>
      </w:r>
    </w:p>
    <w:p w14:paraId="1436B5E5" w14:textId="6B332405" w:rsidR="00196784" w:rsidRPr="0026118A" w:rsidRDefault="00196784" w:rsidP="0026118A">
      <w:pPr>
        <w:pStyle w:val="ListParagraph"/>
        <w:numPr>
          <w:ilvl w:val="0"/>
          <w:numId w:val="7"/>
        </w:numPr>
        <w:spacing w:line="360" w:lineRule="auto"/>
        <w:jc w:val="both"/>
        <w:rPr>
          <w:rFonts w:ascii="Century Gothic" w:hAnsi="Century Gothic"/>
        </w:rPr>
      </w:pPr>
      <w:r w:rsidRPr="0026118A">
        <w:rPr>
          <w:rFonts w:ascii="Century Gothic" w:hAnsi="Century Gothic"/>
        </w:rPr>
        <w:t>Facilitate meetings and ensure that minutes are</w:t>
      </w:r>
      <w:r w:rsidR="0026118A" w:rsidRPr="0026118A">
        <w:rPr>
          <w:rFonts w:ascii="Century Gothic" w:hAnsi="Century Gothic"/>
        </w:rPr>
        <w:t xml:space="preserve"> </w:t>
      </w:r>
      <w:r w:rsidRPr="0026118A">
        <w:rPr>
          <w:rFonts w:ascii="Century Gothic" w:hAnsi="Century Gothic"/>
        </w:rPr>
        <w:t>kept and actions foll</w:t>
      </w:r>
      <w:r w:rsidR="0026118A" w:rsidRPr="0026118A">
        <w:rPr>
          <w:rFonts w:ascii="Century Gothic" w:hAnsi="Century Gothic"/>
        </w:rPr>
        <w:t>ow</w:t>
      </w:r>
      <w:r w:rsidRPr="0026118A">
        <w:rPr>
          <w:rFonts w:ascii="Century Gothic" w:hAnsi="Century Gothic"/>
        </w:rPr>
        <w:t>ed up.</w:t>
      </w:r>
    </w:p>
    <w:p w14:paraId="500C8220" w14:textId="0C9681D0" w:rsidR="00196784" w:rsidRPr="0026118A" w:rsidRDefault="0026118A" w:rsidP="0026118A">
      <w:pPr>
        <w:pStyle w:val="ListParagraph"/>
        <w:numPr>
          <w:ilvl w:val="0"/>
          <w:numId w:val="7"/>
        </w:numPr>
        <w:spacing w:line="360" w:lineRule="auto"/>
        <w:jc w:val="both"/>
        <w:rPr>
          <w:rFonts w:ascii="Century Gothic" w:hAnsi="Century Gothic"/>
        </w:rPr>
      </w:pPr>
      <w:r w:rsidRPr="0026118A">
        <w:rPr>
          <w:rFonts w:ascii="Century Gothic" w:hAnsi="Century Gothic"/>
        </w:rPr>
        <w:t>Responsible for insuring that adequate and relevant skills are retained</w:t>
      </w:r>
      <w:r w:rsidR="003A79D1">
        <w:rPr>
          <w:rFonts w:ascii="Century Gothic" w:hAnsi="Century Gothic"/>
        </w:rPr>
        <w:t>.</w:t>
      </w:r>
    </w:p>
    <w:p w14:paraId="1781EEA2" w14:textId="5C22AD02" w:rsidR="0026118A" w:rsidRPr="0026118A" w:rsidRDefault="0026118A" w:rsidP="0026118A">
      <w:pPr>
        <w:pStyle w:val="ListParagraph"/>
        <w:numPr>
          <w:ilvl w:val="0"/>
          <w:numId w:val="7"/>
        </w:numPr>
        <w:spacing w:line="360" w:lineRule="auto"/>
        <w:jc w:val="both"/>
        <w:rPr>
          <w:rFonts w:ascii="Century Gothic" w:hAnsi="Century Gothic"/>
        </w:rPr>
      </w:pPr>
      <w:r w:rsidRPr="0026118A">
        <w:rPr>
          <w:rFonts w:ascii="Century Gothic" w:hAnsi="Century Gothic"/>
        </w:rPr>
        <w:t>Ensure that there is “On the job training” in the branches.</w:t>
      </w:r>
    </w:p>
    <w:p w14:paraId="6A1DC5B4" w14:textId="05FA6373" w:rsidR="0026118A" w:rsidRPr="0026118A" w:rsidRDefault="0026118A" w:rsidP="0026118A">
      <w:pPr>
        <w:pStyle w:val="ListParagraph"/>
        <w:numPr>
          <w:ilvl w:val="0"/>
          <w:numId w:val="7"/>
        </w:numPr>
        <w:spacing w:line="360" w:lineRule="auto"/>
        <w:jc w:val="both"/>
        <w:rPr>
          <w:rFonts w:ascii="Century Gothic" w:hAnsi="Century Gothic"/>
        </w:rPr>
      </w:pPr>
      <w:r w:rsidRPr="0026118A">
        <w:rPr>
          <w:rFonts w:ascii="Century Gothic" w:hAnsi="Century Gothic"/>
        </w:rPr>
        <w:t>Achieve resource flexibility through cross training and job rotations.</w:t>
      </w:r>
    </w:p>
    <w:p w14:paraId="521EC644" w14:textId="0C4D1040" w:rsidR="0026118A" w:rsidRDefault="0026118A" w:rsidP="0026118A">
      <w:pPr>
        <w:pStyle w:val="ListParagraph"/>
        <w:numPr>
          <w:ilvl w:val="0"/>
          <w:numId w:val="7"/>
        </w:numPr>
        <w:spacing w:line="360" w:lineRule="auto"/>
        <w:jc w:val="both"/>
        <w:rPr>
          <w:rFonts w:ascii="Century Gothic" w:hAnsi="Century Gothic"/>
        </w:rPr>
      </w:pPr>
      <w:r w:rsidRPr="0026118A">
        <w:rPr>
          <w:rFonts w:ascii="Century Gothic" w:hAnsi="Century Gothic"/>
        </w:rPr>
        <w:t>Responsible for staff motivation and discipline.</w:t>
      </w:r>
    </w:p>
    <w:p w14:paraId="2C0F2E0C" w14:textId="243A4DB0" w:rsidR="003A79D1" w:rsidRDefault="003A79D1" w:rsidP="003A79D1">
      <w:pPr>
        <w:tabs>
          <w:tab w:val="left" w:pos="284"/>
          <w:tab w:val="left" w:pos="426"/>
        </w:tabs>
        <w:spacing w:line="360" w:lineRule="auto"/>
        <w:jc w:val="both"/>
        <w:rPr>
          <w:rFonts w:ascii="Century Gothic" w:hAnsi="Century Gothic"/>
        </w:rPr>
      </w:pPr>
      <w:r>
        <w:rPr>
          <w:rFonts w:ascii="Century Gothic" w:hAnsi="Century Gothic"/>
        </w:rPr>
        <w:t xml:space="preserve">            </w:t>
      </w:r>
      <w:r w:rsidRPr="003A79D1">
        <w:rPr>
          <w:rFonts w:ascii="Century Gothic" w:hAnsi="Century Gothic"/>
        </w:rPr>
        <w:t>and 5.1a</w:t>
      </w:r>
      <w:r>
        <w:rPr>
          <w:rFonts w:ascii="Century Gothic" w:hAnsi="Century Gothic"/>
        </w:rPr>
        <w:t xml:space="preserve">, which also states that: </w:t>
      </w:r>
    </w:p>
    <w:p w14:paraId="572D2788" w14:textId="4F35D805" w:rsidR="003A79D1" w:rsidRDefault="003A79D1" w:rsidP="003A79D1">
      <w:pPr>
        <w:pStyle w:val="ListParagraph"/>
        <w:numPr>
          <w:ilvl w:val="0"/>
          <w:numId w:val="8"/>
        </w:numPr>
        <w:spacing w:line="360" w:lineRule="auto"/>
        <w:jc w:val="both"/>
        <w:rPr>
          <w:rFonts w:ascii="Century Gothic" w:hAnsi="Century Gothic"/>
          <w:b/>
          <w:bCs/>
        </w:rPr>
      </w:pPr>
      <w:r w:rsidRPr="003A79D1">
        <w:rPr>
          <w:rFonts w:ascii="Century Gothic" w:hAnsi="Century Gothic"/>
          <w:b/>
          <w:bCs/>
        </w:rPr>
        <w:t>SUBODINATES:</w:t>
      </w:r>
    </w:p>
    <w:p w14:paraId="7BEE7739" w14:textId="082D0023" w:rsidR="003A79D1" w:rsidRPr="003A79D1" w:rsidRDefault="003A79D1" w:rsidP="003A79D1">
      <w:pPr>
        <w:pStyle w:val="ListParagraph"/>
        <w:spacing w:line="360" w:lineRule="auto"/>
        <w:ind w:left="1446"/>
        <w:jc w:val="both"/>
        <w:rPr>
          <w:rFonts w:ascii="Century Gothic" w:hAnsi="Century Gothic"/>
        </w:rPr>
      </w:pPr>
      <w:r w:rsidRPr="003A79D1">
        <w:rPr>
          <w:rFonts w:ascii="Century Gothic" w:hAnsi="Century Gothic"/>
        </w:rPr>
        <w:t>-Manage subordinates functionally and disciplinary</w:t>
      </w:r>
      <w:r>
        <w:rPr>
          <w:rFonts w:ascii="Century Gothic" w:hAnsi="Century Gothic"/>
        </w:rPr>
        <w:t>.”</w:t>
      </w:r>
    </w:p>
    <w:p w14:paraId="5EA49949" w14:textId="77777777" w:rsidR="003A79D1" w:rsidRPr="003A79D1" w:rsidRDefault="003A79D1" w:rsidP="003A79D1">
      <w:pPr>
        <w:spacing w:line="360" w:lineRule="auto"/>
        <w:jc w:val="both"/>
        <w:rPr>
          <w:rFonts w:ascii="Century Gothic" w:hAnsi="Century Gothic"/>
        </w:rPr>
      </w:pPr>
    </w:p>
    <w:p w14:paraId="0C344122" w14:textId="3A41A3D9" w:rsidR="003569AE" w:rsidRPr="006F6BCD" w:rsidRDefault="00393301" w:rsidP="00D92C63">
      <w:pPr>
        <w:pStyle w:val="ListParagraph"/>
        <w:spacing w:line="480" w:lineRule="auto"/>
        <w:rPr>
          <w:rFonts w:ascii="Century Gothic" w:hAnsi="Century Gothic"/>
          <w:sz w:val="24"/>
          <w:szCs w:val="24"/>
        </w:rPr>
      </w:pPr>
      <w:r>
        <w:rPr>
          <w:rFonts w:ascii="Century Gothic" w:hAnsi="Century Gothic"/>
          <w:sz w:val="24"/>
          <w:szCs w:val="24"/>
        </w:rPr>
        <w:t xml:space="preserve"> </w:t>
      </w:r>
      <w:r w:rsidR="0006099F">
        <w:rPr>
          <w:rFonts w:ascii="Century Gothic" w:hAnsi="Century Gothic"/>
          <w:sz w:val="24"/>
          <w:szCs w:val="24"/>
        </w:rPr>
        <w:t xml:space="preserve"> </w:t>
      </w:r>
    </w:p>
    <w:p w14:paraId="649726F0" w14:textId="4238E241" w:rsidR="00102C60" w:rsidRDefault="0006099F" w:rsidP="00D92C63">
      <w:pPr>
        <w:pStyle w:val="ListParagraph"/>
        <w:numPr>
          <w:ilvl w:val="0"/>
          <w:numId w:val="1"/>
        </w:numPr>
        <w:spacing w:after="0" w:line="480" w:lineRule="auto"/>
        <w:jc w:val="both"/>
        <w:rPr>
          <w:rFonts w:ascii="Century Gothic" w:hAnsi="Century Gothic"/>
          <w:sz w:val="24"/>
          <w:szCs w:val="24"/>
        </w:rPr>
      </w:pPr>
      <w:r w:rsidRPr="0006099F">
        <w:rPr>
          <w:rFonts w:ascii="Century Gothic" w:hAnsi="Century Gothic"/>
          <w:sz w:val="24"/>
          <w:szCs w:val="24"/>
        </w:rPr>
        <w:t xml:space="preserve">Investigations </w:t>
      </w:r>
      <w:r w:rsidR="00064125">
        <w:rPr>
          <w:rFonts w:ascii="Century Gothic" w:hAnsi="Century Gothic"/>
          <w:sz w:val="24"/>
          <w:szCs w:val="24"/>
        </w:rPr>
        <w:t xml:space="preserve">were conducted and </w:t>
      </w:r>
      <w:r w:rsidRPr="0006099F">
        <w:rPr>
          <w:rFonts w:ascii="Century Gothic" w:hAnsi="Century Gothic"/>
          <w:sz w:val="24"/>
          <w:szCs w:val="24"/>
        </w:rPr>
        <w:t xml:space="preserve">revealed poor or insufficient implementation and oversight of </w:t>
      </w:r>
      <w:r w:rsidR="00413DA0" w:rsidRPr="00413DA0">
        <w:rPr>
          <w:rFonts w:ascii="Century Gothic" w:hAnsi="Century Gothic"/>
          <w:sz w:val="24"/>
          <w:szCs w:val="24"/>
        </w:rPr>
        <w:t>Central Cash Depot</w:t>
      </w:r>
      <w:r w:rsidR="00D9298A">
        <w:rPr>
          <w:rFonts w:ascii="Century Gothic" w:hAnsi="Century Gothic"/>
          <w:sz w:val="24"/>
          <w:szCs w:val="24"/>
        </w:rPr>
        <w:t>,</w:t>
      </w:r>
      <w:r w:rsidR="00413DA0">
        <w:rPr>
          <w:rFonts w:ascii="Century Gothic" w:hAnsi="Century Gothic"/>
          <w:sz w:val="24"/>
          <w:szCs w:val="24"/>
        </w:rPr>
        <w:t xml:space="preserve"> </w:t>
      </w:r>
      <w:r w:rsidR="00A80A13">
        <w:rPr>
          <w:rFonts w:ascii="Century Gothic" w:hAnsi="Century Gothic"/>
          <w:sz w:val="24"/>
          <w:szCs w:val="24"/>
        </w:rPr>
        <w:t>herein</w:t>
      </w:r>
      <w:r w:rsidR="00413DA0">
        <w:rPr>
          <w:rFonts w:ascii="Century Gothic" w:hAnsi="Century Gothic"/>
          <w:sz w:val="24"/>
          <w:szCs w:val="24"/>
        </w:rPr>
        <w:t xml:space="preserve"> after referred to as “</w:t>
      </w:r>
      <w:r w:rsidRPr="0006099F">
        <w:rPr>
          <w:rFonts w:ascii="Century Gothic" w:hAnsi="Century Gothic"/>
          <w:sz w:val="24"/>
          <w:szCs w:val="24"/>
        </w:rPr>
        <w:t>CCD</w:t>
      </w:r>
      <w:r w:rsidR="00413DA0">
        <w:rPr>
          <w:rFonts w:ascii="Century Gothic" w:hAnsi="Century Gothic"/>
          <w:sz w:val="24"/>
          <w:szCs w:val="24"/>
        </w:rPr>
        <w:t>”</w:t>
      </w:r>
      <w:r w:rsidRPr="0006099F">
        <w:rPr>
          <w:rFonts w:ascii="Century Gothic" w:hAnsi="Century Gothic"/>
          <w:sz w:val="24"/>
          <w:szCs w:val="24"/>
        </w:rPr>
        <w:t xml:space="preserve"> controls and procedures within the Bank. This failure includ</w:t>
      </w:r>
      <w:r w:rsidR="00D9298A">
        <w:rPr>
          <w:rFonts w:ascii="Century Gothic" w:hAnsi="Century Gothic"/>
          <w:sz w:val="24"/>
          <w:szCs w:val="24"/>
        </w:rPr>
        <w:t>ed</w:t>
      </w:r>
      <w:r w:rsidR="00102C60">
        <w:rPr>
          <w:rFonts w:ascii="Century Gothic" w:hAnsi="Century Gothic"/>
          <w:sz w:val="24"/>
          <w:szCs w:val="24"/>
        </w:rPr>
        <w:t>:</w:t>
      </w:r>
    </w:p>
    <w:p w14:paraId="15BDBAE7" w14:textId="77777777" w:rsidR="00102C60" w:rsidRPr="00102C60" w:rsidRDefault="00102C60" w:rsidP="00D92C63">
      <w:pPr>
        <w:pStyle w:val="ListParagraph"/>
        <w:spacing w:line="480" w:lineRule="auto"/>
        <w:rPr>
          <w:rFonts w:ascii="Century Gothic" w:hAnsi="Century Gothic"/>
          <w:sz w:val="24"/>
          <w:szCs w:val="24"/>
        </w:rPr>
      </w:pPr>
    </w:p>
    <w:p w14:paraId="6BAC185E" w14:textId="77777777" w:rsidR="00102C60" w:rsidRDefault="0006099F" w:rsidP="00D92C63">
      <w:pPr>
        <w:pStyle w:val="ListParagraph"/>
        <w:numPr>
          <w:ilvl w:val="0"/>
          <w:numId w:val="4"/>
        </w:numPr>
        <w:spacing w:after="0" w:line="480" w:lineRule="auto"/>
        <w:jc w:val="both"/>
        <w:rPr>
          <w:rFonts w:ascii="Century Gothic" w:hAnsi="Century Gothic"/>
          <w:sz w:val="24"/>
          <w:szCs w:val="24"/>
        </w:rPr>
      </w:pPr>
      <w:r w:rsidRPr="0006099F">
        <w:rPr>
          <w:rFonts w:ascii="Century Gothic" w:hAnsi="Century Gothic"/>
          <w:sz w:val="24"/>
          <w:szCs w:val="24"/>
        </w:rPr>
        <w:t xml:space="preserve">the falsification of the Vault Register, omissions from the register, </w:t>
      </w:r>
    </w:p>
    <w:p w14:paraId="76ECDCF5" w14:textId="77777777" w:rsidR="00102C60" w:rsidRDefault="0006099F" w:rsidP="00D92C63">
      <w:pPr>
        <w:pStyle w:val="ListParagraph"/>
        <w:numPr>
          <w:ilvl w:val="0"/>
          <w:numId w:val="4"/>
        </w:numPr>
        <w:spacing w:after="0" w:line="480" w:lineRule="auto"/>
        <w:jc w:val="both"/>
        <w:rPr>
          <w:rFonts w:ascii="Century Gothic" w:hAnsi="Century Gothic"/>
          <w:sz w:val="24"/>
          <w:szCs w:val="24"/>
        </w:rPr>
      </w:pPr>
      <w:r w:rsidRPr="0006099F">
        <w:rPr>
          <w:rFonts w:ascii="Century Gothic" w:hAnsi="Century Gothic"/>
          <w:sz w:val="24"/>
          <w:szCs w:val="24"/>
        </w:rPr>
        <w:t xml:space="preserve">cash movements without inter-teller tickets, </w:t>
      </w:r>
    </w:p>
    <w:p w14:paraId="3DB630F7" w14:textId="11815BA9" w:rsidR="00102C60" w:rsidRDefault="0006099F" w:rsidP="00D92C63">
      <w:pPr>
        <w:pStyle w:val="ListParagraph"/>
        <w:numPr>
          <w:ilvl w:val="0"/>
          <w:numId w:val="4"/>
        </w:numPr>
        <w:spacing w:after="0" w:line="480" w:lineRule="auto"/>
        <w:jc w:val="both"/>
        <w:rPr>
          <w:rFonts w:ascii="Century Gothic" w:hAnsi="Century Gothic"/>
          <w:sz w:val="24"/>
          <w:szCs w:val="24"/>
        </w:rPr>
      </w:pPr>
      <w:r w:rsidRPr="0006099F">
        <w:rPr>
          <w:rFonts w:ascii="Century Gothic" w:hAnsi="Century Gothic"/>
          <w:sz w:val="24"/>
          <w:szCs w:val="24"/>
        </w:rPr>
        <w:t xml:space="preserve">instances where employees in the Vault took high-denomination notes and left the CCD with the cash hidden in their pockets, as well as swapping higher denomination notes for lower ones, harming the Bank. </w:t>
      </w:r>
    </w:p>
    <w:p w14:paraId="404301F4" w14:textId="77777777" w:rsidR="00102C60" w:rsidRDefault="0006099F" w:rsidP="00D92C63">
      <w:pPr>
        <w:pStyle w:val="ListParagraph"/>
        <w:numPr>
          <w:ilvl w:val="0"/>
          <w:numId w:val="4"/>
        </w:numPr>
        <w:spacing w:after="0" w:line="480" w:lineRule="auto"/>
        <w:jc w:val="both"/>
        <w:rPr>
          <w:rFonts w:ascii="Century Gothic" w:hAnsi="Century Gothic"/>
          <w:sz w:val="24"/>
          <w:szCs w:val="24"/>
        </w:rPr>
      </w:pPr>
      <w:r w:rsidRPr="0006099F">
        <w:rPr>
          <w:rFonts w:ascii="Century Gothic" w:hAnsi="Century Gothic"/>
          <w:sz w:val="24"/>
          <w:szCs w:val="24"/>
        </w:rPr>
        <w:t xml:space="preserve">improper record-keeping of soiled notes, with no documentation of their denominations, </w:t>
      </w:r>
    </w:p>
    <w:p w14:paraId="7A788A43" w14:textId="11A6DE47" w:rsidR="00102C60" w:rsidRDefault="0006099F" w:rsidP="00D92C63">
      <w:pPr>
        <w:pStyle w:val="ListParagraph"/>
        <w:numPr>
          <w:ilvl w:val="0"/>
          <w:numId w:val="4"/>
        </w:numPr>
        <w:spacing w:after="0" w:line="480" w:lineRule="auto"/>
        <w:jc w:val="both"/>
        <w:rPr>
          <w:rFonts w:ascii="Century Gothic" w:hAnsi="Century Gothic"/>
          <w:sz w:val="24"/>
          <w:szCs w:val="24"/>
        </w:rPr>
      </w:pPr>
      <w:r w:rsidRPr="0006099F">
        <w:rPr>
          <w:rFonts w:ascii="Century Gothic" w:hAnsi="Century Gothic"/>
          <w:sz w:val="24"/>
          <w:szCs w:val="24"/>
        </w:rPr>
        <w:t>unofficial swap deals, or arbitrage related to the</w:t>
      </w:r>
      <w:r w:rsidR="00D9298A">
        <w:rPr>
          <w:rFonts w:ascii="Century Gothic" w:hAnsi="Century Gothic"/>
          <w:sz w:val="24"/>
          <w:szCs w:val="24"/>
        </w:rPr>
        <w:t xml:space="preserve"> said</w:t>
      </w:r>
      <w:r w:rsidRPr="0006099F">
        <w:rPr>
          <w:rFonts w:ascii="Century Gothic" w:hAnsi="Century Gothic"/>
          <w:sz w:val="24"/>
          <w:szCs w:val="24"/>
        </w:rPr>
        <w:t xml:space="preserve"> notes, </w:t>
      </w:r>
    </w:p>
    <w:p w14:paraId="4F61F895" w14:textId="78B444AD" w:rsidR="00102C60" w:rsidRPr="00A8068F" w:rsidRDefault="0006099F" w:rsidP="00A8068F">
      <w:pPr>
        <w:pStyle w:val="ListParagraph"/>
        <w:numPr>
          <w:ilvl w:val="0"/>
          <w:numId w:val="4"/>
        </w:numPr>
        <w:spacing w:after="0" w:line="480" w:lineRule="auto"/>
        <w:jc w:val="both"/>
        <w:rPr>
          <w:rFonts w:ascii="Century Gothic" w:hAnsi="Century Gothic"/>
          <w:sz w:val="24"/>
          <w:szCs w:val="24"/>
        </w:rPr>
      </w:pPr>
      <w:r w:rsidRPr="0006099F">
        <w:rPr>
          <w:rFonts w:ascii="Century Gothic" w:hAnsi="Century Gothic"/>
          <w:sz w:val="24"/>
          <w:szCs w:val="24"/>
        </w:rPr>
        <w:t xml:space="preserve">sharing or misuse of sensitive passwords among staff, highlighting general weaknesses in CCD controls, </w:t>
      </w:r>
      <w:r w:rsidR="00D9298A">
        <w:rPr>
          <w:rFonts w:ascii="Century Gothic" w:hAnsi="Century Gothic"/>
          <w:sz w:val="24"/>
          <w:szCs w:val="24"/>
        </w:rPr>
        <w:t>and</w:t>
      </w:r>
      <w:r w:rsidRPr="0006099F">
        <w:rPr>
          <w:rFonts w:ascii="Century Gothic" w:hAnsi="Century Gothic"/>
          <w:sz w:val="24"/>
          <w:szCs w:val="24"/>
        </w:rPr>
        <w:t xml:space="preserve"> the unlawful removal of cash from the Vault.</w:t>
      </w:r>
    </w:p>
    <w:p w14:paraId="62516E3E" w14:textId="77777777" w:rsidR="00102C60" w:rsidRDefault="00102C60" w:rsidP="00D92C63">
      <w:pPr>
        <w:pStyle w:val="ListParagraph"/>
        <w:spacing w:after="0" w:line="480" w:lineRule="auto"/>
        <w:ind w:left="1500"/>
        <w:jc w:val="both"/>
        <w:rPr>
          <w:rFonts w:ascii="Century Gothic" w:hAnsi="Century Gothic"/>
          <w:sz w:val="24"/>
          <w:szCs w:val="24"/>
        </w:rPr>
      </w:pPr>
    </w:p>
    <w:p w14:paraId="4BB35F16" w14:textId="0C34BA7A" w:rsidR="003569AE" w:rsidRPr="00102C60" w:rsidRDefault="00735D5B" w:rsidP="00D92C63">
      <w:pPr>
        <w:pStyle w:val="ListParagraph"/>
        <w:numPr>
          <w:ilvl w:val="0"/>
          <w:numId w:val="1"/>
        </w:numPr>
        <w:spacing w:after="0" w:line="480" w:lineRule="auto"/>
        <w:jc w:val="both"/>
        <w:rPr>
          <w:rFonts w:ascii="Century Gothic" w:hAnsi="Century Gothic"/>
          <w:sz w:val="24"/>
          <w:szCs w:val="24"/>
        </w:rPr>
      </w:pPr>
      <w:r w:rsidRPr="00102C60">
        <w:rPr>
          <w:rFonts w:ascii="Century Gothic" w:hAnsi="Century Gothic"/>
          <w:sz w:val="24"/>
          <w:szCs w:val="24"/>
        </w:rPr>
        <w:t xml:space="preserve">It was alleged that </w:t>
      </w:r>
      <w:r w:rsidR="00102C60">
        <w:rPr>
          <w:rFonts w:ascii="Century Gothic" w:hAnsi="Century Gothic"/>
          <w:sz w:val="24"/>
          <w:szCs w:val="24"/>
        </w:rPr>
        <w:t>these</w:t>
      </w:r>
      <w:r w:rsidR="0006099F" w:rsidRPr="00102C60">
        <w:rPr>
          <w:rFonts w:ascii="Century Gothic" w:hAnsi="Century Gothic"/>
          <w:sz w:val="24"/>
          <w:szCs w:val="24"/>
        </w:rPr>
        <w:t xml:space="preserve"> activities stemmed from the </w:t>
      </w:r>
      <w:r w:rsidR="00B3264A" w:rsidRPr="00102C60">
        <w:rPr>
          <w:rFonts w:ascii="Century Gothic" w:hAnsi="Century Gothic"/>
          <w:sz w:val="24"/>
          <w:szCs w:val="24"/>
        </w:rPr>
        <w:t>Appellant</w:t>
      </w:r>
      <w:r w:rsidR="0006099F" w:rsidRPr="00102C60">
        <w:rPr>
          <w:rFonts w:ascii="Century Gothic" w:hAnsi="Century Gothic"/>
          <w:sz w:val="24"/>
          <w:szCs w:val="24"/>
        </w:rPr>
        <w:t xml:space="preserve">’s failure to ensure adherence to proper procedures and processes in CCD management, as outlined in </w:t>
      </w:r>
      <w:r w:rsidR="00B3264A" w:rsidRPr="00102C60">
        <w:rPr>
          <w:rFonts w:ascii="Century Gothic" w:hAnsi="Century Gothic"/>
          <w:sz w:val="24"/>
          <w:szCs w:val="24"/>
        </w:rPr>
        <w:t>his</w:t>
      </w:r>
      <w:r w:rsidR="0006099F" w:rsidRPr="00102C60">
        <w:rPr>
          <w:rFonts w:ascii="Century Gothic" w:hAnsi="Century Gothic"/>
          <w:sz w:val="24"/>
          <w:szCs w:val="24"/>
        </w:rPr>
        <w:t xml:space="preserve"> duties and job description. The </w:t>
      </w:r>
      <w:r w:rsidR="00B3264A" w:rsidRPr="00102C60">
        <w:rPr>
          <w:rFonts w:ascii="Century Gothic" w:hAnsi="Century Gothic"/>
          <w:sz w:val="24"/>
          <w:szCs w:val="24"/>
        </w:rPr>
        <w:t>Appellant</w:t>
      </w:r>
      <w:r w:rsidR="0006099F" w:rsidRPr="00102C60">
        <w:rPr>
          <w:rFonts w:ascii="Century Gothic" w:hAnsi="Century Gothic"/>
          <w:sz w:val="24"/>
          <w:szCs w:val="24"/>
        </w:rPr>
        <w:t xml:space="preserve">’s actions or lack thereof were, therefore, allegedly in violation of the express or implied terms of </w:t>
      </w:r>
      <w:r w:rsidR="00D9298A">
        <w:rPr>
          <w:rFonts w:ascii="Century Gothic" w:hAnsi="Century Gothic"/>
          <w:sz w:val="24"/>
          <w:szCs w:val="24"/>
        </w:rPr>
        <w:t xml:space="preserve">his </w:t>
      </w:r>
      <w:r w:rsidR="0006099F" w:rsidRPr="00102C60">
        <w:rPr>
          <w:rFonts w:ascii="Century Gothic" w:hAnsi="Century Gothic"/>
          <w:sz w:val="24"/>
          <w:szCs w:val="24"/>
        </w:rPr>
        <w:t xml:space="preserve">employment contract and/or reflected gross incompetence or inefficiency in performing </w:t>
      </w:r>
      <w:r w:rsidR="00B3264A" w:rsidRPr="00102C60">
        <w:rPr>
          <w:rFonts w:ascii="Century Gothic" w:hAnsi="Century Gothic"/>
          <w:sz w:val="24"/>
          <w:szCs w:val="24"/>
        </w:rPr>
        <w:t>his</w:t>
      </w:r>
      <w:r w:rsidR="0006099F" w:rsidRPr="00102C60">
        <w:rPr>
          <w:rFonts w:ascii="Century Gothic" w:hAnsi="Century Gothic"/>
          <w:sz w:val="24"/>
          <w:szCs w:val="24"/>
        </w:rPr>
        <w:t xml:space="preserve"> duties.</w:t>
      </w:r>
    </w:p>
    <w:p w14:paraId="3B53AF80" w14:textId="77777777" w:rsidR="003569AE" w:rsidRPr="00AC1A5A" w:rsidRDefault="003569AE" w:rsidP="00D92C63">
      <w:pPr>
        <w:pStyle w:val="ListParagraph"/>
        <w:spacing w:line="480" w:lineRule="auto"/>
        <w:rPr>
          <w:rFonts w:ascii="Century Gothic" w:hAnsi="Century Gothic"/>
          <w:sz w:val="24"/>
          <w:szCs w:val="24"/>
        </w:rPr>
      </w:pPr>
    </w:p>
    <w:p w14:paraId="6365BCBE" w14:textId="1CF6C2AC" w:rsidR="009D209D" w:rsidRPr="00D9298A" w:rsidRDefault="003569AE" w:rsidP="00D9298A">
      <w:pPr>
        <w:pStyle w:val="ListParagraph"/>
        <w:numPr>
          <w:ilvl w:val="0"/>
          <w:numId w:val="1"/>
        </w:numPr>
        <w:spacing w:line="480" w:lineRule="auto"/>
        <w:jc w:val="both"/>
        <w:rPr>
          <w:rFonts w:ascii="Century Gothic" w:hAnsi="Century Gothic"/>
          <w:sz w:val="24"/>
          <w:szCs w:val="24"/>
          <w:lang w:val="en-ZW"/>
        </w:rPr>
      </w:pPr>
      <w:r w:rsidRPr="00D9298A">
        <w:rPr>
          <w:rFonts w:ascii="Century Gothic" w:hAnsi="Century Gothic"/>
          <w:sz w:val="24"/>
          <w:szCs w:val="24"/>
        </w:rPr>
        <w:t>As a result</w:t>
      </w:r>
      <w:r w:rsidR="0006099F" w:rsidRPr="00D9298A">
        <w:rPr>
          <w:rFonts w:ascii="Century Gothic" w:hAnsi="Century Gothic"/>
          <w:sz w:val="24"/>
          <w:szCs w:val="24"/>
        </w:rPr>
        <w:t xml:space="preserve"> on the </w:t>
      </w:r>
      <w:r w:rsidR="00D9298A" w:rsidRPr="00D9298A">
        <w:rPr>
          <w:rFonts w:ascii="Century Gothic" w:hAnsi="Century Gothic"/>
          <w:sz w:val="24"/>
          <w:szCs w:val="24"/>
        </w:rPr>
        <w:t>4</w:t>
      </w:r>
      <w:r w:rsidR="0006099F" w:rsidRPr="00D9298A">
        <w:rPr>
          <w:rFonts w:ascii="Century Gothic" w:hAnsi="Century Gothic"/>
          <w:sz w:val="24"/>
          <w:szCs w:val="24"/>
          <w:vertAlign w:val="superscript"/>
        </w:rPr>
        <w:t>th</w:t>
      </w:r>
      <w:r w:rsidR="0006099F" w:rsidRPr="00D9298A">
        <w:rPr>
          <w:rFonts w:ascii="Century Gothic" w:hAnsi="Century Gothic"/>
          <w:sz w:val="24"/>
          <w:szCs w:val="24"/>
        </w:rPr>
        <w:t xml:space="preserve"> of</w:t>
      </w:r>
      <w:r w:rsidR="00D9298A" w:rsidRPr="00D9298A">
        <w:rPr>
          <w:rFonts w:ascii="Century Gothic" w:hAnsi="Century Gothic"/>
          <w:sz w:val="24"/>
          <w:szCs w:val="24"/>
        </w:rPr>
        <w:t xml:space="preserve"> June</w:t>
      </w:r>
      <w:r w:rsidR="0006099F" w:rsidRPr="00D9298A">
        <w:rPr>
          <w:rFonts w:ascii="Century Gothic" w:hAnsi="Century Gothic"/>
          <w:sz w:val="24"/>
          <w:szCs w:val="24"/>
        </w:rPr>
        <w:t xml:space="preserve"> 2024, Respondent charged the Appellant</w:t>
      </w:r>
      <w:r w:rsidR="009D209D" w:rsidRPr="00D9298A">
        <w:rPr>
          <w:rFonts w:ascii="Century Gothic" w:hAnsi="Century Gothic"/>
          <w:sz w:val="24"/>
          <w:szCs w:val="24"/>
        </w:rPr>
        <w:t xml:space="preserve"> o</w:t>
      </w:r>
      <w:r w:rsidR="00D9298A" w:rsidRPr="00D9298A">
        <w:rPr>
          <w:rFonts w:ascii="Century Gothic" w:hAnsi="Century Gothic"/>
          <w:sz w:val="24"/>
          <w:szCs w:val="24"/>
        </w:rPr>
        <w:t>f</w:t>
      </w:r>
      <w:r w:rsidR="009D209D" w:rsidRPr="00D9298A">
        <w:rPr>
          <w:rFonts w:ascii="Century Gothic" w:hAnsi="Century Gothic"/>
          <w:sz w:val="24"/>
          <w:szCs w:val="24"/>
        </w:rPr>
        <w:t xml:space="preserve"> 3 counts</w:t>
      </w:r>
      <w:r w:rsidR="00D9298A" w:rsidRPr="00D9298A">
        <w:rPr>
          <w:rFonts w:ascii="Century Gothic" w:hAnsi="Century Gothic"/>
          <w:sz w:val="24"/>
          <w:szCs w:val="24"/>
        </w:rPr>
        <w:t xml:space="preserve"> of misconduct </w:t>
      </w:r>
      <w:r w:rsidR="0006099F" w:rsidRPr="00D9298A">
        <w:rPr>
          <w:rFonts w:ascii="Century Gothic" w:hAnsi="Century Gothic"/>
          <w:sz w:val="24"/>
          <w:szCs w:val="24"/>
        </w:rPr>
        <w:t xml:space="preserve"> </w:t>
      </w:r>
      <w:r w:rsidR="009D209D" w:rsidRPr="00D9298A">
        <w:rPr>
          <w:rFonts w:ascii="Century Gothic" w:hAnsi="Century Gothic"/>
          <w:sz w:val="24"/>
          <w:szCs w:val="24"/>
        </w:rPr>
        <w:t xml:space="preserve">in terms </w:t>
      </w:r>
      <w:r w:rsidR="00B3264A" w:rsidRPr="00D9298A">
        <w:rPr>
          <w:rFonts w:ascii="Century Gothic" w:hAnsi="Century Gothic"/>
          <w:sz w:val="24"/>
          <w:szCs w:val="24"/>
        </w:rPr>
        <w:t>o</w:t>
      </w:r>
      <w:r w:rsidR="0006099F" w:rsidRPr="00D9298A">
        <w:rPr>
          <w:rFonts w:ascii="Century Gothic" w:hAnsi="Century Gothic"/>
          <w:sz w:val="24"/>
          <w:szCs w:val="24"/>
        </w:rPr>
        <w:t>f</w:t>
      </w:r>
      <w:r w:rsidR="00B3264A" w:rsidRPr="00D9298A">
        <w:rPr>
          <w:rFonts w:ascii="Century Gothic" w:hAnsi="Century Gothic"/>
          <w:sz w:val="24"/>
          <w:szCs w:val="24"/>
        </w:rPr>
        <w:t xml:space="preserve"> Section 4 (a) of</w:t>
      </w:r>
      <w:r w:rsidR="00A80A13" w:rsidRPr="00D9298A">
        <w:rPr>
          <w:rFonts w:ascii="Century Gothic" w:hAnsi="Century Gothic"/>
          <w:sz w:val="24"/>
          <w:szCs w:val="24"/>
        </w:rPr>
        <w:t xml:space="preserve"> the</w:t>
      </w:r>
      <w:r w:rsidR="00B3264A" w:rsidRPr="00D9298A">
        <w:rPr>
          <w:rFonts w:ascii="Century Gothic" w:hAnsi="Century Gothic"/>
          <w:sz w:val="24"/>
          <w:szCs w:val="24"/>
        </w:rPr>
        <w:t xml:space="preserve"> </w:t>
      </w:r>
      <w:r w:rsidR="00A8068F" w:rsidRPr="00D9298A">
        <w:rPr>
          <w:rFonts w:ascii="Century Gothic" w:hAnsi="Century Gothic"/>
          <w:sz w:val="24"/>
          <w:szCs w:val="24"/>
        </w:rPr>
        <w:t>Labour National Employment Code of Conduct Regulations 2006 (</w:t>
      </w:r>
      <w:r w:rsidR="00B3264A" w:rsidRPr="00D9298A">
        <w:rPr>
          <w:rFonts w:ascii="Century Gothic" w:hAnsi="Century Gothic"/>
          <w:sz w:val="24"/>
          <w:szCs w:val="24"/>
        </w:rPr>
        <w:t>S.I 15 of 2006</w:t>
      </w:r>
      <w:r w:rsidR="00A8068F" w:rsidRPr="00D9298A">
        <w:rPr>
          <w:rFonts w:ascii="Century Gothic" w:hAnsi="Century Gothic"/>
          <w:sz w:val="24"/>
          <w:szCs w:val="24"/>
        </w:rPr>
        <w:t>)</w:t>
      </w:r>
      <w:r w:rsidR="003217C9">
        <w:rPr>
          <w:rFonts w:ascii="Century Gothic" w:hAnsi="Century Gothic"/>
          <w:sz w:val="24"/>
          <w:szCs w:val="24"/>
        </w:rPr>
        <w:t xml:space="preserve"> </w:t>
      </w:r>
      <w:r w:rsidR="00D9298A">
        <w:rPr>
          <w:rFonts w:ascii="Century Gothic" w:hAnsi="Century Gothic"/>
          <w:sz w:val="24"/>
          <w:szCs w:val="24"/>
        </w:rPr>
        <w:t>i</w:t>
      </w:r>
      <w:r w:rsidR="003217C9">
        <w:rPr>
          <w:rFonts w:ascii="Century Gothic" w:hAnsi="Century Gothic"/>
          <w:sz w:val="24"/>
          <w:szCs w:val="24"/>
        </w:rPr>
        <w:t>.</w:t>
      </w:r>
      <w:r w:rsidR="00D9298A">
        <w:rPr>
          <w:rFonts w:ascii="Century Gothic" w:hAnsi="Century Gothic"/>
          <w:sz w:val="24"/>
          <w:szCs w:val="24"/>
        </w:rPr>
        <w:t>e “</w:t>
      </w:r>
      <w:r w:rsidR="00D9298A" w:rsidRPr="00B3264A">
        <w:rPr>
          <w:rFonts w:ascii="Century Gothic" w:hAnsi="Century Gothic"/>
          <w:b/>
          <w:bCs/>
          <w:sz w:val="24"/>
          <w:szCs w:val="24"/>
        </w:rPr>
        <w:t xml:space="preserve">Any act or conduct or omission inconsistent with the </w:t>
      </w:r>
      <w:r w:rsidR="00D9298A">
        <w:rPr>
          <w:rFonts w:ascii="Century Gothic" w:hAnsi="Century Gothic"/>
          <w:b/>
          <w:bCs/>
          <w:sz w:val="24"/>
          <w:szCs w:val="24"/>
        </w:rPr>
        <w:t>fulfillment</w:t>
      </w:r>
      <w:r w:rsidR="00D9298A" w:rsidRPr="00B3264A">
        <w:rPr>
          <w:rFonts w:ascii="Century Gothic" w:hAnsi="Century Gothic"/>
          <w:b/>
          <w:bCs/>
          <w:sz w:val="24"/>
          <w:szCs w:val="24"/>
        </w:rPr>
        <w:t xml:space="preserve"> of the express or implied conditions of his contract of employment</w:t>
      </w:r>
      <w:r w:rsidR="00D9298A">
        <w:rPr>
          <w:rFonts w:ascii="Century Gothic" w:hAnsi="Century Gothic"/>
          <w:sz w:val="24"/>
          <w:szCs w:val="24"/>
        </w:rPr>
        <w:t xml:space="preserve">” </w:t>
      </w:r>
      <w:r w:rsidR="00B3264A" w:rsidRPr="00D9298A">
        <w:rPr>
          <w:rFonts w:ascii="Century Gothic" w:hAnsi="Century Gothic"/>
          <w:sz w:val="24"/>
          <w:szCs w:val="24"/>
        </w:rPr>
        <w:t xml:space="preserve">and/or </w:t>
      </w:r>
      <w:r w:rsidR="003217C9">
        <w:rPr>
          <w:rFonts w:ascii="Century Gothic" w:hAnsi="Century Gothic"/>
          <w:sz w:val="24"/>
          <w:szCs w:val="24"/>
        </w:rPr>
        <w:t>contravention of Section 4(f) of SI 15 OF 2006</w:t>
      </w:r>
      <w:r w:rsidR="00B3264A" w:rsidRPr="00D9298A">
        <w:rPr>
          <w:rFonts w:ascii="Century Gothic" w:hAnsi="Century Gothic"/>
          <w:sz w:val="24"/>
          <w:szCs w:val="24"/>
        </w:rPr>
        <w:t xml:space="preserve"> </w:t>
      </w:r>
      <w:r w:rsidR="003217C9">
        <w:rPr>
          <w:rFonts w:ascii="Century Gothic" w:hAnsi="Century Gothic"/>
          <w:sz w:val="24"/>
          <w:szCs w:val="24"/>
        </w:rPr>
        <w:t>“</w:t>
      </w:r>
      <w:r w:rsidR="00B3264A" w:rsidRPr="003217C9">
        <w:rPr>
          <w:rFonts w:ascii="Century Gothic" w:hAnsi="Century Gothic"/>
          <w:b/>
          <w:bCs/>
          <w:sz w:val="24"/>
          <w:szCs w:val="24"/>
        </w:rPr>
        <w:t xml:space="preserve">gross incompetency or inefficiency in the performance of </w:t>
      </w:r>
      <w:r w:rsidR="00D9298A" w:rsidRPr="003217C9">
        <w:rPr>
          <w:rFonts w:ascii="Century Gothic" w:hAnsi="Century Gothic"/>
          <w:b/>
          <w:bCs/>
          <w:sz w:val="24"/>
          <w:szCs w:val="24"/>
        </w:rPr>
        <w:t>his</w:t>
      </w:r>
      <w:r w:rsidR="00B3264A" w:rsidRPr="003217C9">
        <w:rPr>
          <w:rFonts w:ascii="Century Gothic" w:hAnsi="Century Gothic"/>
          <w:b/>
          <w:bCs/>
          <w:sz w:val="24"/>
          <w:szCs w:val="24"/>
        </w:rPr>
        <w:t xml:space="preserve"> work</w:t>
      </w:r>
      <w:r w:rsidR="00D9298A">
        <w:rPr>
          <w:rFonts w:ascii="Century Gothic" w:hAnsi="Century Gothic"/>
          <w:sz w:val="24"/>
          <w:szCs w:val="24"/>
        </w:rPr>
        <w:t>.</w:t>
      </w:r>
      <w:r w:rsidR="003217C9">
        <w:rPr>
          <w:rFonts w:ascii="Century Gothic" w:hAnsi="Century Gothic"/>
          <w:sz w:val="24"/>
          <w:szCs w:val="24"/>
        </w:rPr>
        <w:t>”</w:t>
      </w:r>
    </w:p>
    <w:p w14:paraId="744BD3E4" w14:textId="1169DFA9" w:rsidR="009D209D" w:rsidRPr="00D9298A" w:rsidRDefault="009D209D" w:rsidP="00AB7080">
      <w:pPr>
        <w:pStyle w:val="ListParagraph"/>
        <w:numPr>
          <w:ilvl w:val="0"/>
          <w:numId w:val="1"/>
        </w:numPr>
        <w:spacing w:line="480" w:lineRule="auto"/>
        <w:jc w:val="both"/>
        <w:rPr>
          <w:rFonts w:ascii="Century Gothic" w:hAnsi="Century Gothic"/>
          <w:sz w:val="24"/>
          <w:szCs w:val="24"/>
          <w:lang w:val="en-ZW"/>
        </w:rPr>
      </w:pPr>
      <w:r w:rsidRPr="00D9298A">
        <w:rPr>
          <w:rFonts w:ascii="Century Gothic" w:hAnsi="Century Gothic"/>
          <w:sz w:val="24"/>
          <w:szCs w:val="24"/>
          <w:lang w:val="en-ZW"/>
        </w:rPr>
        <w:t xml:space="preserve">The charges against the Appellant arose </w:t>
      </w:r>
      <w:r w:rsidR="00D9298A" w:rsidRPr="00D9298A">
        <w:rPr>
          <w:rFonts w:ascii="Century Gothic" w:hAnsi="Century Gothic"/>
          <w:sz w:val="24"/>
          <w:szCs w:val="24"/>
          <w:lang w:val="en-ZW"/>
        </w:rPr>
        <w:t>after</w:t>
      </w:r>
      <w:r w:rsidRPr="00D9298A">
        <w:rPr>
          <w:rFonts w:ascii="Century Gothic" w:hAnsi="Century Gothic"/>
          <w:sz w:val="24"/>
          <w:szCs w:val="24"/>
          <w:lang w:val="en-ZW"/>
        </w:rPr>
        <w:t xml:space="preserve"> a forensic audit investigation carried out by BCA Forensic Audit Services (“BCA”) at the </w:t>
      </w:r>
      <w:r w:rsidR="00937F94" w:rsidRPr="00D9298A">
        <w:rPr>
          <w:rFonts w:ascii="Century Gothic" w:hAnsi="Century Gothic"/>
          <w:sz w:val="24"/>
          <w:szCs w:val="24"/>
          <w:lang w:val="en-ZW"/>
        </w:rPr>
        <w:t>Respondent</w:t>
      </w:r>
      <w:r w:rsidRPr="00D9298A">
        <w:rPr>
          <w:rFonts w:ascii="Century Gothic" w:hAnsi="Century Gothic"/>
          <w:sz w:val="24"/>
          <w:szCs w:val="24"/>
          <w:lang w:val="en-ZW"/>
        </w:rPr>
        <w:t xml:space="preserve">'s request. </w:t>
      </w:r>
    </w:p>
    <w:p w14:paraId="24561FEA" w14:textId="23401B8C" w:rsidR="009D209D" w:rsidRPr="009D209D" w:rsidRDefault="009D209D" w:rsidP="00D92C63">
      <w:pPr>
        <w:pStyle w:val="ListParagraph"/>
        <w:numPr>
          <w:ilvl w:val="0"/>
          <w:numId w:val="1"/>
        </w:numPr>
        <w:spacing w:line="480" w:lineRule="auto"/>
        <w:jc w:val="both"/>
        <w:rPr>
          <w:rFonts w:ascii="Century Gothic" w:hAnsi="Century Gothic"/>
          <w:sz w:val="24"/>
          <w:szCs w:val="24"/>
          <w:lang w:val="en-ZW"/>
        </w:rPr>
      </w:pPr>
      <w:r>
        <w:rPr>
          <w:rFonts w:ascii="Century Gothic" w:hAnsi="Century Gothic"/>
          <w:sz w:val="24"/>
          <w:szCs w:val="24"/>
        </w:rPr>
        <w:t>T</w:t>
      </w:r>
      <w:r w:rsidRPr="009D209D">
        <w:rPr>
          <w:rFonts w:ascii="Century Gothic" w:hAnsi="Century Gothic"/>
          <w:sz w:val="24"/>
          <w:szCs w:val="24"/>
        </w:rPr>
        <w:t xml:space="preserve">he misconduct counts </w:t>
      </w:r>
      <w:r w:rsidR="00937F94">
        <w:rPr>
          <w:rFonts w:ascii="Century Gothic" w:hAnsi="Century Gothic"/>
          <w:sz w:val="24"/>
          <w:szCs w:val="24"/>
        </w:rPr>
        <w:t>leveled</w:t>
      </w:r>
      <w:r w:rsidRPr="009D209D">
        <w:rPr>
          <w:rFonts w:ascii="Century Gothic" w:hAnsi="Century Gothic"/>
          <w:sz w:val="24"/>
          <w:szCs w:val="24"/>
        </w:rPr>
        <w:t xml:space="preserve"> against the Appellant related to: </w:t>
      </w:r>
    </w:p>
    <w:p w14:paraId="1713290E" w14:textId="77777777" w:rsidR="009D209D" w:rsidRPr="009D209D" w:rsidRDefault="009D209D" w:rsidP="00D92C63">
      <w:pPr>
        <w:pStyle w:val="ListParagraph"/>
        <w:spacing w:line="480" w:lineRule="auto"/>
        <w:rPr>
          <w:rFonts w:ascii="Century Gothic" w:hAnsi="Century Gothic"/>
          <w:sz w:val="24"/>
          <w:szCs w:val="24"/>
        </w:rPr>
      </w:pPr>
    </w:p>
    <w:p w14:paraId="5BFA7572" w14:textId="50A5F32C" w:rsidR="009D209D" w:rsidRPr="00102C60" w:rsidRDefault="0084770B" w:rsidP="00D92C63">
      <w:pPr>
        <w:pStyle w:val="ListParagraph"/>
        <w:numPr>
          <w:ilvl w:val="0"/>
          <w:numId w:val="6"/>
        </w:numPr>
        <w:spacing w:line="480" w:lineRule="auto"/>
        <w:jc w:val="both"/>
        <w:rPr>
          <w:rFonts w:ascii="Century Gothic" w:hAnsi="Century Gothic"/>
          <w:sz w:val="24"/>
          <w:szCs w:val="24"/>
          <w:lang w:val="en-ZW"/>
        </w:rPr>
      </w:pPr>
      <w:r w:rsidRPr="00102C60">
        <w:rPr>
          <w:rFonts w:ascii="Century Gothic" w:hAnsi="Century Gothic"/>
          <w:sz w:val="24"/>
          <w:szCs w:val="24"/>
        </w:rPr>
        <w:t>“</w:t>
      </w:r>
      <w:r w:rsidR="009D209D" w:rsidRPr="00102C60">
        <w:rPr>
          <w:rFonts w:ascii="Century Gothic" w:hAnsi="Century Gothic"/>
          <w:b/>
          <w:bCs/>
          <w:sz w:val="24"/>
          <w:szCs w:val="24"/>
        </w:rPr>
        <w:t>Negligent cash checks.</w:t>
      </w:r>
      <w:r w:rsidR="009D209D" w:rsidRPr="00102C60">
        <w:rPr>
          <w:rFonts w:ascii="Century Gothic" w:hAnsi="Century Gothic"/>
          <w:sz w:val="24"/>
          <w:szCs w:val="24"/>
        </w:rPr>
        <w:t xml:space="preserve"> This was after the Appellant, on 28 October 2022, certified inaccurate information on the Bank’s Vault Register without checking all the items making up the total figures to satisfy himself as to their correctness. </w:t>
      </w:r>
    </w:p>
    <w:p w14:paraId="32E5A179" w14:textId="78B1FA5E" w:rsidR="0084770B" w:rsidRPr="00102C60" w:rsidRDefault="009D209D" w:rsidP="00D92C63">
      <w:pPr>
        <w:pStyle w:val="ListParagraph"/>
        <w:numPr>
          <w:ilvl w:val="0"/>
          <w:numId w:val="6"/>
        </w:numPr>
        <w:spacing w:line="480" w:lineRule="auto"/>
        <w:jc w:val="both"/>
        <w:rPr>
          <w:rFonts w:ascii="Century Gothic" w:hAnsi="Century Gothic"/>
          <w:sz w:val="24"/>
          <w:szCs w:val="24"/>
          <w:lang w:val="en-ZW"/>
        </w:rPr>
      </w:pPr>
      <w:r w:rsidRPr="00102C60">
        <w:rPr>
          <w:rFonts w:ascii="Century Gothic" w:hAnsi="Century Gothic"/>
          <w:b/>
          <w:bCs/>
          <w:sz w:val="24"/>
          <w:szCs w:val="24"/>
        </w:rPr>
        <w:t>Failure to initiate criminal proceedings.</w:t>
      </w:r>
      <w:r w:rsidRPr="00102C60">
        <w:rPr>
          <w:rFonts w:ascii="Century Gothic" w:hAnsi="Century Gothic"/>
          <w:sz w:val="24"/>
          <w:szCs w:val="24"/>
        </w:rPr>
        <w:t xml:space="preserve"> This was after a sum of US$75,000.00 was unlawfully removed from the Bank’s vault by the Appellant’s subordinate, who </w:t>
      </w:r>
      <w:r w:rsidR="00D9298A">
        <w:rPr>
          <w:rFonts w:ascii="Century Gothic" w:hAnsi="Century Gothic"/>
          <w:sz w:val="24"/>
          <w:szCs w:val="24"/>
        </w:rPr>
        <w:t xml:space="preserve">did not </w:t>
      </w:r>
      <w:r w:rsidRPr="00102C60">
        <w:rPr>
          <w:rFonts w:ascii="Century Gothic" w:hAnsi="Century Gothic"/>
          <w:sz w:val="24"/>
          <w:szCs w:val="24"/>
        </w:rPr>
        <w:t xml:space="preserve">initiate criminal proceedings against. </w:t>
      </w:r>
    </w:p>
    <w:p w14:paraId="3204916D" w14:textId="0F2563F8" w:rsidR="009D209D" w:rsidRPr="006B29C9" w:rsidRDefault="009D209D" w:rsidP="00D92C63">
      <w:pPr>
        <w:pStyle w:val="ListParagraph"/>
        <w:numPr>
          <w:ilvl w:val="0"/>
          <w:numId w:val="6"/>
        </w:numPr>
        <w:spacing w:line="480" w:lineRule="auto"/>
        <w:jc w:val="both"/>
        <w:rPr>
          <w:rFonts w:ascii="Century Gothic" w:hAnsi="Century Gothic"/>
          <w:sz w:val="24"/>
          <w:szCs w:val="24"/>
          <w:lang w:val="en-ZW"/>
        </w:rPr>
      </w:pPr>
      <w:r w:rsidRPr="00102C60">
        <w:rPr>
          <w:rFonts w:ascii="Century Gothic" w:hAnsi="Century Gothic"/>
          <w:b/>
          <w:bCs/>
          <w:sz w:val="24"/>
          <w:szCs w:val="24"/>
        </w:rPr>
        <w:t>Failure to put in place and monitor Central Cash Depot</w:t>
      </w:r>
      <w:r w:rsidRPr="00102C60">
        <w:rPr>
          <w:rFonts w:ascii="Century Gothic" w:hAnsi="Century Gothic"/>
          <w:sz w:val="24"/>
          <w:szCs w:val="24"/>
        </w:rPr>
        <w:t xml:space="preserve"> (“CCD”) controls and procedures. This was after investigations uncovered numerous unprocedural CCD practices, notwithstanding the Appellant’s duty to ensure that CCD procedures and processes were adhered to at all times.</w:t>
      </w:r>
      <w:r w:rsidR="0084770B" w:rsidRPr="00102C60">
        <w:rPr>
          <w:rFonts w:ascii="Century Gothic" w:hAnsi="Century Gothic"/>
          <w:sz w:val="24"/>
          <w:szCs w:val="24"/>
        </w:rPr>
        <w:t>”</w:t>
      </w:r>
    </w:p>
    <w:p w14:paraId="43CB2D34" w14:textId="172E5CAD" w:rsidR="006B29C9" w:rsidRPr="006B29C9" w:rsidRDefault="006B29C9" w:rsidP="00D92C63">
      <w:pPr>
        <w:pStyle w:val="ListParagraph"/>
        <w:numPr>
          <w:ilvl w:val="0"/>
          <w:numId w:val="1"/>
        </w:numPr>
        <w:spacing w:line="480" w:lineRule="auto"/>
        <w:jc w:val="both"/>
        <w:rPr>
          <w:rFonts w:ascii="Century Gothic" w:hAnsi="Century Gothic"/>
          <w:sz w:val="24"/>
          <w:szCs w:val="24"/>
          <w:lang w:val="en-ZW"/>
        </w:rPr>
      </w:pPr>
      <w:r>
        <w:rPr>
          <w:rFonts w:ascii="Century Gothic" w:hAnsi="Century Gothic"/>
          <w:sz w:val="24"/>
          <w:szCs w:val="24"/>
          <w:lang w:val="en-ZW"/>
        </w:rPr>
        <w:t xml:space="preserve"> </w:t>
      </w:r>
      <w:r w:rsidR="00D9298A">
        <w:rPr>
          <w:rFonts w:ascii="Century Gothic" w:hAnsi="Century Gothic"/>
          <w:sz w:val="24"/>
          <w:szCs w:val="24"/>
          <w:lang w:val="en-ZW"/>
        </w:rPr>
        <w:t>T</w:t>
      </w:r>
      <w:r>
        <w:rPr>
          <w:rFonts w:ascii="Century Gothic" w:hAnsi="Century Gothic"/>
          <w:sz w:val="24"/>
          <w:szCs w:val="24"/>
          <w:lang w:val="en-ZW"/>
        </w:rPr>
        <w:t xml:space="preserve">he Appellant was </w:t>
      </w:r>
      <w:r w:rsidR="00D9298A">
        <w:rPr>
          <w:rFonts w:ascii="Century Gothic" w:hAnsi="Century Gothic"/>
          <w:sz w:val="24"/>
          <w:szCs w:val="24"/>
          <w:lang w:val="en-ZW"/>
        </w:rPr>
        <w:t>tried, convicted</w:t>
      </w:r>
      <w:r w:rsidR="001C0CF7">
        <w:rPr>
          <w:rFonts w:ascii="Century Gothic" w:hAnsi="Century Gothic"/>
          <w:sz w:val="24"/>
          <w:szCs w:val="24"/>
          <w:lang w:val="en-ZW"/>
        </w:rPr>
        <w:t>,</w:t>
      </w:r>
      <w:r w:rsidR="00D9298A">
        <w:rPr>
          <w:rFonts w:ascii="Century Gothic" w:hAnsi="Century Gothic"/>
          <w:sz w:val="24"/>
          <w:szCs w:val="24"/>
          <w:lang w:val="en-ZW"/>
        </w:rPr>
        <w:t xml:space="preserve"> and </w:t>
      </w:r>
      <w:r>
        <w:rPr>
          <w:rFonts w:ascii="Century Gothic" w:hAnsi="Century Gothic"/>
          <w:sz w:val="24"/>
          <w:szCs w:val="24"/>
          <w:lang w:val="en-ZW"/>
        </w:rPr>
        <w:t xml:space="preserve">dismissed </w:t>
      </w:r>
      <w:r w:rsidR="00BE13AA">
        <w:rPr>
          <w:rFonts w:ascii="Century Gothic" w:hAnsi="Century Gothic"/>
          <w:sz w:val="24"/>
          <w:szCs w:val="24"/>
          <w:lang w:val="en-ZW"/>
        </w:rPr>
        <w:t>from employment</w:t>
      </w:r>
      <w:r w:rsidR="001C0CF7">
        <w:rPr>
          <w:rFonts w:ascii="Century Gothic" w:hAnsi="Century Gothic"/>
          <w:sz w:val="24"/>
          <w:szCs w:val="24"/>
          <w:lang w:val="en-ZW"/>
        </w:rPr>
        <w:t>. The internal appeal failed.</w:t>
      </w:r>
      <w:r w:rsidR="00BE13AA">
        <w:rPr>
          <w:rFonts w:ascii="Century Gothic" w:hAnsi="Century Gothic"/>
          <w:sz w:val="24"/>
          <w:szCs w:val="24"/>
          <w:lang w:val="en-ZW"/>
        </w:rPr>
        <w:t xml:space="preserve"> Aggrieved by the decision</w:t>
      </w:r>
      <w:r w:rsidR="001C0CF7">
        <w:rPr>
          <w:rFonts w:ascii="Century Gothic" w:hAnsi="Century Gothic"/>
          <w:sz w:val="24"/>
          <w:szCs w:val="24"/>
          <w:lang w:val="en-ZW"/>
        </w:rPr>
        <w:t>, the</w:t>
      </w:r>
      <w:r w:rsidR="00BE13AA">
        <w:rPr>
          <w:rFonts w:ascii="Century Gothic" w:hAnsi="Century Gothic"/>
          <w:sz w:val="24"/>
          <w:szCs w:val="24"/>
          <w:lang w:val="en-ZW"/>
        </w:rPr>
        <w:t xml:space="preserve"> </w:t>
      </w:r>
      <w:r w:rsidR="00B67379">
        <w:rPr>
          <w:rFonts w:ascii="Century Gothic" w:hAnsi="Century Gothic"/>
          <w:sz w:val="24"/>
          <w:szCs w:val="24"/>
          <w:lang w:val="en-ZW"/>
        </w:rPr>
        <w:t>Appellant appealed</w:t>
      </w:r>
      <w:r>
        <w:rPr>
          <w:rFonts w:ascii="Century Gothic" w:hAnsi="Century Gothic"/>
          <w:sz w:val="24"/>
          <w:szCs w:val="24"/>
          <w:lang w:val="en-ZW"/>
        </w:rPr>
        <w:t xml:space="preserve"> to </w:t>
      </w:r>
      <w:r w:rsidR="00B67379">
        <w:rPr>
          <w:rFonts w:ascii="Century Gothic" w:hAnsi="Century Gothic"/>
          <w:sz w:val="24"/>
          <w:szCs w:val="24"/>
          <w:lang w:val="en-ZW"/>
        </w:rPr>
        <w:t>this Honourable</w:t>
      </w:r>
      <w:r w:rsidR="00BE13AA">
        <w:rPr>
          <w:rFonts w:ascii="Century Gothic" w:hAnsi="Century Gothic"/>
          <w:sz w:val="24"/>
          <w:szCs w:val="24"/>
          <w:lang w:val="en-ZW"/>
        </w:rPr>
        <w:t xml:space="preserve"> Court.</w:t>
      </w:r>
    </w:p>
    <w:p w14:paraId="23CCD1CF" w14:textId="7FDA6457" w:rsidR="003569AE" w:rsidRDefault="003102F4" w:rsidP="00D92C63">
      <w:pPr>
        <w:spacing w:line="480" w:lineRule="auto"/>
        <w:jc w:val="both"/>
        <w:rPr>
          <w:rFonts w:ascii="Century Gothic" w:hAnsi="Century Gothic"/>
          <w:b/>
          <w:sz w:val="24"/>
          <w:szCs w:val="24"/>
        </w:rPr>
      </w:pPr>
      <w:r>
        <w:rPr>
          <w:rFonts w:ascii="Century Gothic" w:hAnsi="Century Gothic"/>
          <w:b/>
          <w:sz w:val="24"/>
          <w:szCs w:val="24"/>
        </w:rPr>
        <w:t xml:space="preserve"> </w:t>
      </w:r>
      <w:r w:rsidR="003569AE">
        <w:rPr>
          <w:rFonts w:ascii="Century Gothic" w:hAnsi="Century Gothic"/>
          <w:b/>
          <w:sz w:val="24"/>
          <w:szCs w:val="24"/>
        </w:rPr>
        <w:t>RESPONSE TO THE APPEAL</w:t>
      </w:r>
    </w:p>
    <w:p w14:paraId="3CEF19C1" w14:textId="2B73BDAF" w:rsidR="00A8068F" w:rsidRDefault="003569AE" w:rsidP="00D92C63">
      <w:pPr>
        <w:pStyle w:val="ListParagraph"/>
        <w:numPr>
          <w:ilvl w:val="0"/>
          <w:numId w:val="1"/>
        </w:numPr>
        <w:spacing w:line="480" w:lineRule="auto"/>
        <w:jc w:val="both"/>
        <w:rPr>
          <w:rFonts w:ascii="Century Gothic" w:hAnsi="Century Gothic"/>
          <w:sz w:val="24"/>
          <w:szCs w:val="24"/>
        </w:rPr>
      </w:pPr>
      <w:r>
        <w:rPr>
          <w:rFonts w:ascii="Century Gothic" w:hAnsi="Century Gothic"/>
          <w:sz w:val="24"/>
          <w:szCs w:val="24"/>
        </w:rPr>
        <w:t xml:space="preserve">In response to the appeal, the </w:t>
      </w:r>
      <w:r w:rsidR="00B3264A">
        <w:rPr>
          <w:rFonts w:ascii="Century Gothic" w:hAnsi="Century Gothic"/>
          <w:sz w:val="24"/>
          <w:szCs w:val="24"/>
        </w:rPr>
        <w:t>R</w:t>
      </w:r>
      <w:r>
        <w:rPr>
          <w:rFonts w:ascii="Century Gothic" w:hAnsi="Century Gothic"/>
          <w:sz w:val="24"/>
          <w:szCs w:val="24"/>
        </w:rPr>
        <w:t xml:space="preserve">espondent raised </w:t>
      </w:r>
      <w:r w:rsidR="00B3264A">
        <w:rPr>
          <w:rFonts w:ascii="Century Gothic" w:hAnsi="Century Gothic"/>
          <w:sz w:val="24"/>
          <w:szCs w:val="24"/>
        </w:rPr>
        <w:t xml:space="preserve">two </w:t>
      </w:r>
      <w:r>
        <w:rPr>
          <w:rFonts w:ascii="Century Gothic" w:hAnsi="Century Gothic"/>
          <w:sz w:val="24"/>
          <w:szCs w:val="24"/>
        </w:rPr>
        <w:t>preliminary point</w:t>
      </w:r>
      <w:r w:rsidR="00B3264A">
        <w:rPr>
          <w:rFonts w:ascii="Century Gothic" w:hAnsi="Century Gothic"/>
          <w:sz w:val="24"/>
          <w:szCs w:val="24"/>
        </w:rPr>
        <w:t>s</w:t>
      </w:r>
      <w:r>
        <w:rPr>
          <w:rFonts w:ascii="Century Gothic" w:hAnsi="Century Gothic"/>
          <w:sz w:val="24"/>
          <w:szCs w:val="24"/>
        </w:rPr>
        <w:t>.</w:t>
      </w:r>
      <w:r w:rsidR="001C0CF7">
        <w:rPr>
          <w:rFonts w:ascii="Century Gothic" w:hAnsi="Century Gothic"/>
          <w:sz w:val="24"/>
          <w:szCs w:val="24"/>
        </w:rPr>
        <w:t xml:space="preserve"> The first one was </w:t>
      </w:r>
      <w:r w:rsidR="0084770B">
        <w:rPr>
          <w:rFonts w:ascii="Century Gothic" w:hAnsi="Century Gothic"/>
          <w:sz w:val="24"/>
          <w:szCs w:val="24"/>
        </w:rPr>
        <w:t xml:space="preserve">the notice of appeal was fatally defective and </w:t>
      </w:r>
      <w:r w:rsidR="008F118C">
        <w:rPr>
          <w:rFonts w:ascii="Century Gothic" w:hAnsi="Century Gothic"/>
          <w:sz w:val="24"/>
          <w:szCs w:val="24"/>
        </w:rPr>
        <w:t xml:space="preserve">that </w:t>
      </w:r>
      <w:r w:rsidR="00C07EB8">
        <w:rPr>
          <w:rFonts w:ascii="Century Gothic" w:hAnsi="Century Gothic"/>
          <w:sz w:val="24"/>
          <w:szCs w:val="24"/>
        </w:rPr>
        <w:t xml:space="preserve">it </w:t>
      </w:r>
      <w:r w:rsidR="0084770B">
        <w:rPr>
          <w:rFonts w:ascii="Century Gothic" w:hAnsi="Century Gothic"/>
          <w:sz w:val="24"/>
          <w:szCs w:val="24"/>
        </w:rPr>
        <w:t xml:space="preserve">was not </w:t>
      </w:r>
      <w:r w:rsidR="008F118C">
        <w:rPr>
          <w:rFonts w:ascii="Century Gothic" w:hAnsi="Century Gothic"/>
          <w:sz w:val="24"/>
          <w:szCs w:val="24"/>
        </w:rPr>
        <w:t>in compliance</w:t>
      </w:r>
      <w:r w:rsidR="0084770B">
        <w:rPr>
          <w:rFonts w:ascii="Century Gothic" w:hAnsi="Century Gothic"/>
          <w:sz w:val="24"/>
          <w:szCs w:val="24"/>
        </w:rPr>
        <w:t xml:space="preserve"> with </w:t>
      </w:r>
      <w:r w:rsidR="0084770B" w:rsidRPr="0084770B">
        <w:rPr>
          <w:rFonts w:ascii="Century Gothic" w:hAnsi="Century Gothic"/>
          <w:sz w:val="24"/>
          <w:szCs w:val="24"/>
        </w:rPr>
        <w:t xml:space="preserve">Rule 26(1)(b) of the </w:t>
      </w:r>
      <w:r w:rsidR="003606F5">
        <w:rPr>
          <w:rFonts w:ascii="Century Gothic" w:hAnsi="Century Gothic"/>
          <w:sz w:val="24"/>
          <w:szCs w:val="24"/>
        </w:rPr>
        <w:t xml:space="preserve">Labour Court </w:t>
      </w:r>
      <w:r w:rsidR="0084770B" w:rsidRPr="0084770B">
        <w:rPr>
          <w:rFonts w:ascii="Century Gothic" w:hAnsi="Century Gothic"/>
          <w:sz w:val="24"/>
          <w:szCs w:val="24"/>
        </w:rPr>
        <w:t>Rules</w:t>
      </w:r>
      <w:r w:rsidR="003606F5">
        <w:rPr>
          <w:rFonts w:ascii="Century Gothic" w:hAnsi="Century Gothic"/>
          <w:sz w:val="24"/>
          <w:szCs w:val="24"/>
        </w:rPr>
        <w:t xml:space="preserve"> 2017</w:t>
      </w:r>
      <w:r w:rsidR="0084770B" w:rsidRPr="0084770B">
        <w:rPr>
          <w:rFonts w:ascii="Century Gothic" w:hAnsi="Century Gothic"/>
          <w:sz w:val="24"/>
          <w:szCs w:val="24"/>
        </w:rPr>
        <w:t>.</w:t>
      </w:r>
      <w:r w:rsidR="0084770B">
        <w:rPr>
          <w:rFonts w:ascii="Century Gothic" w:hAnsi="Century Gothic"/>
          <w:sz w:val="24"/>
          <w:szCs w:val="24"/>
        </w:rPr>
        <w:t xml:space="preserve"> </w:t>
      </w:r>
      <w:r w:rsidR="001C0CF7">
        <w:rPr>
          <w:rFonts w:ascii="Century Gothic" w:hAnsi="Century Gothic"/>
          <w:sz w:val="24"/>
          <w:szCs w:val="24"/>
        </w:rPr>
        <w:t xml:space="preserve">The second one was that </w:t>
      </w:r>
      <w:r w:rsidR="0084770B">
        <w:rPr>
          <w:rFonts w:ascii="Century Gothic" w:hAnsi="Century Gothic"/>
          <w:sz w:val="24"/>
          <w:szCs w:val="24"/>
        </w:rPr>
        <w:t xml:space="preserve"> abandoned.</w:t>
      </w:r>
      <w:r w:rsidR="004072AD">
        <w:rPr>
          <w:rFonts w:ascii="Century Gothic" w:hAnsi="Century Gothic"/>
          <w:sz w:val="24"/>
          <w:szCs w:val="24"/>
        </w:rPr>
        <w:t xml:space="preserve"> H</w:t>
      </w:r>
      <w:r w:rsidR="0084770B">
        <w:rPr>
          <w:rFonts w:ascii="Century Gothic" w:hAnsi="Century Gothic"/>
          <w:sz w:val="24"/>
          <w:szCs w:val="24"/>
        </w:rPr>
        <w:t xml:space="preserve">e </w:t>
      </w:r>
      <w:r w:rsidR="004072AD">
        <w:rPr>
          <w:rFonts w:ascii="Century Gothic" w:hAnsi="Century Gothic"/>
          <w:sz w:val="24"/>
          <w:szCs w:val="24"/>
        </w:rPr>
        <w:t>persisted in arguing</w:t>
      </w:r>
      <w:r w:rsidR="0084770B">
        <w:rPr>
          <w:rFonts w:ascii="Century Gothic" w:hAnsi="Century Gothic"/>
          <w:sz w:val="24"/>
          <w:szCs w:val="24"/>
        </w:rPr>
        <w:t xml:space="preserve"> the first preliminary point. </w:t>
      </w:r>
      <w:r w:rsidR="003606F5">
        <w:rPr>
          <w:rFonts w:ascii="Century Gothic" w:hAnsi="Century Gothic"/>
          <w:sz w:val="24"/>
          <w:szCs w:val="24"/>
        </w:rPr>
        <w:t>Respondent stated that,</w:t>
      </w:r>
      <w:r w:rsidR="003606F5" w:rsidRPr="003606F5">
        <w:rPr>
          <w:rFonts w:ascii="Century Gothic" w:hAnsi="Century Gothic"/>
          <w:sz w:val="24"/>
          <w:szCs w:val="24"/>
        </w:rPr>
        <w:t xml:space="preserve"> although the Appellant faced only three (3) misconduct charges before the tribunal</w:t>
      </w:r>
      <w:r w:rsidR="003606F5">
        <w:rPr>
          <w:rFonts w:ascii="Century Gothic" w:hAnsi="Century Gothic"/>
          <w:sz w:val="24"/>
          <w:szCs w:val="24"/>
        </w:rPr>
        <w:t xml:space="preserve"> </w:t>
      </w:r>
      <w:r w:rsidR="003606F5" w:rsidRPr="003606F5">
        <w:rPr>
          <w:rFonts w:ascii="Century Gothic" w:hAnsi="Century Gothic"/>
          <w:i/>
          <w:iCs/>
          <w:sz w:val="24"/>
          <w:szCs w:val="24"/>
        </w:rPr>
        <w:t>aq</w:t>
      </w:r>
      <w:r w:rsidR="003606F5">
        <w:rPr>
          <w:rFonts w:ascii="Century Gothic" w:hAnsi="Century Gothic"/>
          <w:i/>
          <w:iCs/>
          <w:sz w:val="24"/>
          <w:szCs w:val="24"/>
        </w:rPr>
        <w:t>u</w:t>
      </w:r>
      <w:r w:rsidR="003606F5" w:rsidRPr="003606F5">
        <w:rPr>
          <w:rFonts w:ascii="Century Gothic" w:hAnsi="Century Gothic"/>
          <w:i/>
          <w:iCs/>
          <w:sz w:val="24"/>
          <w:szCs w:val="24"/>
        </w:rPr>
        <w:t>o</w:t>
      </w:r>
      <w:r w:rsidR="003606F5" w:rsidRPr="003606F5">
        <w:rPr>
          <w:rFonts w:ascii="Century Gothic" w:hAnsi="Century Gothic"/>
          <w:sz w:val="24"/>
          <w:szCs w:val="24"/>
        </w:rPr>
        <w:t xml:space="preserve">, </w:t>
      </w:r>
      <w:r w:rsidR="00F07746">
        <w:rPr>
          <w:rFonts w:ascii="Century Gothic" w:hAnsi="Century Gothic"/>
          <w:sz w:val="24"/>
          <w:szCs w:val="24"/>
        </w:rPr>
        <w:t xml:space="preserve">the </w:t>
      </w:r>
      <w:r w:rsidR="003606F5">
        <w:rPr>
          <w:rFonts w:ascii="Century Gothic" w:hAnsi="Century Gothic"/>
          <w:sz w:val="24"/>
          <w:szCs w:val="24"/>
        </w:rPr>
        <w:t>Appellant</w:t>
      </w:r>
      <w:r w:rsidR="003606F5" w:rsidRPr="003606F5">
        <w:rPr>
          <w:rFonts w:ascii="Century Gothic" w:hAnsi="Century Gothic"/>
          <w:sz w:val="24"/>
          <w:szCs w:val="24"/>
        </w:rPr>
        <w:t xml:space="preserve"> presented eight (8) separate and disjointed grounds of appeal.</w:t>
      </w:r>
      <w:r w:rsidR="003606F5">
        <w:rPr>
          <w:rFonts w:ascii="Century Gothic" w:hAnsi="Century Gothic"/>
          <w:sz w:val="24"/>
          <w:szCs w:val="24"/>
        </w:rPr>
        <w:t xml:space="preserve"> He noted that</w:t>
      </w:r>
      <w:r w:rsidR="003606F5" w:rsidRPr="003606F5">
        <w:rPr>
          <w:rFonts w:ascii="Century Gothic" w:hAnsi="Century Gothic"/>
          <w:sz w:val="24"/>
          <w:szCs w:val="24"/>
        </w:rPr>
        <w:t xml:space="preserve"> </w:t>
      </w:r>
      <w:r w:rsidR="003606F5">
        <w:rPr>
          <w:rFonts w:ascii="Century Gothic" w:hAnsi="Century Gothic"/>
          <w:sz w:val="24"/>
          <w:szCs w:val="24"/>
        </w:rPr>
        <w:t>i</w:t>
      </w:r>
      <w:r w:rsidR="003606F5" w:rsidRPr="003606F5">
        <w:rPr>
          <w:rFonts w:ascii="Century Gothic" w:hAnsi="Century Gothic"/>
          <w:sz w:val="24"/>
          <w:szCs w:val="24"/>
        </w:rPr>
        <w:t xml:space="preserve">t </w:t>
      </w:r>
      <w:r w:rsidR="00C07EB8">
        <w:rPr>
          <w:rFonts w:ascii="Century Gothic" w:hAnsi="Century Gothic"/>
          <w:sz w:val="24"/>
          <w:szCs w:val="24"/>
        </w:rPr>
        <w:t>was</w:t>
      </w:r>
      <w:r w:rsidR="003606F5" w:rsidRPr="003606F5">
        <w:rPr>
          <w:rFonts w:ascii="Century Gothic" w:hAnsi="Century Gothic"/>
          <w:sz w:val="24"/>
          <w:szCs w:val="24"/>
        </w:rPr>
        <w:t xml:space="preserve"> well-established that multiple grounds of appeal, which attempt to challenge every aspect of the reasoning by the adjudicating authority and fail to clearly define the issues to be decided by the Court, are undesirable and do not meet the standard of conciseness.</w:t>
      </w:r>
      <w:r w:rsidR="003606F5">
        <w:rPr>
          <w:rFonts w:ascii="Century Gothic" w:hAnsi="Century Gothic"/>
          <w:sz w:val="24"/>
          <w:szCs w:val="24"/>
        </w:rPr>
        <w:t xml:space="preserve"> Respondent referred to the case of </w:t>
      </w:r>
      <w:r w:rsidR="003606F5" w:rsidRPr="003606F5">
        <w:rPr>
          <w:rFonts w:ascii="Century Gothic" w:hAnsi="Century Gothic"/>
          <w:i/>
          <w:iCs/>
          <w:sz w:val="24"/>
          <w:szCs w:val="24"/>
        </w:rPr>
        <w:t>Chikura N.O. &amp; Anor V Al Sham’s Global BVI Limited S</w:t>
      </w:r>
      <w:r w:rsidR="00A8068F">
        <w:rPr>
          <w:rFonts w:ascii="Century Gothic" w:hAnsi="Century Gothic"/>
          <w:i/>
          <w:iCs/>
          <w:sz w:val="24"/>
          <w:szCs w:val="24"/>
        </w:rPr>
        <w:t>C</w:t>
      </w:r>
      <w:r w:rsidR="003606F5" w:rsidRPr="003606F5">
        <w:rPr>
          <w:rFonts w:ascii="Century Gothic" w:hAnsi="Century Gothic"/>
          <w:sz w:val="24"/>
          <w:szCs w:val="24"/>
        </w:rPr>
        <w:t xml:space="preserve"> 17/2017</w:t>
      </w:r>
      <w:r w:rsidR="003606F5">
        <w:rPr>
          <w:rFonts w:ascii="Century Gothic" w:hAnsi="Century Gothic"/>
          <w:sz w:val="24"/>
          <w:szCs w:val="24"/>
        </w:rPr>
        <w:t xml:space="preserve"> </w:t>
      </w:r>
      <w:r w:rsidR="00C07EB8">
        <w:rPr>
          <w:rFonts w:ascii="Century Gothic" w:hAnsi="Century Gothic"/>
          <w:sz w:val="24"/>
          <w:szCs w:val="24"/>
        </w:rPr>
        <w:t>where</w:t>
      </w:r>
      <w:r w:rsidR="003606F5">
        <w:rPr>
          <w:rFonts w:ascii="Century Gothic" w:hAnsi="Century Gothic"/>
          <w:sz w:val="24"/>
          <w:szCs w:val="24"/>
        </w:rPr>
        <w:t xml:space="preserve"> it was stated that</w:t>
      </w:r>
      <w:r w:rsidR="00A8068F">
        <w:rPr>
          <w:rFonts w:ascii="Century Gothic" w:hAnsi="Century Gothic"/>
          <w:sz w:val="24"/>
          <w:szCs w:val="24"/>
        </w:rPr>
        <w:t>:</w:t>
      </w:r>
    </w:p>
    <w:p w14:paraId="2D8FB98F" w14:textId="77777777" w:rsidR="00A8068F" w:rsidRPr="00A8068F" w:rsidRDefault="003606F5" w:rsidP="00A8068F">
      <w:pPr>
        <w:pStyle w:val="ListParagraph"/>
        <w:spacing w:line="480" w:lineRule="auto"/>
        <w:ind w:left="1440"/>
        <w:jc w:val="both"/>
        <w:rPr>
          <w:rFonts w:ascii="Century Gothic" w:hAnsi="Century Gothic"/>
        </w:rPr>
      </w:pPr>
      <w:r w:rsidRPr="00A8068F">
        <w:rPr>
          <w:rFonts w:ascii="Century Gothic" w:hAnsi="Century Gothic"/>
        </w:rPr>
        <w:t xml:space="preserve"> “….The real issues for determination should be immediately ascertainable on perusal of the grounds of appeal. That is not so in the instant matter. The grounds of appeal are multiple, attack every line of reasoning of the learned judge and do not clearly and concisely define the issues which are to be determined by this Court”</w:t>
      </w:r>
      <w:r w:rsidR="0095045D" w:rsidRPr="00A8068F">
        <w:rPr>
          <w:rFonts w:ascii="Century Gothic" w:hAnsi="Century Gothic"/>
        </w:rPr>
        <w:t>.</w:t>
      </w:r>
      <w:r w:rsidR="00BC763C" w:rsidRPr="00A8068F">
        <w:rPr>
          <w:rFonts w:ascii="Century Gothic" w:hAnsi="Century Gothic"/>
        </w:rPr>
        <w:t xml:space="preserve"> </w:t>
      </w:r>
    </w:p>
    <w:p w14:paraId="79B45A6B" w14:textId="7EF53430" w:rsidR="004072AD" w:rsidRPr="00A8068F" w:rsidRDefault="00F07746" w:rsidP="00A8068F">
      <w:pPr>
        <w:pStyle w:val="ListParagraph"/>
        <w:numPr>
          <w:ilvl w:val="0"/>
          <w:numId w:val="1"/>
        </w:numPr>
        <w:spacing w:line="480" w:lineRule="auto"/>
        <w:jc w:val="both"/>
        <w:rPr>
          <w:rFonts w:ascii="Century Gothic" w:hAnsi="Century Gothic"/>
          <w:sz w:val="24"/>
          <w:szCs w:val="24"/>
        </w:rPr>
      </w:pPr>
      <w:r w:rsidRPr="00A8068F">
        <w:rPr>
          <w:rFonts w:ascii="Century Gothic" w:hAnsi="Century Gothic"/>
          <w:sz w:val="24"/>
          <w:szCs w:val="24"/>
        </w:rPr>
        <w:t>Based</w:t>
      </w:r>
      <w:r w:rsidR="00BC763C" w:rsidRPr="00A8068F">
        <w:rPr>
          <w:rFonts w:ascii="Century Gothic" w:hAnsi="Century Gothic"/>
          <w:sz w:val="24"/>
          <w:szCs w:val="24"/>
        </w:rPr>
        <w:t xml:space="preserve"> on the above argument, the Respondent prayed for the matter to be dismissed based on the raised preliminary point.</w:t>
      </w:r>
      <w:r w:rsidR="00C07EB8" w:rsidRPr="00A8068F">
        <w:rPr>
          <w:rFonts w:ascii="Century Gothic" w:hAnsi="Century Gothic"/>
          <w:sz w:val="24"/>
          <w:szCs w:val="24"/>
        </w:rPr>
        <w:t xml:space="preserve"> The appellant opposed the preliminary point.</w:t>
      </w:r>
    </w:p>
    <w:p w14:paraId="7BE9EA6A" w14:textId="173BF098" w:rsidR="0095045D" w:rsidRDefault="00937F94" w:rsidP="00D92C63">
      <w:pPr>
        <w:pStyle w:val="ListParagraph"/>
        <w:numPr>
          <w:ilvl w:val="0"/>
          <w:numId w:val="1"/>
        </w:numPr>
        <w:spacing w:line="480" w:lineRule="auto"/>
        <w:jc w:val="both"/>
        <w:rPr>
          <w:rFonts w:ascii="Century Gothic" w:hAnsi="Century Gothic"/>
          <w:sz w:val="24"/>
          <w:szCs w:val="24"/>
        </w:rPr>
      </w:pPr>
      <w:r>
        <w:rPr>
          <w:rFonts w:ascii="Century Gothic" w:hAnsi="Century Gothic"/>
          <w:sz w:val="24"/>
          <w:szCs w:val="24"/>
        </w:rPr>
        <w:t xml:space="preserve"> </w:t>
      </w:r>
      <w:r w:rsidR="008F118C" w:rsidRPr="008F118C">
        <w:rPr>
          <w:rFonts w:ascii="Century Gothic" w:hAnsi="Century Gothic"/>
          <w:sz w:val="24"/>
          <w:szCs w:val="24"/>
        </w:rPr>
        <w:t>The Court stated that, from</w:t>
      </w:r>
      <w:r w:rsidR="00BC763C">
        <w:rPr>
          <w:rFonts w:ascii="Century Gothic" w:hAnsi="Century Gothic"/>
          <w:sz w:val="24"/>
          <w:szCs w:val="24"/>
        </w:rPr>
        <w:t xml:space="preserve"> its </w:t>
      </w:r>
      <w:r w:rsidR="008F118C" w:rsidRPr="008F118C">
        <w:rPr>
          <w:rFonts w:ascii="Century Gothic" w:hAnsi="Century Gothic"/>
          <w:sz w:val="24"/>
          <w:szCs w:val="24"/>
        </w:rPr>
        <w:t xml:space="preserve">perspective, the number of grounds </w:t>
      </w:r>
      <w:r w:rsidR="00F07746">
        <w:rPr>
          <w:rFonts w:ascii="Century Gothic" w:hAnsi="Century Gothic"/>
          <w:sz w:val="24"/>
          <w:szCs w:val="24"/>
        </w:rPr>
        <w:t>was</w:t>
      </w:r>
      <w:r w:rsidR="008F118C" w:rsidRPr="008F118C">
        <w:rPr>
          <w:rFonts w:ascii="Century Gothic" w:hAnsi="Century Gothic"/>
          <w:sz w:val="24"/>
          <w:szCs w:val="24"/>
        </w:rPr>
        <w:t xml:space="preserve"> not a concern. Ultimately, the parties </w:t>
      </w:r>
      <w:r w:rsidR="00BC763C">
        <w:rPr>
          <w:rFonts w:ascii="Century Gothic" w:hAnsi="Century Gothic"/>
          <w:sz w:val="24"/>
          <w:szCs w:val="24"/>
        </w:rPr>
        <w:t>c</w:t>
      </w:r>
      <w:r w:rsidR="00F07746">
        <w:rPr>
          <w:rFonts w:ascii="Century Gothic" w:hAnsi="Century Gothic"/>
          <w:sz w:val="24"/>
          <w:szCs w:val="24"/>
        </w:rPr>
        <w:t>ould</w:t>
      </w:r>
      <w:r w:rsidR="008F118C" w:rsidRPr="008F118C">
        <w:rPr>
          <w:rFonts w:ascii="Century Gothic" w:hAnsi="Century Gothic"/>
          <w:sz w:val="24"/>
          <w:szCs w:val="24"/>
        </w:rPr>
        <w:t xml:space="preserve"> address the issues. While the grounds could have been </w:t>
      </w:r>
      <w:r w:rsidR="00BC763C">
        <w:rPr>
          <w:rFonts w:ascii="Century Gothic" w:hAnsi="Century Gothic"/>
          <w:sz w:val="24"/>
          <w:szCs w:val="24"/>
        </w:rPr>
        <w:t>put</w:t>
      </w:r>
      <w:r w:rsidR="008F118C" w:rsidRPr="008F118C">
        <w:rPr>
          <w:rFonts w:ascii="Century Gothic" w:hAnsi="Century Gothic"/>
          <w:sz w:val="24"/>
          <w:szCs w:val="24"/>
        </w:rPr>
        <w:t xml:space="preserve"> differently, the Court emphasized that it </w:t>
      </w:r>
      <w:r w:rsidR="001C0CF7">
        <w:rPr>
          <w:rFonts w:ascii="Century Gothic" w:hAnsi="Century Gothic"/>
          <w:sz w:val="24"/>
          <w:szCs w:val="24"/>
        </w:rPr>
        <w:t xml:space="preserve">was of the view that </w:t>
      </w:r>
      <w:r w:rsidR="008F118C" w:rsidRPr="008F118C">
        <w:rPr>
          <w:rFonts w:ascii="Century Gothic" w:hAnsi="Century Gothic"/>
          <w:sz w:val="24"/>
          <w:szCs w:val="24"/>
        </w:rPr>
        <w:t>it should</w:t>
      </w:r>
      <w:r w:rsidR="001C0CF7">
        <w:rPr>
          <w:rFonts w:ascii="Century Gothic" w:hAnsi="Century Gothic"/>
          <w:sz w:val="24"/>
          <w:szCs w:val="24"/>
        </w:rPr>
        <w:t xml:space="preserve"> not</w:t>
      </w:r>
      <w:r w:rsidR="008F118C" w:rsidRPr="008F118C">
        <w:rPr>
          <w:rFonts w:ascii="Century Gothic" w:hAnsi="Century Gothic"/>
          <w:sz w:val="24"/>
          <w:szCs w:val="24"/>
        </w:rPr>
        <w:t xml:space="preserve"> strike the matter out or dismiss it, as doing so could result in an injustice. </w:t>
      </w:r>
      <w:r w:rsidR="0095045D">
        <w:rPr>
          <w:rFonts w:ascii="Century Gothic" w:hAnsi="Century Gothic"/>
          <w:sz w:val="24"/>
          <w:szCs w:val="24"/>
        </w:rPr>
        <w:t xml:space="preserve">Therefore, the point </w:t>
      </w:r>
      <w:r w:rsidR="0095045D" w:rsidRPr="0095045D">
        <w:rPr>
          <w:rFonts w:ascii="Century Gothic" w:hAnsi="Century Gothic"/>
          <w:i/>
          <w:iCs/>
          <w:sz w:val="24"/>
          <w:szCs w:val="24"/>
        </w:rPr>
        <w:t>in limine</w:t>
      </w:r>
      <w:r w:rsidR="0095045D">
        <w:rPr>
          <w:rFonts w:ascii="Century Gothic" w:hAnsi="Century Gothic"/>
          <w:sz w:val="24"/>
          <w:szCs w:val="24"/>
        </w:rPr>
        <w:t xml:space="preserve"> </w:t>
      </w:r>
      <w:r w:rsidR="00BC763C">
        <w:rPr>
          <w:rFonts w:ascii="Century Gothic" w:hAnsi="Century Gothic"/>
          <w:sz w:val="24"/>
          <w:szCs w:val="24"/>
        </w:rPr>
        <w:t>was</w:t>
      </w:r>
      <w:r w:rsidR="0095045D">
        <w:rPr>
          <w:rFonts w:ascii="Century Gothic" w:hAnsi="Century Gothic"/>
          <w:sz w:val="24"/>
          <w:szCs w:val="24"/>
        </w:rPr>
        <w:t xml:space="preserve"> dismissed and the matter proceeded to a hearing on the merits.</w:t>
      </w:r>
    </w:p>
    <w:p w14:paraId="24782B0B" w14:textId="090B9143" w:rsidR="00BC763C" w:rsidRDefault="00BC763C" w:rsidP="00D92C63">
      <w:pPr>
        <w:spacing w:line="480" w:lineRule="auto"/>
        <w:jc w:val="both"/>
        <w:rPr>
          <w:rFonts w:ascii="Century Gothic" w:hAnsi="Century Gothic"/>
          <w:b/>
          <w:bCs/>
          <w:sz w:val="24"/>
          <w:szCs w:val="24"/>
        </w:rPr>
      </w:pPr>
      <w:r w:rsidRPr="00BC763C">
        <w:rPr>
          <w:rFonts w:ascii="Century Gothic" w:hAnsi="Century Gothic"/>
          <w:b/>
          <w:bCs/>
          <w:sz w:val="24"/>
          <w:szCs w:val="24"/>
        </w:rPr>
        <w:t>MERITS OF THE APPEAL</w:t>
      </w:r>
    </w:p>
    <w:p w14:paraId="17B84CC5" w14:textId="17E3FC56" w:rsidR="004C7174" w:rsidRDefault="004C2D64" w:rsidP="00D92C63">
      <w:pPr>
        <w:spacing w:line="480" w:lineRule="auto"/>
        <w:jc w:val="both"/>
        <w:rPr>
          <w:rFonts w:ascii="Century Gothic" w:hAnsi="Century Gothic"/>
          <w:b/>
          <w:bCs/>
          <w:sz w:val="24"/>
          <w:szCs w:val="24"/>
        </w:rPr>
      </w:pPr>
      <w:r>
        <w:rPr>
          <w:rFonts w:ascii="Century Gothic" w:hAnsi="Century Gothic"/>
          <w:b/>
          <w:bCs/>
          <w:sz w:val="24"/>
          <w:szCs w:val="24"/>
        </w:rPr>
        <w:t>APPELLANT’S SUBMISSIONS</w:t>
      </w:r>
    </w:p>
    <w:p w14:paraId="59C37417" w14:textId="52A097BC" w:rsidR="00D117B5" w:rsidRPr="00D117B5" w:rsidRDefault="00D117B5" w:rsidP="00D117B5">
      <w:pPr>
        <w:spacing w:line="360" w:lineRule="auto"/>
        <w:jc w:val="both"/>
        <w:rPr>
          <w:rFonts w:ascii="Century Gothic" w:hAnsi="Century Gothic"/>
          <w:b/>
          <w:bCs/>
          <w:sz w:val="24"/>
          <w:szCs w:val="24"/>
          <w:u w:val="single"/>
        </w:rPr>
      </w:pPr>
      <w:r w:rsidRPr="00D117B5">
        <w:rPr>
          <w:rFonts w:ascii="Century Gothic" w:hAnsi="Century Gothic"/>
          <w:b/>
          <w:bCs/>
          <w:sz w:val="24"/>
          <w:szCs w:val="24"/>
          <w:u w:val="single"/>
        </w:rPr>
        <w:t>Whether the Bank’s Teller &amp; Cash Handling Policy and Procedure Manual was applicable to the Appellant</w:t>
      </w:r>
    </w:p>
    <w:p w14:paraId="2AC2BAE0" w14:textId="58C163DE" w:rsidR="00345EB3" w:rsidRPr="00C34BD3" w:rsidRDefault="00345EB3" w:rsidP="007508E6">
      <w:pPr>
        <w:pStyle w:val="ListParagraph"/>
        <w:numPr>
          <w:ilvl w:val="0"/>
          <w:numId w:val="1"/>
        </w:numPr>
        <w:spacing w:line="480" w:lineRule="auto"/>
        <w:jc w:val="both"/>
        <w:rPr>
          <w:rFonts w:ascii="Century Gothic" w:hAnsi="Century Gothic"/>
          <w:sz w:val="24"/>
          <w:szCs w:val="24"/>
          <w:lang w:val="en-ZW"/>
        </w:rPr>
      </w:pPr>
      <w:r w:rsidRPr="00C34BD3">
        <w:rPr>
          <w:rFonts w:ascii="Century Gothic" w:hAnsi="Century Gothic"/>
          <w:sz w:val="24"/>
          <w:szCs w:val="24"/>
          <w:lang w:val="en-ZW"/>
        </w:rPr>
        <w:t>Th</w:t>
      </w:r>
      <w:r w:rsidR="007508E6">
        <w:rPr>
          <w:rFonts w:ascii="Century Gothic" w:hAnsi="Century Gothic"/>
          <w:sz w:val="24"/>
          <w:szCs w:val="24"/>
          <w:lang w:val="en-ZW"/>
        </w:rPr>
        <w:t>e</w:t>
      </w:r>
      <w:r w:rsidRPr="00C34BD3">
        <w:rPr>
          <w:rFonts w:ascii="Century Gothic" w:hAnsi="Century Gothic"/>
          <w:sz w:val="24"/>
          <w:szCs w:val="24"/>
          <w:lang w:val="en-ZW"/>
        </w:rPr>
        <w:t xml:space="preserve"> </w:t>
      </w:r>
      <w:r w:rsidR="007508E6">
        <w:rPr>
          <w:rFonts w:ascii="Century Gothic" w:hAnsi="Century Gothic"/>
          <w:sz w:val="24"/>
          <w:szCs w:val="24"/>
          <w:lang w:val="en-ZW"/>
        </w:rPr>
        <w:t>A</w:t>
      </w:r>
      <w:r w:rsidRPr="00C34BD3">
        <w:rPr>
          <w:rFonts w:ascii="Century Gothic" w:hAnsi="Century Gothic"/>
          <w:sz w:val="24"/>
          <w:szCs w:val="24"/>
          <w:lang w:val="en-ZW"/>
        </w:rPr>
        <w:t>ppellant argued that the policy in question did not apply to him, as he was performing a cash check at a central cash depot (CCD) which ha</w:t>
      </w:r>
      <w:r w:rsidR="007508E6">
        <w:rPr>
          <w:rFonts w:ascii="Century Gothic" w:hAnsi="Century Gothic"/>
          <w:sz w:val="24"/>
          <w:szCs w:val="24"/>
          <w:lang w:val="en-ZW"/>
        </w:rPr>
        <w:t>d</w:t>
      </w:r>
      <w:r w:rsidRPr="00C34BD3">
        <w:rPr>
          <w:rFonts w:ascii="Century Gothic" w:hAnsi="Century Gothic"/>
          <w:sz w:val="24"/>
          <w:szCs w:val="24"/>
          <w:lang w:val="en-ZW"/>
        </w:rPr>
        <w:t xml:space="preserve"> its own policy and procedure manual. </w:t>
      </w:r>
      <w:r w:rsidR="007508E6">
        <w:rPr>
          <w:rFonts w:ascii="Century Gothic" w:hAnsi="Century Gothic"/>
          <w:sz w:val="24"/>
          <w:szCs w:val="24"/>
          <w:lang w:val="en-ZW"/>
        </w:rPr>
        <w:t>He noted that t</w:t>
      </w:r>
      <w:r w:rsidRPr="00C34BD3">
        <w:rPr>
          <w:rFonts w:ascii="Century Gothic" w:hAnsi="Century Gothic"/>
          <w:sz w:val="24"/>
          <w:szCs w:val="24"/>
          <w:lang w:val="en-ZW"/>
        </w:rPr>
        <w:t>he CCD manual include</w:t>
      </w:r>
      <w:r w:rsidR="007508E6">
        <w:rPr>
          <w:rFonts w:ascii="Century Gothic" w:hAnsi="Century Gothic"/>
          <w:sz w:val="24"/>
          <w:szCs w:val="24"/>
          <w:lang w:val="en-ZW"/>
        </w:rPr>
        <w:t>d</w:t>
      </w:r>
      <w:r w:rsidRPr="00C34BD3">
        <w:rPr>
          <w:rFonts w:ascii="Century Gothic" w:hAnsi="Century Gothic"/>
          <w:sz w:val="24"/>
          <w:szCs w:val="24"/>
          <w:lang w:val="en-ZW"/>
        </w:rPr>
        <w:t xml:space="preserve"> its guidelines regarding cash checks, and it was these procedures that the Appellant followed. </w:t>
      </w:r>
      <w:r w:rsidR="00283362">
        <w:rPr>
          <w:rFonts w:ascii="Century Gothic" w:hAnsi="Century Gothic"/>
          <w:sz w:val="24"/>
          <w:szCs w:val="24"/>
          <w:lang w:val="en-ZW"/>
        </w:rPr>
        <w:t xml:space="preserve">The </w:t>
      </w:r>
      <w:r w:rsidR="007508E6">
        <w:rPr>
          <w:rFonts w:ascii="Century Gothic" w:hAnsi="Century Gothic"/>
          <w:sz w:val="24"/>
          <w:szCs w:val="24"/>
          <w:lang w:val="en-ZW"/>
        </w:rPr>
        <w:t>Appellant</w:t>
      </w:r>
      <w:r w:rsidRPr="00C34BD3">
        <w:rPr>
          <w:rFonts w:ascii="Century Gothic" w:hAnsi="Century Gothic"/>
          <w:sz w:val="24"/>
          <w:szCs w:val="24"/>
          <w:lang w:val="en-ZW"/>
        </w:rPr>
        <w:t xml:space="preserve"> was not charged with violating the procedures in the CCD manual, but rather with breaching the Bank's Teller Cash Handling Policy, which d</w:t>
      </w:r>
      <w:r w:rsidR="007508E6">
        <w:rPr>
          <w:rFonts w:ascii="Century Gothic" w:hAnsi="Century Gothic"/>
          <w:sz w:val="24"/>
          <w:szCs w:val="24"/>
          <w:lang w:val="en-ZW"/>
        </w:rPr>
        <w:t>id</w:t>
      </w:r>
      <w:r w:rsidRPr="00C34BD3">
        <w:rPr>
          <w:rFonts w:ascii="Century Gothic" w:hAnsi="Century Gothic"/>
          <w:sz w:val="24"/>
          <w:szCs w:val="24"/>
          <w:lang w:val="en-ZW"/>
        </w:rPr>
        <w:t xml:space="preserve"> not apply to the CCD. Therefore, </w:t>
      </w:r>
      <w:r w:rsidR="007508E6">
        <w:rPr>
          <w:rFonts w:ascii="Century Gothic" w:hAnsi="Century Gothic"/>
          <w:sz w:val="24"/>
          <w:szCs w:val="24"/>
          <w:lang w:val="en-ZW"/>
        </w:rPr>
        <w:t xml:space="preserve">the Appellant submitted that </w:t>
      </w:r>
      <w:r w:rsidRPr="00C34BD3">
        <w:rPr>
          <w:rFonts w:ascii="Century Gothic" w:hAnsi="Century Gothic"/>
          <w:sz w:val="24"/>
          <w:szCs w:val="24"/>
          <w:lang w:val="en-ZW"/>
        </w:rPr>
        <w:t>the D</w:t>
      </w:r>
      <w:r w:rsidR="007508E6">
        <w:rPr>
          <w:rFonts w:ascii="Century Gothic" w:hAnsi="Century Gothic"/>
          <w:sz w:val="24"/>
          <w:szCs w:val="24"/>
          <w:lang w:val="en-ZW"/>
        </w:rPr>
        <w:t>isciplinary</w:t>
      </w:r>
      <w:r w:rsidRPr="00C34BD3">
        <w:rPr>
          <w:rFonts w:ascii="Century Gothic" w:hAnsi="Century Gothic"/>
          <w:sz w:val="24"/>
          <w:szCs w:val="24"/>
          <w:lang w:val="en-ZW"/>
        </w:rPr>
        <w:t xml:space="preserve"> A</w:t>
      </w:r>
      <w:r w:rsidR="007508E6">
        <w:rPr>
          <w:rFonts w:ascii="Century Gothic" w:hAnsi="Century Gothic"/>
          <w:sz w:val="24"/>
          <w:szCs w:val="24"/>
          <w:lang w:val="en-ZW"/>
        </w:rPr>
        <w:t>uthority</w:t>
      </w:r>
      <w:r w:rsidRPr="00C34BD3">
        <w:rPr>
          <w:rFonts w:ascii="Century Gothic" w:hAnsi="Century Gothic"/>
          <w:sz w:val="24"/>
          <w:szCs w:val="24"/>
          <w:lang w:val="en-ZW"/>
        </w:rPr>
        <w:t xml:space="preserve"> failed to recognize this distinction. Charging him</w:t>
      </w:r>
      <w:r w:rsidR="007508E6">
        <w:rPr>
          <w:rFonts w:ascii="Century Gothic" w:hAnsi="Century Gothic"/>
          <w:sz w:val="24"/>
          <w:szCs w:val="24"/>
          <w:lang w:val="en-ZW"/>
        </w:rPr>
        <w:t xml:space="preserve"> </w:t>
      </w:r>
      <w:r w:rsidRPr="00C34BD3">
        <w:rPr>
          <w:rFonts w:ascii="Century Gothic" w:hAnsi="Century Gothic"/>
          <w:sz w:val="24"/>
          <w:szCs w:val="24"/>
          <w:lang w:val="en-ZW"/>
        </w:rPr>
        <w:t>under a policy that was not relevant to his situation and finding him guilty was, consequently, an error.</w:t>
      </w:r>
    </w:p>
    <w:p w14:paraId="430E86AF" w14:textId="60E4DEB1" w:rsidR="00345EB3" w:rsidRDefault="00345EB3" w:rsidP="00345EB3">
      <w:pPr>
        <w:spacing w:line="360" w:lineRule="auto"/>
        <w:jc w:val="both"/>
        <w:rPr>
          <w:rFonts w:ascii="Century Gothic" w:hAnsi="Century Gothic"/>
          <w:b/>
          <w:bCs/>
          <w:sz w:val="24"/>
          <w:szCs w:val="24"/>
          <w:u w:val="single"/>
        </w:rPr>
      </w:pPr>
      <w:r w:rsidRPr="00345EB3">
        <w:rPr>
          <w:rFonts w:ascii="Century Gothic" w:hAnsi="Century Gothic"/>
          <w:b/>
          <w:bCs/>
          <w:sz w:val="24"/>
          <w:szCs w:val="24"/>
          <w:u w:val="single"/>
        </w:rPr>
        <w:t>Whether Bank’s Teller &amp; Cash Handling Policy and Procedure Manual was operational at the time of the alleged offence</w:t>
      </w:r>
    </w:p>
    <w:p w14:paraId="7D863FCC" w14:textId="35FB0645" w:rsidR="00C34BD3" w:rsidRPr="00C34BD3" w:rsidRDefault="007508E6" w:rsidP="007508E6">
      <w:pPr>
        <w:pStyle w:val="ListParagraph"/>
        <w:numPr>
          <w:ilvl w:val="0"/>
          <w:numId w:val="1"/>
        </w:numPr>
        <w:spacing w:line="480" w:lineRule="auto"/>
        <w:jc w:val="both"/>
        <w:rPr>
          <w:rFonts w:ascii="Century Gothic" w:hAnsi="Century Gothic"/>
          <w:sz w:val="24"/>
          <w:szCs w:val="24"/>
          <w:lang w:val="en-ZW"/>
        </w:rPr>
      </w:pPr>
      <w:r>
        <w:rPr>
          <w:rFonts w:ascii="Century Gothic" w:hAnsi="Century Gothic"/>
          <w:sz w:val="24"/>
          <w:szCs w:val="24"/>
          <w:lang w:val="en-ZW"/>
        </w:rPr>
        <w:t xml:space="preserve">Appellant </w:t>
      </w:r>
      <w:r w:rsidR="001129C5">
        <w:rPr>
          <w:rFonts w:ascii="Century Gothic" w:hAnsi="Century Gothic"/>
          <w:sz w:val="24"/>
          <w:szCs w:val="24"/>
          <w:lang w:val="en-ZW"/>
        </w:rPr>
        <w:t>argued</w:t>
      </w:r>
      <w:r>
        <w:rPr>
          <w:rFonts w:ascii="Century Gothic" w:hAnsi="Century Gothic"/>
          <w:sz w:val="24"/>
          <w:szCs w:val="24"/>
          <w:lang w:val="en-ZW"/>
        </w:rPr>
        <w:t xml:space="preserve"> that t</w:t>
      </w:r>
      <w:r w:rsidR="00C34BD3" w:rsidRPr="00C34BD3">
        <w:rPr>
          <w:rFonts w:ascii="Century Gothic" w:hAnsi="Century Gothic"/>
          <w:sz w:val="24"/>
          <w:szCs w:val="24"/>
          <w:lang w:val="en-ZW"/>
        </w:rPr>
        <w:t>he D</w:t>
      </w:r>
      <w:r>
        <w:rPr>
          <w:rFonts w:ascii="Century Gothic" w:hAnsi="Century Gothic"/>
          <w:sz w:val="24"/>
          <w:szCs w:val="24"/>
          <w:lang w:val="en-ZW"/>
        </w:rPr>
        <w:t xml:space="preserve">isciplinary </w:t>
      </w:r>
      <w:r w:rsidR="00C34BD3" w:rsidRPr="00C34BD3">
        <w:rPr>
          <w:rFonts w:ascii="Century Gothic" w:hAnsi="Century Gothic"/>
          <w:sz w:val="24"/>
          <w:szCs w:val="24"/>
          <w:lang w:val="en-ZW"/>
        </w:rPr>
        <w:t>A</w:t>
      </w:r>
      <w:r>
        <w:rPr>
          <w:rFonts w:ascii="Century Gothic" w:hAnsi="Century Gothic"/>
          <w:sz w:val="24"/>
          <w:szCs w:val="24"/>
          <w:lang w:val="en-ZW"/>
        </w:rPr>
        <w:t>uthority</w:t>
      </w:r>
      <w:r w:rsidR="00C34BD3" w:rsidRPr="00C34BD3">
        <w:rPr>
          <w:rFonts w:ascii="Century Gothic" w:hAnsi="Century Gothic"/>
          <w:sz w:val="24"/>
          <w:szCs w:val="24"/>
          <w:lang w:val="en-ZW"/>
        </w:rPr>
        <w:t xml:space="preserve"> claimed that an updated version of the manual was available on the portal, including a 2022 version, during the evidence-gathering process. However, </w:t>
      </w:r>
      <w:r w:rsidR="001129C5">
        <w:rPr>
          <w:rFonts w:ascii="Century Gothic" w:hAnsi="Century Gothic"/>
          <w:sz w:val="24"/>
          <w:szCs w:val="24"/>
          <w:lang w:val="en-ZW"/>
        </w:rPr>
        <w:t xml:space="preserve">the </w:t>
      </w:r>
      <w:r>
        <w:rPr>
          <w:rFonts w:ascii="Century Gothic" w:hAnsi="Century Gothic"/>
          <w:sz w:val="24"/>
          <w:szCs w:val="24"/>
          <w:lang w:val="en-ZW"/>
        </w:rPr>
        <w:t xml:space="preserve">Appellant stated that </w:t>
      </w:r>
      <w:r w:rsidR="00C34BD3" w:rsidRPr="00C34BD3">
        <w:rPr>
          <w:rFonts w:ascii="Century Gothic" w:hAnsi="Century Gothic"/>
          <w:sz w:val="24"/>
          <w:szCs w:val="24"/>
          <w:lang w:val="en-ZW"/>
        </w:rPr>
        <w:t>this claim was not supported by facts.</w:t>
      </w:r>
      <w:r w:rsidR="001129C5">
        <w:rPr>
          <w:rFonts w:ascii="Century Gothic" w:hAnsi="Century Gothic"/>
          <w:sz w:val="24"/>
          <w:szCs w:val="24"/>
          <w:lang w:val="en-ZW"/>
        </w:rPr>
        <w:t xml:space="preserve"> </w:t>
      </w:r>
      <w:r w:rsidR="00AA5BEA">
        <w:rPr>
          <w:rFonts w:ascii="Century Gothic" w:hAnsi="Century Gothic"/>
          <w:sz w:val="24"/>
          <w:szCs w:val="24"/>
          <w:lang w:val="en-ZW"/>
        </w:rPr>
        <w:t>Moreover</w:t>
      </w:r>
      <w:r w:rsidR="001129C5">
        <w:rPr>
          <w:rFonts w:ascii="Century Gothic" w:hAnsi="Century Gothic"/>
          <w:sz w:val="24"/>
          <w:szCs w:val="24"/>
          <w:lang w:val="en-ZW"/>
        </w:rPr>
        <w:t xml:space="preserve">, the Appellant </w:t>
      </w:r>
      <w:r>
        <w:rPr>
          <w:rFonts w:ascii="Century Gothic" w:hAnsi="Century Gothic"/>
          <w:sz w:val="24"/>
          <w:szCs w:val="24"/>
          <w:lang w:val="en-ZW"/>
        </w:rPr>
        <w:t>submitted that t</w:t>
      </w:r>
      <w:r w:rsidR="00C34BD3" w:rsidRPr="00C34BD3">
        <w:rPr>
          <w:rFonts w:ascii="Century Gothic" w:hAnsi="Century Gothic"/>
          <w:sz w:val="24"/>
          <w:szCs w:val="24"/>
          <w:lang w:val="en-ZW"/>
        </w:rPr>
        <w:t>he D</w:t>
      </w:r>
      <w:r w:rsidR="001129C5">
        <w:rPr>
          <w:rFonts w:ascii="Century Gothic" w:hAnsi="Century Gothic"/>
          <w:sz w:val="24"/>
          <w:szCs w:val="24"/>
          <w:lang w:val="en-ZW"/>
        </w:rPr>
        <w:t xml:space="preserve">isciplinary </w:t>
      </w:r>
      <w:r w:rsidR="00C34BD3" w:rsidRPr="00C34BD3">
        <w:rPr>
          <w:rFonts w:ascii="Century Gothic" w:hAnsi="Century Gothic"/>
          <w:sz w:val="24"/>
          <w:szCs w:val="24"/>
          <w:lang w:val="en-ZW"/>
        </w:rPr>
        <w:t>A</w:t>
      </w:r>
      <w:r w:rsidR="001129C5">
        <w:rPr>
          <w:rFonts w:ascii="Century Gothic" w:hAnsi="Century Gothic"/>
          <w:sz w:val="24"/>
          <w:szCs w:val="24"/>
          <w:lang w:val="en-ZW"/>
        </w:rPr>
        <w:t xml:space="preserve">uthority </w:t>
      </w:r>
      <w:r w:rsidR="00C34BD3" w:rsidRPr="00C34BD3">
        <w:rPr>
          <w:rFonts w:ascii="Century Gothic" w:hAnsi="Century Gothic"/>
          <w:sz w:val="24"/>
          <w:szCs w:val="24"/>
          <w:lang w:val="en-ZW"/>
        </w:rPr>
        <w:t xml:space="preserve">erred by concluding that the policy existed when it was not even utilized. </w:t>
      </w:r>
      <w:r w:rsidR="00AA5BEA">
        <w:rPr>
          <w:rFonts w:ascii="Century Gothic" w:hAnsi="Century Gothic"/>
          <w:sz w:val="24"/>
          <w:szCs w:val="24"/>
          <w:lang w:val="en-ZW"/>
        </w:rPr>
        <w:t>The appellant</w:t>
      </w:r>
      <w:r w:rsidR="001129C5">
        <w:rPr>
          <w:rFonts w:ascii="Century Gothic" w:hAnsi="Century Gothic"/>
          <w:sz w:val="24"/>
          <w:szCs w:val="24"/>
          <w:lang w:val="en-ZW"/>
        </w:rPr>
        <w:t xml:space="preserve"> </w:t>
      </w:r>
      <w:r w:rsidR="00AA5BEA">
        <w:rPr>
          <w:rFonts w:ascii="Century Gothic" w:hAnsi="Century Gothic"/>
          <w:sz w:val="24"/>
          <w:szCs w:val="24"/>
          <w:lang w:val="en-ZW"/>
        </w:rPr>
        <w:t>further noted</w:t>
      </w:r>
      <w:r w:rsidR="001129C5">
        <w:rPr>
          <w:rFonts w:ascii="Century Gothic" w:hAnsi="Century Gothic"/>
          <w:sz w:val="24"/>
          <w:szCs w:val="24"/>
          <w:lang w:val="en-ZW"/>
        </w:rPr>
        <w:t xml:space="preserve"> that t</w:t>
      </w:r>
      <w:r w:rsidR="00C34BD3" w:rsidRPr="00C34BD3">
        <w:rPr>
          <w:rFonts w:ascii="Century Gothic" w:hAnsi="Century Gothic"/>
          <w:sz w:val="24"/>
          <w:szCs w:val="24"/>
          <w:lang w:val="en-ZW"/>
        </w:rPr>
        <w:t>he hearing was not based on the 2022 policy</w:t>
      </w:r>
      <w:r w:rsidR="001129C5">
        <w:rPr>
          <w:rFonts w:ascii="Century Gothic" w:hAnsi="Century Gothic"/>
          <w:sz w:val="24"/>
          <w:szCs w:val="24"/>
          <w:lang w:val="en-ZW"/>
        </w:rPr>
        <w:t>,</w:t>
      </w:r>
      <w:r w:rsidR="00C34BD3" w:rsidRPr="00C34BD3">
        <w:rPr>
          <w:rFonts w:ascii="Century Gothic" w:hAnsi="Century Gothic"/>
          <w:sz w:val="24"/>
          <w:szCs w:val="24"/>
          <w:lang w:val="en-ZW"/>
        </w:rPr>
        <w:t xml:space="preserve"> instead, a 2023 policy was referenced. Therefore, </w:t>
      </w:r>
      <w:r w:rsidR="001129C5">
        <w:rPr>
          <w:rFonts w:ascii="Century Gothic" w:hAnsi="Century Gothic"/>
          <w:sz w:val="24"/>
          <w:szCs w:val="24"/>
          <w:lang w:val="en-ZW"/>
        </w:rPr>
        <w:t xml:space="preserve">the Appellant </w:t>
      </w:r>
      <w:r w:rsidR="00AA5BEA">
        <w:rPr>
          <w:rFonts w:ascii="Century Gothic" w:hAnsi="Century Gothic"/>
          <w:sz w:val="24"/>
          <w:szCs w:val="24"/>
          <w:lang w:val="en-ZW"/>
        </w:rPr>
        <w:t>not</w:t>
      </w:r>
      <w:r w:rsidR="001129C5">
        <w:rPr>
          <w:rFonts w:ascii="Century Gothic" w:hAnsi="Century Gothic"/>
          <w:sz w:val="24"/>
          <w:szCs w:val="24"/>
          <w:lang w:val="en-ZW"/>
        </w:rPr>
        <w:t xml:space="preserve">ed that </w:t>
      </w:r>
      <w:r w:rsidR="00C34BD3" w:rsidRPr="00C34BD3">
        <w:rPr>
          <w:rFonts w:ascii="Century Gothic" w:hAnsi="Century Gothic"/>
          <w:sz w:val="24"/>
          <w:szCs w:val="24"/>
          <w:lang w:val="en-ZW"/>
        </w:rPr>
        <w:t xml:space="preserve">the conclusion that the manual was violated or that the </w:t>
      </w:r>
      <w:r w:rsidR="00283362">
        <w:rPr>
          <w:rFonts w:ascii="Century Gothic" w:hAnsi="Century Gothic"/>
          <w:sz w:val="24"/>
          <w:szCs w:val="24"/>
          <w:lang w:val="en-ZW"/>
        </w:rPr>
        <w:t>Respondent</w:t>
      </w:r>
      <w:r w:rsidR="00C34BD3" w:rsidRPr="00C34BD3">
        <w:rPr>
          <w:rFonts w:ascii="Century Gothic" w:hAnsi="Century Gothic"/>
          <w:sz w:val="24"/>
          <w:szCs w:val="24"/>
          <w:lang w:val="en-ZW"/>
        </w:rPr>
        <w:t xml:space="preserve"> had a common law duty of care</w:t>
      </w:r>
      <w:r w:rsidR="00AA5BEA">
        <w:rPr>
          <w:rFonts w:ascii="Century Gothic" w:hAnsi="Century Gothic"/>
          <w:sz w:val="24"/>
          <w:szCs w:val="24"/>
          <w:lang w:val="en-ZW"/>
        </w:rPr>
        <w:t xml:space="preserve"> in which he did</w:t>
      </w:r>
      <w:r w:rsidR="00C34BD3" w:rsidRPr="00C34BD3">
        <w:rPr>
          <w:rFonts w:ascii="Century Gothic" w:hAnsi="Century Gothic"/>
          <w:sz w:val="24"/>
          <w:szCs w:val="24"/>
          <w:lang w:val="en-ZW"/>
        </w:rPr>
        <w:t xml:space="preserve"> not perform a cash check as outlined in the manual </w:t>
      </w:r>
      <w:r w:rsidR="00AA5BEA">
        <w:rPr>
          <w:rFonts w:ascii="Century Gothic" w:hAnsi="Century Gothic"/>
          <w:sz w:val="24"/>
          <w:szCs w:val="24"/>
          <w:lang w:val="en-ZW"/>
        </w:rPr>
        <w:t>was</w:t>
      </w:r>
      <w:r w:rsidR="00C34BD3" w:rsidRPr="00C34BD3">
        <w:rPr>
          <w:rFonts w:ascii="Century Gothic" w:hAnsi="Century Gothic"/>
          <w:sz w:val="24"/>
          <w:szCs w:val="24"/>
          <w:lang w:val="en-ZW"/>
        </w:rPr>
        <w:t xml:space="preserve"> legally incorrect. </w:t>
      </w:r>
      <w:r w:rsidR="00283362">
        <w:rPr>
          <w:rFonts w:ascii="Century Gothic" w:hAnsi="Century Gothic"/>
          <w:sz w:val="24"/>
          <w:szCs w:val="24"/>
          <w:lang w:val="en-ZW"/>
        </w:rPr>
        <w:t>The Appellant noted that t</w:t>
      </w:r>
      <w:r w:rsidR="00C34BD3" w:rsidRPr="00C34BD3">
        <w:rPr>
          <w:rFonts w:ascii="Century Gothic" w:hAnsi="Century Gothic"/>
          <w:sz w:val="24"/>
          <w:szCs w:val="24"/>
          <w:lang w:val="en-ZW"/>
        </w:rPr>
        <w:t xml:space="preserve">he Disciplinary Authority </w:t>
      </w:r>
      <w:r w:rsidR="00AA5BEA">
        <w:rPr>
          <w:rFonts w:ascii="Century Gothic" w:hAnsi="Century Gothic"/>
          <w:sz w:val="24"/>
          <w:szCs w:val="24"/>
          <w:lang w:val="en-ZW"/>
        </w:rPr>
        <w:t>ought to</w:t>
      </w:r>
      <w:r w:rsidR="00C34BD3" w:rsidRPr="00C34BD3">
        <w:rPr>
          <w:rFonts w:ascii="Century Gothic" w:hAnsi="Century Gothic"/>
          <w:sz w:val="24"/>
          <w:szCs w:val="24"/>
          <w:lang w:val="en-ZW"/>
        </w:rPr>
        <w:t xml:space="preserve"> have reviewed the provisions of S.I 15 of 2006 in conjunction with the manual to determine whether S.I 15 of 2006 was violated.</w:t>
      </w:r>
    </w:p>
    <w:p w14:paraId="518331E1" w14:textId="0E96E7A0" w:rsidR="004C7174" w:rsidRDefault="00D117B5" w:rsidP="00D117B5">
      <w:pPr>
        <w:spacing w:line="360" w:lineRule="auto"/>
        <w:jc w:val="both"/>
        <w:rPr>
          <w:rFonts w:ascii="Century Gothic" w:hAnsi="Century Gothic"/>
          <w:b/>
          <w:bCs/>
          <w:sz w:val="24"/>
          <w:szCs w:val="24"/>
          <w:u w:val="single"/>
        </w:rPr>
      </w:pPr>
      <w:r w:rsidRPr="00D117B5">
        <w:rPr>
          <w:rFonts w:ascii="Century Gothic" w:hAnsi="Century Gothic"/>
          <w:b/>
          <w:bCs/>
          <w:sz w:val="24"/>
          <w:szCs w:val="24"/>
          <w:u w:val="single"/>
        </w:rPr>
        <w:t>Whether a cash check is concerned with items making up a cash balance and not entries</w:t>
      </w:r>
    </w:p>
    <w:p w14:paraId="31714406" w14:textId="7EB8BA30" w:rsidR="00D117B5" w:rsidRPr="00C34BD3" w:rsidRDefault="00AA5BEA" w:rsidP="007508E6">
      <w:pPr>
        <w:pStyle w:val="ListParagraph"/>
        <w:numPr>
          <w:ilvl w:val="0"/>
          <w:numId w:val="1"/>
        </w:numPr>
        <w:spacing w:line="480" w:lineRule="auto"/>
        <w:jc w:val="both"/>
        <w:rPr>
          <w:rFonts w:ascii="Century Gothic" w:hAnsi="Century Gothic"/>
          <w:sz w:val="24"/>
          <w:szCs w:val="24"/>
          <w:lang w:val="en-ZW"/>
        </w:rPr>
      </w:pPr>
      <w:r>
        <w:rPr>
          <w:rFonts w:ascii="Century Gothic" w:hAnsi="Century Gothic"/>
          <w:sz w:val="24"/>
          <w:szCs w:val="24"/>
          <w:lang w:val="en-ZW"/>
        </w:rPr>
        <w:t xml:space="preserve">The Appellant </w:t>
      </w:r>
      <w:r w:rsidR="00D117B5" w:rsidRPr="00C34BD3">
        <w:rPr>
          <w:rFonts w:ascii="Century Gothic" w:hAnsi="Century Gothic"/>
          <w:sz w:val="24"/>
          <w:szCs w:val="24"/>
          <w:lang w:val="en-ZW"/>
        </w:rPr>
        <w:t xml:space="preserve">argued that the Disciplinary Authority made an error by failing to recognize that a cash check focuses on the actual cash balance rather than the entries in the system. In other words, </w:t>
      </w:r>
      <w:r>
        <w:rPr>
          <w:rFonts w:ascii="Century Gothic" w:hAnsi="Century Gothic"/>
          <w:sz w:val="24"/>
          <w:szCs w:val="24"/>
          <w:lang w:val="en-ZW"/>
        </w:rPr>
        <w:t xml:space="preserve">Appellant stated that </w:t>
      </w:r>
      <w:r w:rsidR="00D117B5" w:rsidRPr="00C34BD3">
        <w:rPr>
          <w:rFonts w:ascii="Century Gothic" w:hAnsi="Century Gothic"/>
          <w:sz w:val="24"/>
          <w:szCs w:val="24"/>
          <w:lang w:val="en-ZW"/>
        </w:rPr>
        <w:t xml:space="preserve">a cash check compares the physical cash on hand with what is recorded in the electronic system. The individual whose cash was checked had a balance that matched the system's records, indicating that the Appellant was not negligent. </w:t>
      </w:r>
      <w:r>
        <w:rPr>
          <w:rFonts w:ascii="Century Gothic" w:hAnsi="Century Gothic"/>
          <w:sz w:val="24"/>
          <w:szCs w:val="24"/>
          <w:lang w:val="en-ZW"/>
        </w:rPr>
        <w:t>He noted that a</w:t>
      </w:r>
      <w:r w:rsidR="00D117B5" w:rsidRPr="00C34BD3">
        <w:rPr>
          <w:rFonts w:ascii="Century Gothic" w:hAnsi="Century Gothic"/>
          <w:sz w:val="24"/>
          <w:szCs w:val="24"/>
          <w:lang w:val="en-ZW"/>
        </w:rPr>
        <w:t xml:space="preserve">n omission in the vault register </w:t>
      </w:r>
      <w:r>
        <w:rPr>
          <w:rFonts w:ascii="Century Gothic" w:hAnsi="Century Gothic"/>
          <w:sz w:val="24"/>
          <w:szCs w:val="24"/>
          <w:lang w:val="en-ZW"/>
        </w:rPr>
        <w:t>was</w:t>
      </w:r>
      <w:r w:rsidR="00D117B5" w:rsidRPr="00C34BD3">
        <w:rPr>
          <w:rFonts w:ascii="Century Gothic" w:hAnsi="Century Gothic"/>
          <w:sz w:val="24"/>
          <w:szCs w:val="24"/>
          <w:lang w:val="en-ZW"/>
        </w:rPr>
        <w:t xml:space="preserve"> not relevant to a cash check but </w:t>
      </w:r>
      <w:r w:rsidRPr="00C34BD3">
        <w:rPr>
          <w:rFonts w:ascii="Century Gothic" w:hAnsi="Century Gothic"/>
          <w:sz w:val="24"/>
          <w:szCs w:val="24"/>
          <w:lang w:val="en-ZW"/>
        </w:rPr>
        <w:t>pertained</w:t>
      </w:r>
      <w:r w:rsidR="00D117B5" w:rsidRPr="00C34BD3">
        <w:rPr>
          <w:rFonts w:ascii="Century Gothic" w:hAnsi="Century Gothic"/>
          <w:sz w:val="24"/>
          <w:szCs w:val="24"/>
          <w:lang w:val="en-ZW"/>
        </w:rPr>
        <w:t xml:space="preserve"> to day 2 validation. Given this, the</w:t>
      </w:r>
      <w:r>
        <w:rPr>
          <w:rFonts w:ascii="Century Gothic" w:hAnsi="Century Gothic"/>
          <w:sz w:val="24"/>
          <w:szCs w:val="24"/>
          <w:lang w:val="en-ZW"/>
        </w:rPr>
        <w:t xml:space="preserve"> Appellant</w:t>
      </w:r>
      <w:r w:rsidR="00D117B5" w:rsidRPr="00C34BD3">
        <w:rPr>
          <w:rFonts w:ascii="Century Gothic" w:hAnsi="Century Gothic"/>
          <w:sz w:val="24"/>
          <w:szCs w:val="24"/>
          <w:lang w:val="en-ZW"/>
        </w:rPr>
        <w:t xml:space="preserve"> conclu</w:t>
      </w:r>
      <w:r>
        <w:rPr>
          <w:rFonts w:ascii="Century Gothic" w:hAnsi="Century Gothic"/>
          <w:sz w:val="24"/>
          <w:szCs w:val="24"/>
          <w:lang w:val="en-ZW"/>
        </w:rPr>
        <w:t>ded</w:t>
      </w:r>
      <w:r w:rsidR="00D117B5" w:rsidRPr="00C34BD3">
        <w:rPr>
          <w:rFonts w:ascii="Century Gothic" w:hAnsi="Century Gothic"/>
          <w:sz w:val="24"/>
          <w:szCs w:val="24"/>
          <w:lang w:val="en-ZW"/>
        </w:rPr>
        <w:t xml:space="preserve"> that the </w:t>
      </w:r>
      <w:r>
        <w:rPr>
          <w:rFonts w:ascii="Century Gothic" w:hAnsi="Century Gothic"/>
          <w:sz w:val="24"/>
          <w:szCs w:val="24"/>
          <w:lang w:val="en-ZW"/>
        </w:rPr>
        <w:t xml:space="preserve">conclusion that </w:t>
      </w:r>
      <w:r w:rsidR="00797A48">
        <w:rPr>
          <w:rFonts w:ascii="Century Gothic" w:hAnsi="Century Gothic"/>
          <w:sz w:val="24"/>
          <w:szCs w:val="24"/>
          <w:lang w:val="en-ZW"/>
        </w:rPr>
        <w:t xml:space="preserve">the </w:t>
      </w:r>
      <w:r>
        <w:rPr>
          <w:rFonts w:ascii="Century Gothic" w:hAnsi="Century Gothic"/>
          <w:sz w:val="24"/>
          <w:szCs w:val="24"/>
          <w:lang w:val="en-ZW"/>
        </w:rPr>
        <w:t>Appellant</w:t>
      </w:r>
      <w:r w:rsidR="00D117B5" w:rsidRPr="00C34BD3">
        <w:rPr>
          <w:rFonts w:ascii="Century Gothic" w:hAnsi="Century Gothic"/>
          <w:sz w:val="24"/>
          <w:szCs w:val="24"/>
          <w:lang w:val="en-ZW"/>
        </w:rPr>
        <w:t xml:space="preserve"> was negligent </w:t>
      </w:r>
      <w:r w:rsidR="00797A48">
        <w:rPr>
          <w:rFonts w:ascii="Century Gothic" w:hAnsi="Century Gothic"/>
          <w:sz w:val="24"/>
          <w:szCs w:val="24"/>
          <w:lang w:val="en-ZW"/>
        </w:rPr>
        <w:t>was</w:t>
      </w:r>
      <w:r w:rsidR="00D117B5" w:rsidRPr="00C34BD3">
        <w:rPr>
          <w:rFonts w:ascii="Century Gothic" w:hAnsi="Century Gothic"/>
          <w:sz w:val="24"/>
          <w:szCs w:val="24"/>
          <w:lang w:val="en-ZW"/>
        </w:rPr>
        <w:t xml:space="preserve"> not supported. Therefore,</w:t>
      </w:r>
      <w:r w:rsidR="00283362">
        <w:rPr>
          <w:rFonts w:ascii="Century Gothic" w:hAnsi="Century Gothic"/>
          <w:sz w:val="24"/>
          <w:szCs w:val="24"/>
          <w:lang w:val="en-ZW"/>
        </w:rPr>
        <w:t xml:space="preserve"> </w:t>
      </w:r>
      <w:r w:rsidR="00D117B5" w:rsidRPr="00C34BD3">
        <w:rPr>
          <w:rFonts w:ascii="Century Gothic" w:hAnsi="Century Gothic"/>
          <w:sz w:val="24"/>
          <w:szCs w:val="24"/>
          <w:lang w:val="en-ZW"/>
        </w:rPr>
        <w:t>the</w:t>
      </w:r>
      <w:r w:rsidR="00283362">
        <w:rPr>
          <w:rFonts w:ascii="Century Gothic" w:hAnsi="Century Gothic"/>
          <w:sz w:val="24"/>
          <w:szCs w:val="24"/>
          <w:lang w:val="en-ZW"/>
        </w:rPr>
        <w:t xml:space="preserve"> Appellant concluded that the</w:t>
      </w:r>
      <w:r w:rsidR="00D117B5" w:rsidRPr="00C34BD3">
        <w:rPr>
          <w:rFonts w:ascii="Century Gothic" w:hAnsi="Century Gothic"/>
          <w:sz w:val="24"/>
          <w:szCs w:val="24"/>
          <w:lang w:val="en-ZW"/>
        </w:rPr>
        <w:t xml:space="preserve"> Appellant’s certification of the balance was correct</w:t>
      </w:r>
      <w:r>
        <w:rPr>
          <w:rFonts w:ascii="Century Gothic" w:hAnsi="Century Gothic"/>
          <w:sz w:val="24"/>
          <w:szCs w:val="24"/>
          <w:lang w:val="en-ZW"/>
        </w:rPr>
        <w:t xml:space="preserve"> and the Disciplinary Authority</w:t>
      </w:r>
      <w:r w:rsidR="00797A48">
        <w:rPr>
          <w:rFonts w:ascii="Century Gothic" w:hAnsi="Century Gothic"/>
          <w:sz w:val="24"/>
          <w:szCs w:val="24"/>
          <w:lang w:val="en-ZW"/>
        </w:rPr>
        <w:t>’s</w:t>
      </w:r>
      <w:r>
        <w:rPr>
          <w:rFonts w:ascii="Century Gothic" w:hAnsi="Century Gothic"/>
          <w:sz w:val="24"/>
          <w:szCs w:val="24"/>
          <w:lang w:val="en-ZW"/>
        </w:rPr>
        <w:t xml:space="preserve"> decision lacked merit and ought to be dismissed.</w:t>
      </w:r>
    </w:p>
    <w:p w14:paraId="787D221F" w14:textId="77777777" w:rsidR="00797A48" w:rsidRDefault="00797A48" w:rsidP="00C34BD3">
      <w:pPr>
        <w:spacing w:line="360" w:lineRule="auto"/>
        <w:jc w:val="both"/>
        <w:rPr>
          <w:rFonts w:ascii="Century Gothic" w:hAnsi="Century Gothic"/>
          <w:b/>
          <w:bCs/>
          <w:sz w:val="24"/>
          <w:szCs w:val="24"/>
          <w:u w:val="single"/>
          <w:lang w:val="en-ZW"/>
        </w:rPr>
      </w:pPr>
    </w:p>
    <w:p w14:paraId="1F23624D" w14:textId="39DD43C1" w:rsidR="00C34BD3" w:rsidRDefault="00C34BD3" w:rsidP="00C34BD3">
      <w:pPr>
        <w:spacing w:line="360" w:lineRule="auto"/>
        <w:jc w:val="both"/>
        <w:rPr>
          <w:rFonts w:ascii="Century Gothic" w:hAnsi="Century Gothic"/>
          <w:b/>
          <w:bCs/>
          <w:sz w:val="24"/>
          <w:szCs w:val="24"/>
          <w:u w:val="single"/>
          <w:lang w:val="en-ZW"/>
        </w:rPr>
      </w:pPr>
      <w:r w:rsidRPr="00C34BD3">
        <w:rPr>
          <w:rFonts w:ascii="Century Gothic" w:hAnsi="Century Gothic"/>
          <w:b/>
          <w:bCs/>
          <w:sz w:val="24"/>
          <w:szCs w:val="24"/>
          <w:u w:val="single"/>
          <w:lang w:val="en-ZW"/>
        </w:rPr>
        <w:t>Whether or not the appellant was obliged to institute criminal proceedings</w:t>
      </w:r>
    </w:p>
    <w:p w14:paraId="62DE4B7D" w14:textId="4C12618E" w:rsidR="00797A48" w:rsidRDefault="00797A48" w:rsidP="007508E6">
      <w:pPr>
        <w:pStyle w:val="ListParagraph"/>
        <w:numPr>
          <w:ilvl w:val="0"/>
          <w:numId w:val="1"/>
        </w:numPr>
        <w:spacing w:line="480" w:lineRule="auto"/>
        <w:jc w:val="both"/>
        <w:rPr>
          <w:rFonts w:ascii="Century Gothic" w:hAnsi="Century Gothic"/>
          <w:sz w:val="24"/>
          <w:szCs w:val="24"/>
          <w:lang w:val="en-ZW"/>
        </w:rPr>
      </w:pPr>
      <w:r>
        <w:rPr>
          <w:rFonts w:ascii="Century Gothic" w:hAnsi="Century Gothic"/>
          <w:sz w:val="24"/>
          <w:szCs w:val="24"/>
          <w:lang w:val="en-ZW"/>
        </w:rPr>
        <w:t>Regarding the last ground of appeal</w:t>
      </w:r>
      <w:r w:rsidR="001C0CF7">
        <w:rPr>
          <w:rFonts w:ascii="Century Gothic" w:hAnsi="Century Gothic"/>
          <w:sz w:val="24"/>
          <w:szCs w:val="24"/>
          <w:lang w:val="en-ZW"/>
        </w:rPr>
        <w:t>,</w:t>
      </w:r>
      <w:r>
        <w:rPr>
          <w:rFonts w:ascii="Century Gothic" w:hAnsi="Century Gothic"/>
          <w:sz w:val="24"/>
          <w:szCs w:val="24"/>
          <w:lang w:val="en-ZW"/>
        </w:rPr>
        <w:t xml:space="preserve"> Appellant stated that there was </w:t>
      </w:r>
      <w:r w:rsidR="007508E6" w:rsidRPr="007508E6">
        <w:rPr>
          <w:rFonts w:ascii="Century Gothic" w:hAnsi="Century Gothic"/>
          <w:sz w:val="24"/>
          <w:szCs w:val="24"/>
          <w:lang w:val="en-ZW"/>
        </w:rPr>
        <w:t xml:space="preserve">no significant harm </w:t>
      </w:r>
      <w:r>
        <w:rPr>
          <w:rFonts w:ascii="Century Gothic" w:hAnsi="Century Gothic"/>
          <w:sz w:val="24"/>
          <w:szCs w:val="24"/>
          <w:lang w:val="en-ZW"/>
        </w:rPr>
        <w:t xml:space="preserve">that had </w:t>
      </w:r>
      <w:r w:rsidR="007508E6" w:rsidRPr="007508E6">
        <w:rPr>
          <w:rFonts w:ascii="Century Gothic" w:hAnsi="Century Gothic"/>
          <w:sz w:val="24"/>
          <w:szCs w:val="24"/>
          <w:lang w:val="en-ZW"/>
        </w:rPr>
        <w:t>occurred</w:t>
      </w:r>
      <w:r>
        <w:rPr>
          <w:rFonts w:ascii="Century Gothic" w:hAnsi="Century Gothic"/>
          <w:sz w:val="24"/>
          <w:szCs w:val="24"/>
          <w:lang w:val="en-ZW"/>
        </w:rPr>
        <w:t xml:space="preserve"> to the bank</w:t>
      </w:r>
      <w:r w:rsidR="007508E6" w:rsidRPr="007508E6">
        <w:rPr>
          <w:rFonts w:ascii="Century Gothic" w:hAnsi="Century Gothic"/>
          <w:sz w:val="24"/>
          <w:szCs w:val="24"/>
          <w:lang w:val="en-ZW"/>
        </w:rPr>
        <w:t xml:space="preserve">, as the stolen amount </w:t>
      </w:r>
      <w:r>
        <w:rPr>
          <w:rFonts w:ascii="Century Gothic" w:hAnsi="Century Gothic"/>
          <w:sz w:val="24"/>
          <w:szCs w:val="24"/>
          <w:lang w:val="en-ZW"/>
        </w:rPr>
        <w:t xml:space="preserve">of </w:t>
      </w:r>
      <w:r w:rsidR="004C2D64">
        <w:rPr>
          <w:rFonts w:ascii="Century Gothic" w:hAnsi="Century Gothic"/>
          <w:sz w:val="24"/>
          <w:szCs w:val="24"/>
          <w:lang w:val="en-ZW"/>
        </w:rPr>
        <w:t>USD 75,000,000</w:t>
      </w:r>
      <w:r>
        <w:rPr>
          <w:rFonts w:ascii="Century Gothic" w:hAnsi="Century Gothic"/>
          <w:sz w:val="24"/>
          <w:szCs w:val="24"/>
          <w:lang w:val="en-ZW"/>
        </w:rPr>
        <w:t xml:space="preserve"> </w:t>
      </w:r>
      <w:r w:rsidR="007508E6" w:rsidRPr="007508E6">
        <w:rPr>
          <w:rFonts w:ascii="Century Gothic" w:hAnsi="Century Gothic"/>
          <w:sz w:val="24"/>
          <w:szCs w:val="24"/>
          <w:lang w:val="en-ZW"/>
        </w:rPr>
        <w:t xml:space="preserve">was recovered on the same day it was discovered missing. </w:t>
      </w:r>
      <w:r>
        <w:rPr>
          <w:rFonts w:ascii="Century Gothic" w:hAnsi="Century Gothic"/>
          <w:sz w:val="24"/>
          <w:szCs w:val="24"/>
          <w:lang w:val="en-ZW"/>
        </w:rPr>
        <w:t xml:space="preserve">Appellant quoted </w:t>
      </w:r>
      <w:r w:rsidRPr="00797A48">
        <w:rPr>
          <w:rFonts w:ascii="Century Gothic" w:hAnsi="Century Gothic"/>
          <w:sz w:val="24"/>
          <w:szCs w:val="24"/>
          <w:lang w:val="en-ZW"/>
        </w:rPr>
        <w:t xml:space="preserve">Clause 3.3 of the </w:t>
      </w:r>
      <w:r w:rsidR="004C2D64">
        <w:rPr>
          <w:rFonts w:ascii="Century Gothic" w:hAnsi="Century Gothic"/>
          <w:sz w:val="24"/>
          <w:szCs w:val="24"/>
          <w:lang w:val="en-ZW"/>
        </w:rPr>
        <w:t>S</w:t>
      </w:r>
      <w:r w:rsidRPr="00797A48">
        <w:rPr>
          <w:rFonts w:ascii="Century Gothic" w:hAnsi="Century Gothic"/>
          <w:sz w:val="24"/>
          <w:szCs w:val="24"/>
          <w:lang w:val="en-ZW"/>
        </w:rPr>
        <w:t xml:space="preserve">ecurity Policy and </w:t>
      </w:r>
      <w:r w:rsidR="004C2D64" w:rsidRPr="00797A48">
        <w:rPr>
          <w:rFonts w:ascii="Century Gothic" w:hAnsi="Century Gothic"/>
          <w:sz w:val="24"/>
          <w:szCs w:val="24"/>
          <w:lang w:val="en-ZW"/>
        </w:rPr>
        <w:t>Procedure</w:t>
      </w:r>
      <w:r w:rsidRPr="00797A48">
        <w:rPr>
          <w:rFonts w:ascii="Century Gothic" w:hAnsi="Century Gothic"/>
          <w:sz w:val="24"/>
          <w:szCs w:val="24"/>
          <w:lang w:val="en-ZW"/>
        </w:rPr>
        <w:t xml:space="preserve"> Manual</w:t>
      </w:r>
      <w:r w:rsidR="004C2D64">
        <w:rPr>
          <w:rFonts w:ascii="Century Gothic" w:hAnsi="Century Gothic"/>
          <w:sz w:val="24"/>
          <w:szCs w:val="24"/>
          <w:lang w:val="en-ZW"/>
        </w:rPr>
        <w:t xml:space="preserve"> of the bank which stated that</w:t>
      </w:r>
      <w:r w:rsidR="00283362">
        <w:rPr>
          <w:rFonts w:ascii="Century Gothic" w:hAnsi="Century Gothic"/>
          <w:sz w:val="24"/>
          <w:szCs w:val="24"/>
          <w:lang w:val="en-ZW"/>
        </w:rPr>
        <w:t>:</w:t>
      </w:r>
    </w:p>
    <w:p w14:paraId="59E2DDEB" w14:textId="4248E50B" w:rsidR="00797A48" w:rsidRPr="00283362" w:rsidRDefault="00797A48" w:rsidP="00283362">
      <w:pPr>
        <w:pStyle w:val="ListParagraph"/>
        <w:spacing w:line="480" w:lineRule="auto"/>
        <w:ind w:left="1440"/>
        <w:jc w:val="both"/>
        <w:rPr>
          <w:rFonts w:ascii="Century Gothic" w:hAnsi="Century Gothic"/>
          <w:lang w:val="en-ZW"/>
        </w:rPr>
      </w:pPr>
      <w:r w:rsidRPr="00283362">
        <w:rPr>
          <w:rFonts w:ascii="Century Gothic" w:hAnsi="Century Gothic"/>
          <w:lang w:val="en-ZW"/>
        </w:rPr>
        <w:t>Notwithstanding the provisions of paragraph (3.2) above, only cases where there is material prejudice to the bank will be reported to the police. In all other cases insurance requirement will apply.</w:t>
      </w:r>
    </w:p>
    <w:p w14:paraId="7E60AB63" w14:textId="3D43D6B8" w:rsidR="007508E6" w:rsidRPr="007508E6" w:rsidRDefault="007508E6" w:rsidP="007508E6">
      <w:pPr>
        <w:pStyle w:val="ListParagraph"/>
        <w:numPr>
          <w:ilvl w:val="0"/>
          <w:numId w:val="1"/>
        </w:numPr>
        <w:spacing w:line="480" w:lineRule="auto"/>
        <w:jc w:val="both"/>
        <w:rPr>
          <w:rFonts w:ascii="Century Gothic" w:hAnsi="Century Gothic"/>
          <w:sz w:val="24"/>
          <w:szCs w:val="24"/>
          <w:lang w:val="en-ZW"/>
        </w:rPr>
      </w:pPr>
      <w:r w:rsidRPr="007508E6">
        <w:rPr>
          <w:rFonts w:ascii="Century Gothic" w:hAnsi="Century Gothic"/>
          <w:sz w:val="24"/>
          <w:szCs w:val="24"/>
          <w:lang w:val="en-ZW"/>
        </w:rPr>
        <w:t xml:space="preserve"> Therefore, </w:t>
      </w:r>
      <w:r w:rsidR="004C2D64">
        <w:rPr>
          <w:rFonts w:ascii="Century Gothic" w:hAnsi="Century Gothic"/>
          <w:sz w:val="24"/>
          <w:szCs w:val="24"/>
          <w:lang w:val="en-ZW"/>
        </w:rPr>
        <w:t xml:space="preserve">the Appellant concluded that </w:t>
      </w:r>
      <w:r w:rsidRPr="007508E6">
        <w:rPr>
          <w:rFonts w:ascii="Century Gothic" w:hAnsi="Century Gothic"/>
          <w:sz w:val="24"/>
          <w:szCs w:val="24"/>
          <w:lang w:val="en-ZW"/>
        </w:rPr>
        <w:t xml:space="preserve">the Disciplinary Authority made an error in </w:t>
      </w:r>
      <w:r w:rsidR="004C2D64">
        <w:rPr>
          <w:rFonts w:ascii="Century Gothic" w:hAnsi="Century Gothic"/>
          <w:sz w:val="24"/>
          <w:szCs w:val="24"/>
          <w:lang w:val="en-ZW"/>
        </w:rPr>
        <w:t>deciding</w:t>
      </w:r>
      <w:r w:rsidRPr="007508E6">
        <w:rPr>
          <w:rFonts w:ascii="Century Gothic" w:hAnsi="Century Gothic"/>
          <w:sz w:val="24"/>
          <w:szCs w:val="24"/>
          <w:lang w:val="en-ZW"/>
        </w:rPr>
        <w:t xml:space="preserve"> that the Appellant should have initiated criminal proceedings</w:t>
      </w:r>
      <w:r w:rsidR="004C2D64">
        <w:rPr>
          <w:rFonts w:ascii="Century Gothic" w:hAnsi="Century Gothic"/>
          <w:sz w:val="24"/>
          <w:szCs w:val="24"/>
          <w:lang w:val="en-ZW"/>
        </w:rPr>
        <w:t xml:space="preserve"> as there was no material prejudice to the bank.</w:t>
      </w:r>
    </w:p>
    <w:p w14:paraId="732B4A9F" w14:textId="54D84ABB" w:rsidR="004C7174" w:rsidRPr="004C7174" w:rsidRDefault="004C2D64" w:rsidP="004C7174">
      <w:pPr>
        <w:spacing w:line="480" w:lineRule="auto"/>
        <w:jc w:val="both"/>
        <w:rPr>
          <w:rFonts w:ascii="Century Gothic" w:hAnsi="Century Gothic"/>
          <w:b/>
          <w:bCs/>
          <w:sz w:val="24"/>
          <w:szCs w:val="24"/>
        </w:rPr>
      </w:pPr>
      <w:r>
        <w:rPr>
          <w:rFonts w:ascii="Century Gothic" w:hAnsi="Century Gothic"/>
          <w:b/>
          <w:bCs/>
          <w:sz w:val="24"/>
          <w:szCs w:val="24"/>
        </w:rPr>
        <w:t>RESPONDENTS SUBMISSIONS</w:t>
      </w:r>
    </w:p>
    <w:p w14:paraId="6AFF89D5" w14:textId="37607F67" w:rsidR="005359A3" w:rsidRPr="004C2D64" w:rsidRDefault="00C439C1" w:rsidP="00D92C63">
      <w:pPr>
        <w:pStyle w:val="ListParagraph"/>
        <w:numPr>
          <w:ilvl w:val="0"/>
          <w:numId w:val="1"/>
        </w:numPr>
        <w:spacing w:line="480" w:lineRule="auto"/>
        <w:jc w:val="both"/>
        <w:rPr>
          <w:rFonts w:ascii="Century Gothic" w:hAnsi="Century Gothic"/>
          <w:sz w:val="24"/>
          <w:szCs w:val="24"/>
          <w:lang w:val="en-ZW"/>
        </w:rPr>
      </w:pPr>
      <w:r w:rsidRPr="004C2D64">
        <w:rPr>
          <w:rFonts w:ascii="Century Gothic" w:hAnsi="Century Gothic"/>
          <w:sz w:val="24"/>
          <w:szCs w:val="24"/>
        </w:rPr>
        <w:t xml:space="preserve">Respondent submitted that </w:t>
      </w:r>
      <w:r w:rsidR="005359A3" w:rsidRPr="004C2D64">
        <w:rPr>
          <w:rFonts w:ascii="Century Gothic" w:hAnsi="Century Gothic"/>
          <w:sz w:val="24"/>
          <w:szCs w:val="24"/>
          <w:lang w:val="en-ZW"/>
        </w:rPr>
        <w:t>grounds of appeal N</w:t>
      </w:r>
      <w:r w:rsidRPr="004C2D64">
        <w:rPr>
          <w:rFonts w:ascii="Century Gothic" w:hAnsi="Century Gothic"/>
          <w:sz w:val="24"/>
          <w:szCs w:val="24"/>
          <w:lang w:val="en-ZW"/>
        </w:rPr>
        <w:t>umber</w:t>
      </w:r>
      <w:r w:rsidR="005359A3" w:rsidRPr="004C2D64">
        <w:rPr>
          <w:rFonts w:ascii="Century Gothic" w:hAnsi="Century Gothic"/>
          <w:sz w:val="24"/>
          <w:szCs w:val="24"/>
          <w:lang w:val="en-ZW"/>
        </w:rPr>
        <w:t xml:space="preserve"> 1, 2, and 3, the Appellant seeks to challenge the findings made by the Disciplinary Authority regarding the negligent cash check (count 1). </w:t>
      </w:r>
      <w:r w:rsidRPr="004C2D64">
        <w:rPr>
          <w:rFonts w:ascii="Century Gothic" w:hAnsi="Century Gothic"/>
          <w:sz w:val="24"/>
          <w:szCs w:val="24"/>
          <w:lang w:val="en-ZW"/>
        </w:rPr>
        <w:t>He noted that t</w:t>
      </w:r>
      <w:r w:rsidR="005359A3" w:rsidRPr="004C2D64">
        <w:rPr>
          <w:rFonts w:ascii="Century Gothic" w:hAnsi="Century Gothic"/>
          <w:sz w:val="24"/>
          <w:szCs w:val="24"/>
          <w:lang w:val="en-ZW"/>
        </w:rPr>
        <w:t xml:space="preserve">he key facts that led to the misconduct charge against the Appellant </w:t>
      </w:r>
      <w:r w:rsidRPr="004C2D64">
        <w:rPr>
          <w:rFonts w:ascii="Century Gothic" w:hAnsi="Century Gothic"/>
          <w:sz w:val="24"/>
          <w:szCs w:val="24"/>
          <w:lang w:val="en-ZW"/>
        </w:rPr>
        <w:t>were</w:t>
      </w:r>
      <w:r w:rsidR="005359A3" w:rsidRPr="004C2D64">
        <w:rPr>
          <w:rFonts w:ascii="Century Gothic" w:hAnsi="Century Gothic"/>
          <w:sz w:val="24"/>
          <w:szCs w:val="24"/>
          <w:lang w:val="en-ZW"/>
        </w:rPr>
        <w:t xml:space="preserve"> </w:t>
      </w:r>
      <w:r w:rsidRPr="004C2D64">
        <w:rPr>
          <w:rFonts w:ascii="Century Gothic" w:hAnsi="Century Gothic"/>
          <w:sz w:val="24"/>
          <w:szCs w:val="24"/>
          <w:lang w:val="en-ZW"/>
        </w:rPr>
        <w:t>that o</w:t>
      </w:r>
      <w:r w:rsidR="005359A3" w:rsidRPr="004C2D64">
        <w:rPr>
          <w:rFonts w:ascii="Century Gothic" w:hAnsi="Century Gothic"/>
          <w:sz w:val="24"/>
          <w:szCs w:val="24"/>
          <w:lang w:val="en-ZW"/>
        </w:rPr>
        <w:t xml:space="preserve">n </w:t>
      </w:r>
      <w:r w:rsidRPr="004C2D64">
        <w:rPr>
          <w:rFonts w:ascii="Century Gothic" w:hAnsi="Century Gothic"/>
          <w:sz w:val="24"/>
          <w:szCs w:val="24"/>
          <w:lang w:val="en-ZW"/>
        </w:rPr>
        <w:t xml:space="preserve">the </w:t>
      </w:r>
      <w:r w:rsidR="009C64B3" w:rsidRPr="004C2D64">
        <w:rPr>
          <w:rFonts w:ascii="Century Gothic" w:hAnsi="Century Gothic"/>
          <w:sz w:val="24"/>
          <w:szCs w:val="24"/>
          <w:lang w:val="en-ZW"/>
        </w:rPr>
        <w:t>28</w:t>
      </w:r>
      <w:r w:rsidR="009C64B3" w:rsidRPr="004C2D64">
        <w:rPr>
          <w:rFonts w:ascii="Century Gothic" w:hAnsi="Century Gothic"/>
          <w:sz w:val="24"/>
          <w:szCs w:val="24"/>
          <w:vertAlign w:val="superscript"/>
          <w:lang w:val="en-ZW"/>
        </w:rPr>
        <w:t>th</w:t>
      </w:r>
      <w:r w:rsidR="009C64B3" w:rsidRPr="004C2D64">
        <w:rPr>
          <w:rFonts w:ascii="Century Gothic" w:hAnsi="Century Gothic"/>
          <w:sz w:val="24"/>
          <w:szCs w:val="24"/>
          <w:lang w:val="en-ZW"/>
        </w:rPr>
        <w:t xml:space="preserve"> </w:t>
      </w:r>
      <w:r w:rsidR="00F07746" w:rsidRPr="004C2D64">
        <w:rPr>
          <w:rFonts w:ascii="Century Gothic" w:hAnsi="Century Gothic"/>
          <w:sz w:val="24"/>
          <w:szCs w:val="24"/>
          <w:lang w:val="en-ZW"/>
        </w:rPr>
        <w:t>of</w:t>
      </w:r>
      <w:r w:rsidRPr="004C2D64">
        <w:rPr>
          <w:rFonts w:ascii="Century Gothic" w:hAnsi="Century Gothic"/>
          <w:sz w:val="24"/>
          <w:szCs w:val="24"/>
          <w:lang w:val="en-ZW"/>
        </w:rPr>
        <w:t xml:space="preserve"> </w:t>
      </w:r>
      <w:r w:rsidR="005359A3" w:rsidRPr="004C2D64">
        <w:rPr>
          <w:rFonts w:ascii="Century Gothic" w:hAnsi="Century Gothic"/>
          <w:sz w:val="24"/>
          <w:szCs w:val="24"/>
          <w:lang w:val="en-ZW"/>
        </w:rPr>
        <w:t xml:space="preserve">October 2022, the </w:t>
      </w:r>
      <w:r w:rsidRPr="004C2D64">
        <w:rPr>
          <w:rFonts w:ascii="Century Gothic" w:hAnsi="Century Gothic"/>
          <w:sz w:val="24"/>
          <w:szCs w:val="24"/>
          <w:lang w:val="en-ZW"/>
        </w:rPr>
        <w:t>Respondent</w:t>
      </w:r>
      <w:r w:rsidR="005359A3" w:rsidRPr="004C2D64">
        <w:rPr>
          <w:rFonts w:ascii="Century Gothic" w:hAnsi="Century Gothic"/>
          <w:sz w:val="24"/>
          <w:szCs w:val="24"/>
          <w:lang w:val="en-ZW"/>
        </w:rPr>
        <w:t xml:space="preserve"> received a sum of US$3,000,000.00 from the Reserve Bank of Zimbabwe. However, this amount was omitted from the Bank’s Central Cash Depot Vault Register. </w:t>
      </w:r>
      <w:r w:rsidRPr="004C2D64">
        <w:rPr>
          <w:rFonts w:ascii="Century Gothic" w:hAnsi="Century Gothic"/>
          <w:sz w:val="24"/>
          <w:szCs w:val="24"/>
          <w:lang w:val="en-ZW"/>
        </w:rPr>
        <w:t>It was noted that o</w:t>
      </w:r>
      <w:r w:rsidR="005359A3" w:rsidRPr="004C2D64">
        <w:rPr>
          <w:rFonts w:ascii="Century Gothic" w:hAnsi="Century Gothic"/>
          <w:sz w:val="24"/>
          <w:szCs w:val="24"/>
          <w:lang w:val="en-ZW"/>
        </w:rPr>
        <w:t>n the same day, the Appellant conducted a cash check and certified the total figures on the Bank’s Vault Register, despite the omission.</w:t>
      </w:r>
    </w:p>
    <w:p w14:paraId="6857ADCF" w14:textId="37C0F596" w:rsidR="005359A3" w:rsidRPr="005359A3" w:rsidRDefault="00C439C1" w:rsidP="00D92C63">
      <w:pPr>
        <w:pStyle w:val="ListParagraph"/>
        <w:numPr>
          <w:ilvl w:val="0"/>
          <w:numId w:val="1"/>
        </w:numPr>
        <w:spacing w:line="480" w:lineRule="auto"/>
        <w:jc w:val="both"/>
        <w:rPr>
          <w:rFonts w:ascii="Century Gothic" w:hAnsi="Century Gothic"/>
          <w:sz w:val="24"/>
          <w:szCs w:val="24"/>
          <w:lang w:val="en-ZW"/>
        </w:rPr>
      </w:pPr>
      <w:r>
        <w:rPr>
          <w:rFonts w:ascii="Century Gothic" w:hAnsi="Century Gothic"/>
          <w:sz w:val="24"/>
          <w:szCs w:val="24"/>
          <w:lang w:val="en-ZW"/>
        </w:rPr>
        <w:t>Respondent</w:t>
      </w:r>
      <w:r w:rsidR="001C0CF7">
        <w:rPr>
          <w:rFonts w:ascii="Century Gothic" w:hAnsi="Century Gothic"/>
          <w:sz w:val="24"/>
          <w:szCs w:val="24"/>
          <w:lang w:val="en-ZW"/>
        </w:rPr>
        <w:t xml:space="preserve"> further</w:t>
      </w:r>
      <w:r>
        <w:rPr>
          <w:rFonts w:ascii="Century Gothic" w:hAnsi="Century Gothic"/>
          <w:sz w:val="24"/>
          <w:szCs w:val="24"/>
          <w:lang w:val="en-ZW"/>
        </w:rPr>
        <w:t xml:space="preserve"> stated that in</w:t>
      </w:r>
      <w:r w:rsidR="005359A3" w:rsidRPr="005359A3">
        <w:rPr>
          <w:rFonts w:ascii="Century Gothic" w:hAnsi="Century Gothic"/>
          <w:sz w:val="24"/>
          <w:szCs w:val="24"/>
          <w:lang w:val="en-ZW"/>
        </w:rPr>
        <w:t xml:space="preserve"> determining the misconduct charge, the Disciplinary Authority concluded</w:t>
      </w:r>
      <w:r>
        <w:rPr>
          <w:rFonts w:ascii="Century Gothic" w:hAnsi="Century Gothic"/>
          <w:sz w:val="24"/>
          <w:szCs w:val="24"/>
          <w:lang w:val="en-ZW"/>
        </w:rPr>
        <w:t xml:space="preserve"> that</w:t>
      </w:r>
      <w:r w:rsidR="005359A3" w:rsidRPr="005359A3">
        <w:rPr>
          <w:rFonts w:ascii="Century Gothic" w:hAnsi="Century Gothic"/>
          <w:sz w:val="24"/>
          <w:szCs w:val="24"/>
          <w:lang w:val="en-ZW"/>
        </w:rPr>
        <w:t xml:space="preserve"> </w:t>
      </w:r>
      <w:r>
        <w:rPr>
          <w:rFonts w:ascii="Century Gothic" w:hAnsi="Century Gothic"/>
          <w:sz w:val="24"/>
          <w:szCs w:val="24"/>
          <w:lang w:val="en-ZW"/>
        </w:rPr>
        <w:t>d</w:t>
      </w:r>
      <w:r w:rsidR="005359A3" w:rsidRPr="005359A3">
        <w:rPr>
          <w:rFonts w:ascii="Century Gothic" w:hAnsi="Century Gothic"/>
          <w:sz w:val="24"/>
          <w:szCs w:val="24"/>
          <w:lang w:val="en-ZW"/>
        </w:rPr>
        <w:t xml:space="preserve">uring cross-examination, the Appellant admitted to the facts upon which the misconduct charge was based. These facts showed that the Appellant had certified inaccurate information and failed to perform a thorough cash check. </w:t>
      </w:r>
      <w:r>
        <w:rPr>
          <w:rFonts w:ascii="Century Gothic" w:hAnsi="Century Gothic"/>
          <w:sz w:val="24"/>
          <w:szCs w:val="24"/>
          <w:lang w:val="en-ZW"/>
        </w:rPr>
        <w:t>Hence, t</w:t>
      </w:r>
      <w:r w:rsidR="005359A3" w:rsidRPr="005359A3">
        <w:rPr>
          <w:rFonts w:ascii="Century Gothic" w:hAnsi="Century Gothic"/>
          <w:sz w:val="24"/>
          <w:szCs w:val="24"/>
          <w:lang w:val="en-ZW"/>
        </w:rPr>
        <w:t xml:space="preserve">he Appellant’s act of certifying inaccurate information was inconsistent with the express or implied terms of his employment contract. </w:t>
      </w:r>
      <w:r>
        <w:rPr>
          <w:rFonts w:ascii="Century Gothic" w:hAnsi="Century Gothic"/>
          <w:sz w:val="24"/>
          <w:szCs w:val="24"/>
          <w:lang w:val="en-ZW"/>
        </w:rPr>
        <w:t xml:space="preserve">Respondent went further to </w:t>
      </w:r>
      <w:r w:rsidR="00D81517">
        <w:rPr>
          <w:rFonts w:ascii="Century Gothic" w:hAnsi="Century Gothic"/>
          <w:sz w:val="24"/>
          <w:szCs w:val="24"/>
          <w:lang w:val="en-ZW"/>
        </w:rPr>
        <w:t>state</w:t>
      </w:r>
      <w:r>
        <w:rPr>
          <w:rFonts w:ascii="Century Gothic" w:hAnsi="Century Gothic"/>
          <w:sz w:val="24"/>
          <w:szCs w:val="24"/>
          <w:lang w:val="en-ZW"/>
        </w:rPr>
        <w:t xml:space="preserve"> that, had</w:t>
      </w:r>
      <w:r w:rsidR="005359A3" w:rsidRPr="005359A3">
        <w:rPr>
          <w:rFonts w:ascii="Century Gothic" w:hAnsi="Century Gothic"/>
          <w:sz w:val="24"/>
          <w:szCs w:val="24"/>
          <w:lang w:val="en-ZW"/>
        </w:rPr>
        <w:t xml:space="preserve"> the Appellant been diligent in carrying out his duties, he would have noticed the omission in the vault register. However, he did not act with due diligence, and as a result, he failed to notice the error.</w:t>
      </w:r>
    </w:p>
    <w:p w14:paraId="66279DAC" w14:textId="2A5B2663" w:rsidR="003569AE" w:rsidRDefault="00D81517" w:rsidP="00D92C63">
      <w:pPr>
        <w:pStyle w:val="ListParagraph"/>
        <w:numPr>
          <w:ilvl w:val="0"/>
          <w:numId w:val="1"/>
        </w:numPr>
        <w:spacing w:line="480" w:lineRule="auto"/>
        <w:jc w:val="both"/>
        <w:rPr>
          <w:rFonts w:ascii="Century Gothic" w:hAnsi="Century Gothic"/>
          <w:sz w:val="24"/>
          <w:szCs w:val="24"/>
        </w:rPr>
      </w:pPr>
      <w:r>
        <w:rPr>
          <w:rFonts w:ascii="Century Gothic" w:hAnsi="Century Gothic"/>
          <w:sz w:val="24"/>
          <w:szCs w:val="24"/>
        </w:rPr>
        <w:t xml:space="preserve">Respondent stated that </w:t>
      </w:r>
      <w:r w:rsidR="005359A3" w:rsidRPr="005359A3">
        <w:rPr>
          <w:rFonts w:ascii="Century Gothic" w:hAnsi="Century Gothic"/>
          <w:sz w:val="24"/>
          <w:szCs w:val="24"/>
        </w:rPr>
        <w:t xml:space="preserve">grounds of appeal </w:t>
      </w:r>
      <w:r w:rsidR="00195339">
        <w:rPr>
          <w:rFonts w:ascii="Century Gothic" w:hAnsi="Century Gothic"/>
          <w:sz w:val="24"/>
          <w:szCs w:val="24"/>
        </w:rPr>
        <w:t>number</w:t>
      </w:r>
      <w:r w:rsidR="005359A3" w:rsidRPr="005359A3">
        <w:rPr>
          <w:rFonts w:ascii="Century Gothic" w:hAnsi="Century Gothic"/>
          <w:sz w:val="24"/>
          <w:szCs w:val="24"/>
        </w:rPr>
        <w:t xml:space="preserve"> 1 and 2 miss</w:t>
      </w:r>
      <w:r>
        <w:rPr>
          <w:rFonts w:ascii="Century Gothic" w:hAnsi="Century Gothic"/>
          <w:sz w:val="24"/>
          <w:szCs w:val="24"/>
        </w:rPr>
        <w:t>ed</w:t>
      </w:r>
      <w:r w:rsidR="005359A3" w:rsidRPr="005359A3">
        <w:rPr>
          <w:rFonts w:ascii="Century Gothic" w:hAnsi="Century Gothic"/>
          <w:sz w:val="24"/>
          <w:szCs w:val="24"/>
        </w:rPr>
        <w:t xml:space="preserve"> the point. Whether or not the Teller Policy was in effect or applied to the Appellant </w:t>
      </w:r>
      <w:r w:rsidR="008B69B0">
        <w:rPr>
          <w:rFonts w:ascii="Century Gothic" w:hAnsi="Century Gothic"/>
          <w:sz w:val="24"/>
          <w:szCs w:val="24"/>
        </w:rPr>
        <w:t>was</w:t>
      </w:r>
      <w:r w:rsidR="005359A3" w:rsidRPr="005359A3">
        <w:rPr>
          <w:rFonts w:ascii="Century Gothic" w:hAnsi="Century Gothic"/>
          <w:sz w:val="24"/>
          <w:szCs w:val="24"/>
        </w:rPr>
        <w:t xml:space="preserve"> irrelevant. </w:t>
      </w:r>
      <w:r w:rsidR="008B69B0">
        <w:rPr>
          <w:rFonts w:ascii="Century Gothic" w:hAnsi="Century Gothic"/>
          <w:sz w:val="24"/>
          <w:szCs w:val="24"/>
        </w:rPr>
        <w:t>Respondent argued that t</w:t>
      </w:r>
      <w:r w:rsidR="005359A3" w:rsidRPr="005359A3">
        <w:rPr>
          <w:rFonts w:ascii="Century Gothic" w:hAnsi="Century Gothic"/>
          <w:sz w:val="24"/>
          <w:szCs w:val="24"/>
        </w:rPr>
        <w:t>hrough his admitted actions, the Appellant breached his common law duty to exercise due care and diligence at all times. This duty did not need to be specified in a written policy to be enforceable or for the employee to be held accountable for its violation.</w:t>
      </w:r>
    </w:p>
    <w:p w14:paraId="3552A2A1" w14:textId="2C95A252" w:rsidR="00FC40BF" w:rsidRDefault="00FC40BF" w:rsidP="00D92C63">
      <w:pPr>
        <w:pStyle w:val="ListParagraph"/>
        <w:numPr>
          <w:ilvl w:val="0"/>
          <w:numId w:val="1"/>
        </w:numPr>
        <w:spacing w:line="480" w:lineRule="auto"/>
        <w:jc w:val="both"/>
        <w:rPr>
          <w:rFonts w:ascii="Century Gothic" w:hAnsi="Century Gothic"/>
          <w:sz w:val="24"/>
          <w:szCs w:val="24"/>
        </w:rPr>
      </w:pPr>
      <w:r w:rsidRPr="00FC40BF">
        <w:rPr>
          <w:rFonts w:ascii="Century Gothic" w:hAnsi="Century Gothic"/>
          <w:sz w:val="24"/>
          <w:szCs w:val="24"/>
        </w:rPr>
        <w:t xml:space="preserve">Likewise, </w:t>
      </w:r>
      <w:r w:rsidR="008B69B0">
        <w:rPr>
          <w:rFonts w:ascii="Century Gothic" w:hAnsi="Century Gothic"/>
          <w:sz w:val="24"/>
          <w:szCs w:val="24"/>
        </w:rPr>
        <w:t xml:space="preserve">the Respondent submitted that </w:t>
      </w:r>
      <w:r w:rsidRPr="00FC40BF">
        <w:rPr>
          <w:rFonts w:ascii="Century Gothic" w:hAnsi="Century Gothic"/>
          <w:sz w:val="24"/>
          <w:szCs w:val="24"/>
        </w:rPr>
        <w:t>ground of appeal</w:t>
      </w:r>
      <w:r w:rsidR="008B69B0">
        <w:rPr>
          <w:rFonts w:ascii="Century Gothic" w:hAnsi="Century Gothic"/>
          <w:sz w:val="24"/>
          <w:szCs w:val="24"/>
        </w:rPr>
        <w:t xml:space="preserve"> number</w:t>
      </w:r>
      <w:r w:rsidRPr="00FC40BF">
        <w:rPr>
          <w:rFonts w:ascii="Century Gothic" w:hAnsi="Century Gothic"/>
          <w:sz w:val="24"/>
          <w:szCs w:val="24"/>
        </w:rPr>
        <w:t xml:space="preserve"> 3 cannot be upheld. </w:t>
      </w:r>
      <w:r w:rsidR="008B69B0">
        <w:rPr>
          <w:rFonts w:ascii="Century Gothic" w:hAnsi="Century Gothic"/>
          <w:sz w:val="24"/>
          <w:szCs w:val="24"/>
        </w:rPr>
        <w:t>The Appellant’s</w:t>
      </w:r>
      <w:r w:rsidRPr="00FC40BF">
        <w:rPr>
          <w:rFonts w:ascii="Century Gothic" w:hAnsi="Century Gothic"/>
          <w:sz w:val="24"/>
          <w:szCs w:val="24"/>
        </w:rPr>
        <w:t xml:space="preserve"> argument </w:t>
      </w:r>
      <w:r w:rsidR="008B69B0">
        <w:rPr>
          <w:rFonts w:ascii="Century Gothic" w:hAnsi="Century Gothic"/>
          <w:sz w:val="24"/>
          <w:szCs w:val="24"/>
        </w:rPr>
        <w:t>on</w:t>
      </w:r>
      <w:r w:rsidRPr="00FC40BF">
        <w:rPr>
          <w:rFonts w:ascii="Century Gothic" w:hAnsi="Century Gothic"/>
          <w:sz w:val="24"/>
          <w:szCs w:val="24"/>
        </w:rPr>
        <w:t xml:space="preserve"> this ground </w:t>
      </w:r>
      <w:r w:rsidR="008B69B0">
        <w:rPr>
          <w:rFonts w:ascii="Century Gothic" w:hAnsi="Century Gothic"/>
          <w:sz w:val="24"/>
          <w:szCs w:val="24"/>
        </w:rPr>
        <w:t>was</w:t>
      </w:r>
      <w:r w:rsidRPr="00FC40BF">
        <w:rPr>
          <w:rFonts w:ascii="Century Gothic" w:hAnsi="Century Gothic"/>
          <w:sz w:val="24"/>
          <w:szCs w:val="24"/>
        </w:rPr>
        <w:t xml:space="preserve"> that he was not responsible for the misconduct, as the omission in the vault register was related to "day 2 validation."</w:t>
      </w:r>
      <w:r w:rsidR="008B69B0">
        <w:rPr>
          <w:rFonts w:ascii="Century Gothic" w:hAnsi="Century Gothic"/>
          <w:sz w:val="24"/>
          <w:szCs w:val="24"/>
        </w:rPr>
        <w:t xml:space="preserve"> He noted that what was</w:t>
      </w:r>
      <w:r w:rsidRPr="00FC40BF">
        <w:rPr>
          <w:rFonts w:ascii="Century Gothic" w:hAnsi="Century Gothic"/>
          <w:sz w:val="24"/>
          <w:szCs w:val="24"/>
        </w:rPr>
        <w:t xml:space="preserve"> apparent from the Appellant’s argument </w:t>
      </w:r>
      <w:r w:rsidR="008B69B0">
        <w:rPr>
          <w:rFonts w:ascii="Century Gothic" w:hAnsi="Century Gothic"/>
          <w:sz w:val="24"/>
          <w:szCs w:val="24"/>
        </w:rPr>
        <w:t>was</w:t>
      </w:r>
      <w:r w:rsidRPr="00FC40BF">
        <w:rPr>
          <w:rFonts w:ascii="Century Gothic" w:hAnsi="Century Gothic"/>
          <w:sz w:val="24"/>
          <w:szCs w:val="24"/>
        </w:rPr>
        <w:t xml:space="preserve"> an attempt to shift the blame onto others. However, </w:t>
      </w:r>
      <w:r w:rsidR="008B69B0">
        <w:rPr>
          <w:rFonts w:ascii="Century Gothic" w:hAnsi="Century Gothic"/>
          <w:sz w:val="24"/>
          <w:szCs w:val="24"/>
        </w:rPr>
        <w:t xml:space="preserve">Respondent noted that </w:t>
      </w:r>
      <w:r w:rsidRPr="00FC40BF">
        <w:rPr>
          <w:rFonts w:ascii="Century Gothic" w:hAnsi="Century Gothic"/>
          <w:sz w:val="24"/>
          <w:szCs w:val="24"/>
        </w:rPr>
        <w:t xml:space="preserve">as a matter of fact </w:t>
      </w:r>
      <w:r w:rsidR="008B69B0">
        <w:rPr>
          <w:rFonts w:ascii="Century Gothic" w:hAnsi="Century Gothic"/>
          <w:sz w:val="24"/>
          <w:szCs w:val="24"/>
        </w:rPr>
        <w:t xml:space="preserve">and </w:t>
      </w:r>
      <w:r w:rsidRPr="00FC40BF">
        <w:rPr>
          <w:rFonts w:ascii="Century Gothic" w:hAnsi="Century Gothic"/>
          <w:sz w:val="24"/>
          <w:szCs w:val="24"/>
        </w:rPr>
        <w:t>law, the Appellant cannot be exonerated from wrongdoing simply by claiming that others should have noticed the error instead of him.</w:t>
      </w:r>
      <w:r w:rsidR="001C0CF7">
        <w:rPr>
          <w:rFonts w:ascii="Century Gothic" w:hAnsi="Century Gothic"/>
          <w:sz w:val="24"/>
          <w:szCs w:val="24"/>
        </w:rPr>
        <w:t xml:space="preserve"> He was the ultimate responsible person.</w:t>
      </w:r>
    </w:p>
    <w:p w14:paraId="4AA1FAF9" w14:textId="77777777" w:rsidR="008B69B0" w:rsidRDefault="00FC40BF" w:rsidP="00D92C63">
      <w:pPr>
        <w:pStyle w:val="ListParagraph"/>
        <w:numPr>
          <w:ilvl w:val="0"/>
          <w:numId w:val="1"/>
        </w:numPr>
        <w:spacing w:line="480" w:lineRule="auto"/>
        <w:jc w:val="both"/>
        <w:rPr>
          <w:rFonts w:ascii="Century Gothic" w:hAnsi="Century Gothic"/>
          <w:sz w:val="24"/>
          <w:szCs w:val="24"/>
        </w:rPr>
      </w:pPr>
      <w:r w:rsidRPr="00FC40BF">
        <w:rPr>
          <w:rFonts w:ascii="Century Gothic" w:hAnsi="Century Gothic"/>
          <w:sz w:val="24"/>
          <w:szCs w:val="24"/>
        </w:rPr>
        <w:t xml:space="preserve">In grounds of appeal No. 4, 5, 6, and 7, </w:t>
      </w:r>
      <w:r w:rsidR="008B69B0">
        <w:rPr>
          <w:rFonts w:ascii="Century Gothic" w:hAnsi="Century Gothic"/>
          <w:sz w:val="24"/>
          <w:szCs w:val="24"/>
        </w:rPr>
        <w:t xml:space="preserve">Respondent stated that </w:t>
      </w:r>
      <w:r w:rsidRPr="00FC40BF">
        <w:rPr>
          <w:rFonts w:ascii="Century Gothic" w:hAnsi="Century Gothic"/>
          <w:sz w:val="24"/>
          <w:szCs w:val="24"/>
        </w:rPr>
        <w:t xml:space="preserve">the Appellant collectively seeks to challenge the findings made by the Disciplinary Authority regarding the failure to initiate criminal proceedings (count 2). The key facts that led to the misconduct charge against the Appellant </w:t>
      </w:r>
      <w:r w:rsidR="008B69B0">
        <w:rPr>
          <w:rFonts w:ascii="Century Gothic" w:hAnsi="Century Gothic"/>
          <w:sz w:val="24"/>
          <w:szCs w:val="24"/>
        </w:rPr>
        <w:t>were</w:t>
      </w:r>
      <w:r w:rsidRPr="00FC40BF">
        <w:rPr>
          <w:rFonts w:ascii="Century Gothic" w:hAnsi="Century Gothic"/>
          <w:sz w:val="24"/>
          <w:szCs w:val="24"/>
        </w:rPr>
        <w:t xml:space="preserve"> as follows:</w:t>
      </w:r>
      <w:r w:rsidR="00195339">
        <w:rPr>
          <w:rFonts w:ascii="Century Gothic" w:hAnsi="Century Gothic"/>
          <w:sz w:val="24"/>
          <w:szCs w:val="24"/>
        </w:rPr>
        <w:t xml:space="preserve"> </w:t>
      </w:r>
    </w:p>
    <w:p w14:paraId="3E8B91CC" w14:textId="4CBC0272" w:rsidR="008B69B0" w:rsidRPr="00A8068F" w:rsidRDefault="008B69B0" w:rsidP="00D92C63">
      <w:pPr>
        <w:pStyle w:val="ListParagraph"/>
        <w:spacing w:line="480" w:lineRule="auto"/>
        <w:ind w:left="1440"/>
        <w:jc w:val="both"/>
        <w:rPr>
          <w:rFonts w:ascii="Century Gothic" w:hAnsi="Century Gothic"/>
        </w:rPr>
      </w:pPr>
      <w:r w:rsidRPr="00A8068F">
        <w:rPr>
          <w:rFonts w:ascii="Century Gothic" w:hAnsi="Century Gothic"/>
        </w:rPr>
        <w:t>“</w:t>
      </w:r>
      <w:r w:rsidR="00FC40BF" w:rsidRPr="00A8068F">
        <w:rPr>
          <w:rFonts w:ascii="Century Gothic" w:hAnsi="Century Gothic"/>
        </w:rPr>
        <w:t>Internal investigations revealed that US$75,000.00 had been unlawfully taken from the Bank’s vault by vault co-custodian, Kudakwashe Benza (“Mr. Benza”)</w:t>
      </w:r>
      <w:r w:rsidR="006446EB" w:rsidRPr="00A8068F">
        <w:rPr>
          <w:rFonts w:ascii="Century Gothic" w:hAnsi="Century Gothic"/>
        </w:rPr>
        <w:t>”</w:t>
      </w:r>
      <w:r w:rsidR="00FC40BF" w:rsidRPr="00A8068F">
        <w:rPr>
          <w:rFonts w:ascii="Century Gothic" w:hAnsi="Century Gothic"/>
        </w:rPr>
        <w:t xml:space="preserve">. </w:t>
      </w:r>
    </w:p>
    <w:p w14:paraId="3882D97A" w14:textId="45ACC258" w:rsidR="00FC40BF" w:rsidRPr="00195339" w:rsidRDefault="00FC40BF" w:rsidP="00D92C63">
      <w:pPr>
        <w:pStyle w:val="ListParagraph"/>
        <w:spacing w:line="480" w:lineRule="auto"/>
        <w:jc w:val="both"/>
        <w:rPr>
          <w:rFonts w:ascii="Century Gothic" w:hAnsi="Century Gothic"/>
          <w:sz w:val="24"/>
          <w:szCs w:val="24"/>
        </w:rPr>
      </w:pPr>
      <w:r w:rsidRPr="00195339">
        <w:rPr>
          <w:rFonts w:ascii="Century Gothic" w:hAnsi="Century Gothic"/>
          <w:sz w:val="24"/>
          <w:szCs w:val="24"/>
        </w:rPr>
        <w:t>This amount was eventually recovered from Mr. Benza’s residence.</w:t>
      </w:r>
      <w:r w:rsidR="008B69B0">
        <w:rPr>
          <w:rFonts w:ascii="Century Gothic" w:hAnsi="Century Gothic"/>
          <w:sz w:val="24"/>
          <w:szCs w:val="24"/>
        </w:rPr>
        <w:t>”</w:t>
      </w:r>
      <w:r w:rsidRPr="00195339">
        <w:rPr>
          <w:rFonts w:ascii="Century Gothic" w:hAnsi="Century Gothic"/>
          <w:sz w:val="24"/>
          <w:szCs w:val="24"/>
        </w:rPr>
        <w:t xml:space="preserve"> Despite the Appellant’s position as Senior Manager, </w:t>
      </w:r>
      <w:r w:rsidR="008B69B0">
        <w:rPr>
          <w:rFonts w:ascii="Century Gothic" w:hAnsi="Century Gothic"/>
          <w:sz w:val="24"/>
          <w:szCs w:val="24"/>
        </w:rPr>
        <w:t xml:space="preserve">Respondent submitted that </w:t>
      </w:r>
      <w:r w:rsidRPr="00195339">
        <w:rPr>
          <w:rFonts w:ascii="Century Gothic" w:hAnsi="Century Gothic"/>
          <w:sz w:val="24"/>
          <w:szCs w:val="24"/>
        </w:rPr>
        <w:t>he failed or neglected to take any action against Mr. Benza.</w:t>
      </w:r>
    </w:p>
    <w:p w14:paraId="4F198176" w14:textId="18A6B100" w:rsidR="00FC40BF" w:rsidRPr="00BC18CF" w:rsidRDefault="00BC18CF" w:rsidP="00BC18CF">
      <w:pPr>
        <w:pStyle w:val="ListParagraph"/>
        <w:numPr>
          <w:ilvl w:val="0"/>
          <w:numId w:val="1"/>
        </w:numPr>
        <w:spacing w:line="480" w:lineRule="auto"/>
        <w:jc w:val="both"/>
        <w:rPr>
          <w:rFonts w:ascii="Century Gothic" w:hAnsi="Century Gothic"/>
          <w:sz w:val="24"/>
          <w:szCs w:val="24"/>
        </w:rPr>
      </w:pPr>
      <w:r>
        <w:rPr>
          <w:rFonts w:ascii="Century Gothic" w:hAnsi="Century Gothic"/>
          <w:sz w:val="24"/>
          <w:szCs w:val="24"/>
        </w:rPr>
        <w:t xml:space="preserve">The </w:t>
      </w:r>
      <w:r w:rsidR="00DF349B">
        <w:rPr>
          <w:rFonts w:ascii="Century Gothic" w:hAnsi="Century Gothic"/>
          <w:sz w:val="24"/>
          <w:szCs w:val="24"/>
        </w:rPr>
        <w:t>Respondent further noted that a</w:t>
      </w:r>
      <w:r w:rsidR="00FC40BF" w:rsidRPr="00FC40BF">
        <w:rPr>
          <w:rFonts w:ascii="Century Gothic" w:hAnsi="Century Gothic"/>
          <w:sz w:val="24"/>
          <w:szCs w:val="24"/>
        </w:rPr>
        <w:t>fter the funds were recovered, no further action was taken by the Appellant or his team. The matter was not reported to the police and instead faded away.</w:t>
      </w:r>
      <w:r w:rsidR="00195339">
        <w:rPr>
          <w:rFonts w:ascii="Century Gothic" w:hAnsi="Century Gothic"/>
          <w:sz w:val="24"/>
          <w:szCs w:val="24"/>
        </w:rPr>
        <w:t xml:space="preserve"> </w:t>
      </w:r>
      <w:r w:rsidR="00DF349B">
        <w:rPr>
          <w:rFonts w:ascii="Century Gothic" w:hAnsi="Century Gothic"/>
          <w:sz w:val="24"/>
          <w:szCs w:val="24"/>
        </w:rPr>
        <w:t>Respondent s</w:t>
      </w:r>
      <w:r w:rsidR="00BA4C9A">
        <w:rPr>
          <w:rFonts w:ascii="Century Gothic" w:hAnsi="Century Gothic"/>
          <w:sz w:val="24"/>
          <w:szCs w:val="24"/>
        </w:rPr>
        <w:t>aid</w:t>
      </w:r>
      <w:r w:rsidR="00DF349B">
        <w:rPr>
          <w:rFonts w:ascii="Century Gothic" w:hAnsi="Century Gothic"/>
          <w:sz w:val="24"/>
          <w:szCs w:val="24"/>
        </w:rPr>
        <w:t xml:space="preserve"> that a</w:t>
      </w:r>
      <w:r w:rsidR="00FC40BF" w:rsidRPr="00195339">
        <w:rPr>
          <w:rFonts w:ascii="Century Gothic" w:hAnsi="Century Gothic"/>
          <w:sz w:val="24"/>
          <w:szCs w:val="24"/>
        </w:rPr>
        <w:t xml:space="preserve"> fundamental principle in the employer-employee relationship is that an employee has a duty to protect the interests of the employer. </w:t>
      </w:r>
      <w:r w:rsidR="00DF349B">
        <w:rPr>
          <w:rFonts w:ascii="Century Gothic" w:hAnsi="Century Gothic"/>
          <w:sz w:val="24"/>
          <w:szCs w:val="24"/>
        </w:rPr>
        <w:t xml:space="preserve">Respondent </w:t>
      </w:r>
      <w:r>
        <w:rPr>
          <w:rFonts w:ascii="Century Gothic" w:hAnsi="Century Gothic"/>
          <w:sz w:val="24"/>
          <w:szCs w:val="24"/>
        </w:rPr>
        <w:t>argued</w:t>
      </w:r>
      <w:r w:rsidR="00DF349B">
        <w:rPr>
          <w:rFonts w:ascii="Century Gothic" w:hAnsi="Century Gothic"/>
          <w:sz w:val="24"/>
          <w:szCs w:val="24"/>
        </w:rPr>
        <w:t xml:space="preserve"> that t</w:t>
      </w:r>
      <w:r w:rsidR="00FC40BF" w:rsidRPr="00195339">
        <w:rPr>
          <w:rFonts w:ascii="Century Gothic" w:hAnsi="Century Gothic"/>
          <w:sz w:val="24"/>
          <w:szCs w:val="24"/>
        </w:rPr>
        <w:t>he Appellant’s decision not to pursue criminal action against a thief who stole US$75,000.00 from the Bank, especially given his senior and managerial role, could never be seen as consistent with the duty to protect the employer’s interests.</w:t>
      </w:r>
      <w:r>
        <w:rPr>
          <w:rFonts w:ascii="Century Gothic" w:hAnsi="Century Gothic"/>
          <w:sz w:val="24"/>
          <w:szCs w:val="24"/>
        </w:rPr>
        <w:t xml:space="preserve"> Therefore</w:t>
      </w:r>
      <w:r w:rsidR="00BA4C9A">
        <w:rPr>
          <w:rFonts w:ascii="Century Gothic" w:hAnsi="Century Gothic"/>
          <w:sz w:val="24"/>
          <w:szCs w:val="24"/>
        </w:rPr>
        <w:t>,</w:t>
      </w:r>
      <w:r>
        <w:rPr>
          <w:rFonts w:ascii="Century Gothic" w:hAnsi="Century Gothic"/>
          <w:sz w:val="24"/>
          <w:szCs w:val="24"/>
        </w:rPr>
        <w:t xml:space="preserve"> the finding against the Appellant was</w:t>
      </w:r>
      <w:r w:rsidR="00BA4C9A">
        <w:rPr>
          <w:rFonts w:ascii="Century Gothic" w:hAnsi="Century Gothic"/>
          <w:sz w:val="24"/>
          <w:szCs w:val="24"/>
        </w:rPr>
        <w:t xml:space="preserve"> said</w:t>
      </w:r>
      <w:r>
        <w:rPr>
          <w:rFonts w:ascii="Century Gothic" w:hAnsi="Century Gothic"/>
          <w:sz w:val="24"/>
          <w:szCs w:val="24"/>
        </w:rPr>
        <w:t xml:space="preserve"> to be correct.</w:t>
      </w:r>
    </w:p>
    <w:p w14:paraId="17CC6640" w14:textId="3194EB02" w:rsidR="00FC40BF" w:rsidRPr="001A04AD" w:rsidRDefault="00BC18CF" w:rsidP="00D92C63">
      <w:pPr>
        <w:pStyle w:val="ListParagraph"/>
        <w:numPr>
          <w:ilvl w:val="0"/>
          <w:numId w:val="1"/>
        </w:numPr>
        <w:spacing w:line="480" w:lineRule="auto"/>
        <w:jc w:val="both"/>
        <w:rPr>
          <w:rFonts w:ascii="Century Gothic" w:hAnsi="Century Gothic"/>
          <w:sz w:val="24"/>
          <w:szCs w:val="24"/>
        </w:rPr>
      </w:pPr>
      <w:r>
        <w:rPr>
          <w:rFonts w:ascii="Century Gothic" w:hAnsi="Century Gothic"/>
          <w:sz w:val="24"/>
          <w:szCs w:val="24"/>
        </w:rPr>
        <w:t xml:space="preserve">With respect to ground number 8 </w:t>
      </w:r>
      <w:r w:rsidR="00DF349B">
        <w:rPr>
          <w:rFonts w:ascii="Century Gothic" w:hAnsi="Century Gothic"/>
          <w:sz w:val="24"/>
          <w:szCs w:val="24"/>
        </w:rPr>
        <w:t>Respondent</w:t>
      </w:r>
      <w:r>
        <w:rPr>
          <w:rFonts w:ascii="Century Gothic" w:hAnsi="Century Gothic"/>
          <w:sz w:val="24"/>
          <w:szCs w:val="24"/>
        </w:rPr>
        <w:t>’s position was</w:t>
      </w:r>
      <w:r w:rsidR="00DF349B">
        <w:rPr>
          <w:rFonts w:ascii="Century Gothic" w:hAnsi="Century Gothic"/>
          <w:sz w:val="24"/>
          <w:szCs w:val="24"/>
        </w:rPr>
        <w:t xml:space="preserve"> that Appellant a</w:t>
      </w:r>
      <w:r w:rsidR="00FC40BF" w:rsidRPr="00FC40BF">
        <w:rPr>
          <w:rFonts w:ascii="Century Gothic" w:hAnsi="Century Gothic"/>
          <w:sz w:val="24"/>
          <w:szCs w:val="24"/>
        </w:rPr>
        <w:t xml:space="preserve">s Senior Manager – Branch Operations, it was </w:t>
      </w:r>
      <w:r w:rsidR="00DF349B">
        <w:rPr>
          <w:rFonts w:ascii="Century Gothic" w:hAnsi="Century Gothic"/>
          <w:sz w:val="24"/>
          <w:szCs w:val="24"/>
        </w:rPr>
        <w:t xml:space="preserve">his </w:t>
      </w:r>
      <w:r w:rsidR="00FC40BF" w:rsidRPr="00FC40BF">
        <w:rPr>
          <w:rFonts w:ascii="Century Gothic" w:hAnsi="Century Gothic"/>
          <w:sz w:val="24"/>
          <w:szCs w:val="24"/>
        </w:rPr>
        <w:t>responsibility to ensure that procedures and processes were in place and followed at all times. However,</w:t>
      </w:r>
      <w:r w:rsidR="00DF349B">
        <w:rPr>
          <w:rFonts w:ascii="Century Gothic" w:hAnsi="Century Gothic"/>
          <w:sz w:val="24"/>
          <w:szCs w:val="24"/>
        </w:rPr>
        <w:t xml:space="preserve"> Respondent </w:t>
      </w:r>
      <w:r>
        <w:rPr>
          <w:rFonts w:ascii="Century Gothic" w:hAnsi="Century Gothic"/>
          <w:sz w:val="24"/>
          <w:szCs w:val="24"/>
        </w:rPr>
        <w:t xml:space="preserve">said </w:t>
      </w:r>
      <w:r w:rsidR="00DF349B">
        <w:rPr>
          <w:rFonts w:ascii="Century Gothic" w:hAnsi="Century Gothic"/>
          <w:sz w:val="24"/>
          <w:szCs w:val="24"/>
        </w:rPr>
        <w:t xml:space="preserve">that </w:t>
      </w:r>
      <w:r w:rsidR="00FC40BF" w:rsidRPr="00FC40BF">
        <w:rPr>
          <w:rFonts w:ascii="Century Gothic" w:hAnsi="Century Gothic"/>
          <w:sz w:val="24"/>
          <w:szCs w:val="24"/>
        </w:rPr>
        <w:t xml:space="preserve">investigations revealed a lack of proper implementation and oversight of CCD controls and procedures within the Bank. </w:t>
      </w:r>
      <w:r w:rsidR="001A04AD">
        <w:rPr>
          <w:rFonts w:ascii="Century Gothic" w:hAnsi="Century Gothic"/>
          <w:sz w:val="24"/>
          <w:szCs w:val="24"/>
        </w:rPr>
        <w:t>Hence the</w:t>
      </w:r>
      <w:r w:rsidR="001A04AD" w:rsidRPr="001A04AD">
        <w:rPr>
          <w:rFonts w:ascii="Century Gothic" w:hAnsi="Century Gothic"/>
          <w:sz w:val="24"/>
          <w:szCs w:val="24"/>
        </w:rPr>
        <w:t xml:space="preserve"> claim that there was no evidence of laxity or inadequate implementation is therefore not a </w:t>
      </w:r>
      <w:r>
        <w:rPr>
          <w:rFonts w:ascii="Century Gothic" w:hAnsi="Century Gothic"/>
          <w:sz w:val="24"/>
          <w:szCs w:val="24"/>
        </w:rPr>
        <w:t>correct</w:t>
      </w:r>
      <w:r w:rsidR="001A04AD" w:rsidRPr="001A04AD">
        <w:rPr>
          <w:rFonts w:ascii="Century Gothic" w:hAnsi="Century Gothic"/>
          <w:sz w:val="24"/>
          <w:szCs w:val="24"/>
        </w:rPr>
        <w:t xml:space="preserve"> argument. As a result, </w:t>
      </w:r>
      <w:r w:rsidR="001A04AD">
        <w:rPr>
          <w:rFonts w:ascii="Century Gothic" w:hAnsi="Century Gothic"/>
          <w:sz w:val="24"/>
          <w:szCs w:val="24"/>
        </w:rPr>
        <w:t xml:space="preserve">he argued that </w:t>
      </w:r>
      <w:r w:rsidR="001A04AD" w:rsidRPr="001A04AD">
        <w:rPr>
          <w:rFonts w:ascii="Century Gothic" w:hAnsi="Century Gothic"/>
          <w:sz w:val="24"/>
          <w:szCs w:val="24"/>
        </w:rPr>
        <w:t>the Appellant’s eighth ground of appeal is without merit and should be dismissed.</w:t>
      </w:r>
    </w:p>
    <w:p w14:paraId="361D0473" w14:textId="77777777" w:rsidR="00BA4C9A" w:rsidRDefault="00BA4C9A" w:rsidP="00D92C63">
      <w:pPr>
        <w:spacing w:line="480" w:lineRule="auto"/>
        <w:jc w:val="both"/>
        <w:rPr>
          <w:rFonts w:ascii="Century Gothic" w:hAnsi="Century Gothic"/>
          <w:b/>
          <w:sz w:val="24"/>
          <w:szCs w:val="24"/>
        </w:rPr>
      </w:pPr>
    </w:p>
    <w:p w14:paraId="4EDB5BDE" w14:textId="77777777" w:rsidR="00BA4C9A" w:rsidRDefault="00BA4C9A" w:rsidP="00D92C63">
      <w:pPr>
        <w:spacing w:line="480" w:lineRule="auto"/>
        <w:jc w:val="both"/>
        <w:rPr>
          <w:rFonts w:ascii="Century Gothic" w:hAnsi="Century Gothic"/>
          <w:b/>
          <w:sz w:val="24"/>
          <w:szCs w:val="24"/>
        </w:rPr>
      </w:pPr>
    </w:p>
    <w:p w14:paraId="7DF9EBB8" w14:textId="12407BD5" w:rsidR="003569AE" w:rsidRDefault="003569AE" w:rsidP="00D92C63">
      <w:pPr>
        <w:spacing w:line="480" w:lineRule="auto"/>
        <w:jc w:val="both"/>
        <w:rPr>
          <w:rFonts w:ascii="Century Gothic" w:hAnsi="Century Gothic"/>
          <w:b/>
          <w:sz w:val="24"/>
          <w:szCs w:val="24"/>
        </w:rPr>
      </w:pPr>
      <w:r>
        <w:rPr>
          <w:rFonts w:ascii="Century Gothic" w:hAnsi="Century Gothic"/>
          <w:b/>
          <w:sz w:val="24"/>
          <w:szCs w:val="24"/>
        </w:rPr>
        <w:t>ANALYSIS</w:t>
      </w:r>
    </w:p>
    <w:p w14:paraId="6F63B3B7" w14:textId="58728921" w:rsidR="00782D12" w:rsidRPr="00782D12" w:rsidRDefault="00782D12" w:rsidP="00D92C63">
      <w:pPr>
        <w:pStyle w:val="ListParagraph"/>
        <w:numPr>
          <w:ilvl w:val="0"/>
          <w:numId w:val="1"/>
        </w:numPr>
        <w:spacing w:line="480" w:lineRule="auto"/>
        <w:jc w:val="both"/>
        <w:rPr>
          <w:rFonts w:ascii="Century Gothic" w:hAnsi="Century Gothic"/>
          <w:sz w:val="24"/>
          <w:szCs w:val="24"/>
          <w:lang w:val="en-ZW"/>
        </w:rPr>
      </w:pPr>
      <w:r w:rsidRPr="00782D12">
        <w:rPr>
          <w:rFonts w:ascii="Century Gothic" w:hAnsi="Century Gothic"/>
          <w:sz w:val="24"/>
          <w:szCs w:val="24"/>
          <w:lang w:val="en-ZW"/>
        </w:rPr>
        <w:t xml:space="preserve">After </w:t>
      </w:r>
      <w:r>
        <w:rPr>
          <w:rFonts w:ascii="Century Gothic" w:hAnsi="Century Gothic"/>
          <w:sz w:val="24"/>
          <w:szCs w:val="24"/>
          <w:lang w:val="en-ZW"/>
        </w:rPr>
        <w:t>considering</w:t>
      </w:r>
      <w:r w:rsidRPr="00782D12">
        <w:rPr>
          <w:rFonts w:ascii="Century Gothic" w:hAnsi="Century Gothic"/>
          <w:sz w:val="24"/>
          <w:szCs w:val="24"/>
          <w:lang w:val="en-ZW"/>
        </w:rPr>
        <w:t xml:space="preserve"> the arguments presented by both parties, the Court is of the </w:t>
      </w:r>
      <w:r w:rsidR="00BC18CF">
        <w:rPr>
          <w:rFonts w:ascii="Century Gothic" w:hAnsi="Century Gothic"/>
          <w:sz w:val="24"/>
          <w:szCs w:val="24"/>
          <w:lang w:val="en-ZW"/>
        </w:rPr>
        <w:t>view</w:t>
      </w:r>
      <w:r w:rsidRPr="00782D12">
        <w:rPr>
          <w:rFonts w:ascii="Century Gothic" w:hAnsi="Century Gothic"/>
          <w:sz w:val="24"/>
          <w:szCs w:val="24"/>
          <w:lang w:val="en-ZW"/>
        </w:rPr>
        <w:t xml:space="preserve"> that the Appellant did not adequately perform his duties or exercise the necessary diligence. As a Senior Manager, the Appellant was tasked with ensuring that banking operations were conducted in accordance with the established procedures and policies. His failure to do so resulted in a breach of both his contractual obligations and the expected conduct for his managerial role. Additionally, the Appellant's actions were not in alignment with the duties expected of a Senior Manager at the Bank. His negligence in overseeing controls, failing to take appropriate action regarding theft, and neglecting to properly verify financial records reflected a pattern of carelessness that could not be justified. The Appellant's inability to meet the standards set out in his contract and job description is alarming. He had a crucial responsibility to protect the employer's assets, and the evidence shows</w:t>
      </w:r>
      <w:r w:rsidR="00A80A13">
        <w:rPr>
          <w:rFonts w:ascii="Century Gothic" w:hAnsi="Century Gothic"/>
          <w:sz w:val="24"/>
          <w:szCs w:val="24"/>
          <w:lang w:val="en-ZW"/>
        </w:rPr>
        <w:t xml:space="preserve"> that</w:t>
      </w:r>
      <w:r w:rsidRPr="00782D12">
        <w:rPr>
          <w:rFonts w:ascii="Century Gothic" w:hAnsi="Century Gothic"/>
          <w:sz w:val="24"/>
          <w:szCs w:val="24"/>
          <w:lang w:val="en-ZW"/>
        </w:rPr>
        <w:t xml:space="preserve"> he did not fulfill this obligation</w:t>
      </w:r>
      <w:r w:rsidR="00BC18CF">
        <w:rPr>
          <w:rFonts w:ascii="Century Gothic" w:hAnsi="Century Gothic"/>
          <w:sz w:val="24"/>
          <w:szCs w:val="24"/>
          <w:lang w:val="en-ZW"/>
        </w:rPr>
        <w:t xml:space="preserve"> at all. He did not even seem to appreciate his role.</w:t>
      </w:r>
    </w:p>
    <w:p w14:paraId="6A6E009D" w14:textId="77777777" w:rsidR="00D92C63" w:rsidRDefault="00782D12" w:rsidP="00D92C63">
      <w:pPr>
        <w:pStyle w:val="ListParagraph"/>
        <w:numPr>
          <w:ilvl w:val="0"/>
          <w:numId w:val="1"/>
        </w:numPr>
        <w:spacing w:line="480" w:lineRule="auto"/>
        <w:jc w:val="both"/>
        <w:rPr>
          <w:rFonts w:ascii="Century Gothic" w:hAnsi="Century Gothic"/>
          <w:sz w:val="24"/>
          <w:szCs w:val="24"/>
          <w:lang w:val="en-ZW"/>
        </w:rPr>
      </w:pPr>
      <w:r w:rsidRPr="00782D12">
        <w:rPr>
          <w:rFonts w:ascii="Century Gothic" w:hAnsi="Century Gothic"/>
          <w:sz w:val="24"/>
          <w:szCs w:val="24"/>
          <w:lang w:val="en-ZW"/>
        </w:rPr>
        <w:t>It is important to note that the Appellant certified inaccurate information on the Bank’s Vault Register without thoroughly checking all the items that made up the total figures when the bank had received US$3,000,000. The Appellant was expected to exercise due diligence, which he failed to do, thereby putting the bank at risk of potential loss due to his failure to ensure accuracy in executing his duties as Senior Manager - Branch Operations. A breach of employment terms undermines the very foundation of the employment relationship, thereby providing the employer with valid grounds to terminate the employee’s contract.</w:t>
      </w:r>
    </w:p>
    <w:p w14:paraId="14CC9174" w14:textId="70C62F43" w:rsidR="00D92C63" w:rsidRDefault="00782D12" w:rsidP="00D92C63">
      <w:pPr>
        <w:pStyle w:val="ListParagraph"/>
        <w:numPr>
          <w:ilvl w:val="0"/>
          <w:numId w:val="1"/>
        </w:numPr>
        <w:spacing w:line="480" w:lineRule="auto"/>
        <w:jc w:val="both"/>
        <w:rPr>
          <w:rFonts w:ascii="Century Gothic" w:hAnsi="Century Gothic"/>
          <w:sz w:val="24"/>
          <w:szCs w:val="24"/>
          <w:lang w:val="en-ZW"/>
        </w:rPr>
      </w:pPr>
      <w:r w:rsidRPr="00782D12">
        <w:rPr>
          <w:rFonts w:ascii="Century Gothic" w:hAnsi="Century Gothic"/>
          <w:sz w:val="24"/>
          <w:szCs w:val="24"/>
          <w:lang w:val="en-ZW"/>
        </w:rPr>
        <w:t xml:space="preserve"> In the case of </w:t>
      </w:r>
      <w:r w:rsidRPr="00A80A13">
        <w:rPr>
          <w:rFonts w:ascii="Century Gothic" w:hAnsi="Century Gothic"/>
          <w:i/>
          <w:iCs/>
          <w:sz w:val="24"/>
          <w:szCs w:val="24"/>
          <w:lang w:val="en-ZW"/>
        </w:rPr>
        <w:t>Celsys Limited v Nobert Ndeleziwa</w:t>
      </w:r>
      <w:r w:rsidRPr="00782D12">
        <w:rPr>
          <w:rFonts w:ascii="Century Gothic" w:hAnsi="Century Gothic"/>
          <w:sz w:val="24"/>
          <w:szCs w:val="24"/>
          <w:lang w:val="en-ZW"/>
        </w:rPr>
        <w:t xml:space="preserve"> SC 298/11, on page 5, Gwaunza JA</w:t>
      </w:r>
      <w:r w:rsidR="00D92C63">
        <w:rPr>
          <w:rFonts w:ascii="Century Gothic" w:hAnsi="Century Gothic"/>
          <w:sz w:val="24"/>
          <w:szCs w:val="24"/>
          <w:lang w:val="en-ZW"/>
        </w:rPr>
        <w:t xml:space="preserve"> (as she then was)</w:t>
      </w:r>
      <w:r w:rsidRPr="00782D12">
        <w:rPr>
          <w:rFonts w:ascii="Century Gothic" w:hAnsi="Century Gothic"/>
          <w:sz w:val="24"/>
          <w:szCs w:val="24"/>
          <w:lang w:val="en-ZW"/>
        </w:rPr>
        <w:t xml:space="preserve"> referred to </w:t>
      </w:r>
      <w:r w:rsidRPr="00D92C63">
        <w:rPr>
          <w:rFonts w:ascii="Century Gothic" w:hAnsi="Century Gothic"/>
          <w:i/>
          <w:iCs/>
          <w:sz w:val="24"/>
          <w:szCs w:val="24"/>
          <w:lang w:val="en-ZW"/>
        </w:rPr>
        <w:t>Standard Chartered Bank v. Chapuka</w:t>
      </w:r>
      <w:r w:rsidRPr="00782D12">
        <w:rPr>
          <w:rFonts w:ascii="Century Gothic" w:hAnsi="Century Gothic"/>
          <w:sz w:val="24"/>
          <w:szCs w:val="24"/>
          <w:lang w:val="en-ZW"/>
        </w:rPr>
        <w:t xml:space="preserve"> SC 125/04, where it was stated that</w:t>
      </w:r>
      <w:r w:rsidR="00D92C63">
        <w:rPr>
          <w:rFonts w:ascii="Century Gothic" w:hAnsi="Century Gothic"/>
          <w:sz w:val="24"/>
          <w:szCs w:val="24"/>
          <w:lang w:val="en-ZW"/>
        </w:rPr>
        <w:t>:</w:t>
      </w:r>
    </w:p>
    <w:p w14:paraId="19EF647E" w14:textId="7C504F4D" w:rsidR="00D92C63" w:rsidRDefault="00782D12" w:rsidP="00D92C63">
      <w:pPr>
        <w:pStyle w:val="ListParagraph"/>
        <w:spacing w:line="480" w:lineRule="auto"/>
        <w:ind w:left="1440"/>
        <w:jc w:val="both"/>
        <w:rPr>
          <w:rFonts w:ascii="Century Gothic" w:hAnsi="Century Gothic"/>
          <w:sz w:val="24"/>
          <w:szCs w:val="24"/>
          <w:lang w:val="en-ZW"/>
        </w:rPr>
      </w:pPr>
      <w:r w:rsidRPr="00782D12">
        <w:rPr>
          <w:rFonts w:ascii="Century Gothic" w:hAnsi="Century Gothic"/>
          <w:sz w:val="24"/>
          <w:szCs w:val="24"/>
          <w:lang w:val="en-ZW"/>
        </w:rPr>
        <w:t xml:space="preserve"> “</w:t>
      </w:r>
      <w:r w:rsidRPr="00A8068F">
        <w:rPr>
          <w:rFonts w:ascii="Century Gothic" w:hAnsi="Century Gothic"/>
          <w:lang w:val="en-ZW"/>
        </w:rPr>
        <w:t xml:space="preserve">Conduct which is found to be inconsistent or incompatible with the </w:t>
      </w:r>
      <w:r w:rsidR="00D92C63" w:rsidRPr="00A8068F">
        <w:rPr>
          <w:rFonts w:ascii="Century Gothic" w:hAnsi="Century Gothic"/>
          <w:lang w:val="en-ZW"/>
        </w:rPr>
        <w:t>fulfilment</w:t>
      </w:r>
      <w:r w:rsidRPr="00A8068F">
        <w:rPr>
          <w:rFonts w:ascii="Century Gothic" w:hAnsi="Century Gothic"/>
          <w:lang w:val="en-ZW"/>
        </w:rPr>
        <w:t xml:space="preserve"> of the express or implied conditions of a contract of employment goes to the root of the relationship between an employer and an employee, giving the former a prima facie right to dismiss the latter.”</w:t>
      </w:r>
    </w:p>
    <w:p w14:paraId="359403B0" w14:textId="7E101AD7" w:rsidR="00D92C63" w:rsidRDefault="00782D12" w:rsidP="00D92C63">
      <w:pPr>
        <w:pStyle w:val="ListParagraph"/>
        <w:numPr>
          <w:ilvl w:val="0"/>
          <w:numId w:val="1"/>
        </w:numPr>
        <w:spacing w:line="480" w:lineRule="auto"/>
        <w:jc w:val="both"/>
        <w:rPr>
          <w:rFonts w:ascii="Century Gothic" w:hAnsi="Century Gothic"/>
          <w:sz w:val="24"/>
          <w:szCs w:val="24"/>
          <w:lang w:val="en-ZW"/>
        </w:rPr>
      </w:pPr>
      <w:r w:rsidRPr="00782D12">
        <w:rPr>
          <w:rFonts w:ascii="Century Gothic" w:hAnsi="Century Gothic"/>
          <w:sz w:val="24"/>
          <w:szCs w:val="24"/>
          <w:lang w:val="en-ZW"/>
        </w:rPr>
        <w:t xml:space="preserve"> Furthermore, in the case of </w:t>
      </w:r>
      <w:r w:rsidRPr="00A8068F">
        <w:rPr>
          <w:rFonts w:ascii="Century Gothic" w:hAnsi="Century Gothic"/>
          <w:i/>
          <w:iCs/>
          <w:sz w:val="24"/>
          <w:szCs w:val="24"/>
          <w:lang w:val="en-ZW"/>
        </w:rPr>
        <w:t>Clouston &amp; Co Ltd v. Corry</w:t>
      </w:r>
      <w:r w:rsidRPr="00782D12">
        <w:rPr>
          <w:rFonts w:ascii="Century Gothic" w:hAnsi="Century Gothic"/>
          <w:sz w:val="24"/>
          <w:szCs w:val="24"/>
          <w:lang w:val="en-ZW"/>
        </w:rPr>
        <w:t>, 1906 AC 122, Lord James of Hereford remarked, by way of a dictum at p 129</w:t>
      </w:r>
      <w:r w:rsidR="00D92C63">
        <w:rPr>
          <w:rFonts w:ascii="Century Gothic" w:hAnsi="Century Gothic"/>
          <w:sz w:val="24"/>
          <w:szCs w:val="24"/>
          <w:lang w:val="en-ZW"/>
        </w:rPr>
        <w:t xml:space="preserve"> that</w:t>
      </w:r>
      <w:r w:rsidRPr="00782D12">
        <w:rPr>
          <w:rFonts w:ascii="Century Gothic" w:hAnsi="Century Gothic"/>
          <w:sz w:val="24"/>
          <w:szCs w:val="24"/>
          <w:lang w:val="en-ZW"/>
        </w:rPr>
        <w:t xml:space="preserve">: </w:t>
      </w:r>
    </w:p>
    <w:p w14:paraId="5EF257A8" w14:textId="6133D35D" w:rsidR="00782D12" w:rsidRPr="00A8068F" w:rsidRDefault="00782D12" w:rsidP="00D92C63">
      <w:pPr>
        <w:pStyle w:val="ListParagraph"/>
        <w:spacing w:line="480" w:lineRule="auto"/>
        <w:ind w:left="1440"/>
        <w:jc w:val="both"/>
        <w:rPr>
          <w:rFonts w:ascii="Century Gothic" w:hAnsi="Century Gothic"/>
          <w:lang w:val="en-ZW"/>
        </w:rPr>
      </w:pPr>
      <w:r w:rsidRPr="00A8068F">
        <w:rPr>
          <w:rFonts w:ascii="Century Gothic" w:hAnsi="Century Gothic"/>
          <w:lang w:val="en-ZW"/>
        </w:rPr>
        <w:t xml:space="preserve">“Now the sufficiency of justification depends upon the extent of misconduct. </w:t>
      </w:r>
      <w:r w:rsidRPr="00BC18CF">
        <w:rPr>
          <w:rFonts w:ascii="Century Gothic" w:hAnsi="Century Gothic"/>
          <w:u w:val="single"/>
          <w:lang w:val="en-ZW"/>
        </w:rPr>
        <w:t>There is no fixed rule of law defining the degree of misconduct which will justify dismissal</w:t>
      </w:r>
      <w:r w:rsidRPr="00BC18CF">
        <w:rPr>
          <w:rFonts w:ascii="Century Gothic" w:hAnsi="Century Gothic"/>
          <w:lang w:val="en-ZW"/>
        </w:rPr>
        <w:t>.</w:t>
      </w:r>
      <w:r w:rsidRPr="00A8068F">
        <w:rPr>
          <w:rFonts w:ascii="Century Gothic" w:hAnsi="Century Gothic"/>
          <w:lang w:val="en-ZW"/>
        </w:rPr>
        <w:t xml:space="preserve"> Of course, there may be misconduct in a servant which will not justify the termination of the contract of service by one of the parties to it against the will of the other. </w:t>
      </w:r>
      <w:r w:rsidRPr="00BC18CF">
        <w:rPr>
          <w:rFonts w:ascii="Century Gothic" w:hAnsi="Century Gothic"/>
          <w:u w:val="single"/>
          <w:lang w:val="en-ZW"/>
        </w:rPr>
        <w:t>On the other hand, misconduct inconsistent with the fulfilment of the express or implied conditions of service will justify dismissal</w:t>
      </w:r>
      <w:r w:rsidRPr="00A8068F">
        <w:rPr>
          <w:rFonts w:ascii="Century Gothic" w:hAnsi="Century Gothic"/>
          <w:lang w:val="en-ZW"/>
        </w:rPr>
        <w:t>.”</w:t>
      </w:r>
      <w:r w:rsidR="00980F6B">
        <w:rPr>
          <w:rFonts w:ascii="Century Gothic" w:hAnsi="Century Gothic"/>
          <w:lang w:val="en-ZW"/>
        </w:rPr>
        <w:t>(my underlining)</w:t>
      </w:r>
    </w:p>
    <w:p w14:paraId="747ED686" w14:textId="2BF7FE69" w:rsidR="00BE13AA" w:rsidRPr="00782D12" w:rsidRDefault="00BE13AA" w:rsidP="00D92C63">
      <w:pPr>
        <w:pStyle w:val="ListParagraph"/>
        <w:numPr>
          <w:ilvl w:val="0"/>
          <w:numId w:val="1"/>
        </w:numPr>
        <w:spacing w:line="480" w:lineRule="auto"/>
        <w:jc w:val="both"/>
        <w:rPr>
          <w:rFonts w:ascii="Century Gothic" w:hAnsi="Century Gothic"/>
          <w:sz w:val="24"/>
          <w:szCs w:val="24"/>
          <w:lang w:val="en-ZW"/>
        </w:rPr>
      </w:pPr>
      <w:r>
        <w:rPr>
          <w:rFonts w:ascii="Century Gothic" w:hAnsi="Century Gothic"/>
          <w:sz w:val="24"/>
          <w:szCs w:val="24"/>
          <w:lang w:val="en-ZW"/>
        </w:rPr>
        <w:t xml:space="preserve"> </w:t>
      </w:r>
      <w:r w:rsidR="00AE1EAA">
        <w:rPr>
          <w:rFonts w:ascii="Century Gothic" w:hAnsi="Century Gothic"/>
          <w:sz w:val="24"/>
          <w:szCs w:val="24"/>
          <w:lang w:val="en-ZW"/>
        </w:rPr>
        <w:t>Considering the given analysis, i</w:t>
      </w:r>
      <w:r>
        <w:rPr>
          <w:rFonts w:ascii="Century Gothic" w:hAnsi="Century Gothic"/>
          <w:sz w:val="24"/>
          <w:szCs w:val="24"/>
          <w:lang w:val="en-ZW"/>
        </w:rPr>
        <w:t>t is the Court’s view that the appeal has no merit and ought to be dismissed.</w:t>
      </w:r>
    </w:p>
    <w:p w14:paraId="6C5BB906" w14:textId="2FA16354" w:rsidR="003569AE" w:rsidRPr="00A51212" w:rsidRDefault="003569AE" w:rsidP="00D92C63">
      <w:pPr>
        <w:spacing w:line="480" w:lineRule="auto"/>
        <w:jc w:val="both"/>
        <w:rPr>
          <w:rFonts w:ascii="Century Gothic" w:hAnsi="Century Gothic"/>
          <w:sz w:val="24"/>
          <w:szCs w:val="24"/>
        </w:rPr>
      </w:pPr>
      <w:r w:rsidRPr="00A51212">
        <w:rPr>
          <w:rFonts w:ascii="Century Gothic" w:hAnsi="Century Gothic"/>
          <w:b/>
          <w:sz w:val="24"/>
          <w:szCs w:val="24"/>
        </w:rPr>
        <w:t>DISPOSITION</w:t>
      </w:r>
    </w:p>
    <w:p w14:paraId="15D60A4D" w14:textId="77777777" w:rsidR="003569AE" w:rsidRDefault="003569AE" w:rsidP="00D92C63">
      <w:pPr>
        <w:pStyle w:val="ListParagraph"/>
        <w:numPr>
          <w:ilvl w:val="0"/>
          <w:numId w:val="1"/>
        </w:numPr>
        <w:spacing w:line="480" w:lineRule="auto"/>
        <w:jc w:val="both"/>
        <w:rPr>
          <w:rFonts w:ascii="Century Gothic" w:hAnsi="Century Gothic"/>
          <w:sz w:val="24"/>
          <w:szCs w:val="24"/>
        </w:rPr>
      </w:pPr>
      <w:r>
        <w:rPr>
          <w:rFonts w:ascii="Century Gothic" w:hAnsi="Century Gothic"/>
          <w:sz w:val="24"/>
          <w:szCs w:val="24"/>
        </w:rPr>
        <w:t>After having looked at both parties’ arguments before this court, it is ordered that:</w:t>
      </w:r>
    </w:p>
    <w:p w14:paraId="4F55EDD6" w14:textId="77777777" w:rsidR="003569AE" w:rsidRDefault="003569AE" w:rsidP="00D92C63">
      <w:pPr>
        <w:pStyle w:val="ListParagraph"/>
        <w:numPr>
          <w:ilvl w:val="0"/>
          <w:numId w:val="2"/>
        </w:numPr>
        <w:spacing w:line="480" w:lineRule="auto"/>
        <w:jc w:val="both"/>
        <w:rPr>
          <w:rFonts w:ascii="Century Gothic" w:hAnsi="Century Gothic"/>
          <w:sz w:val="24"/>
          <w:szCs w:val="24"/>
        </w:rPr>
      </w:pPr>
      <w:r>
        <w:rPr>
          <w:rFonts w:ascii="Century Gothic" w:hAnsi="Century Gothic"/>
          <w:sz w:val="24"/>
          <w:szCs w:val="24"/>
        </w:rPr>
        <w:t>The appeal be and is hereby dismissed with costs.</w:t>
      </w:r>
    </w:p>
    <w:p w14:paraId="5C834E78" w14:textId="77777777" w:rsidR="003569AE" w:rsidRDefault="003569AE"/>
    <w:sectPr w:rsidR="003569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CA690" w14:textId="77777777" w:rsidR="00B04162" w:rsidRDefault="00B04162" w:rsidP="00B3264A">
      <w:pPr>
        <w:spacing w:after="0" w:line="240" w:lineRule="auto"/>
      </w:pPr>
      <w:r>
        <w:separator/>
      </w:r>
    </w:p>
  </w:endnote>
  <w:endnote w:type="continuationSeparator" w:id="0">
    <w:p w14:paraId="50441E30" w14:textId="77777777" w:rsidR="00B04162" w:rsidRDefault="00B04162" w:rsidP="00B3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468252"/>
      <w:docPartObj>
        <w:docPartGallery w:val="Page Numbers (Bottom of Page)"/>
        <w:docPartUnique/>
      </w:docPartObj>
    </w:sdtPr>
    <w:sdtEndPr>
      <w:rPr>
        <w:noProof/>
      </w:rPr>
    </w:sdtEndPr>
    <w:sdtContent>
      <w:p w14:paraId="4375D996" w14:textId="513DD59B" w:rsidR="00B3264A" w:rsidRDefault="00B3264A">
        <w:pPr>
          <w:pStyle w:val="Footer"/>
          <w:jc w:val="right"/>
        </w:pPr>
        <w:r>
          <w:fldChar w:fldCharType="begin"/>
        </w:r>
        <w:r>
          <w:instrText xml:space="preserve"> PAGE   \* MERGEFORMAT </w:instrText>
        </w:r>
        <w:r>
          <w:fldChar w:fldCharType="separate"/>
        </w:r>
        <w:r w:rsidR="006A5EF6">
          <w:rPr>
            <w:noProof/>
          </w:rPr>
          <w:t>1</w:t>
        </w:r>
        <w:r>
          <w:rPr>
            <w:noProof/>
          </w:rPr>
          <w:fldChar w:fldCharType="end"/>
        </w:r>
      </w:p>
    </w:sdtContent>
  </w:sdt>
  <w:p w14:paraId="200E274D" w14:textId="77777777" w:rsidR="00B3264A" w:rsidRDefault="00B32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6AE32" w14:textId="77777777" w:rsidR="00B04162" w:rsidRDefault="00B04162" w:rsidP="00B3264A">
      <w:pPr>
        <w:spacing w:after="0" w:line="240" w:lineRule="auto"/>
      </w:pPr>
      <w:r>
        <w:separator/>
      </w:r>
    </w:p>
  </w:footnote>
  <w:footnote w:type="continuationSeparator" w:id="0">
    <w:p w14:paraId="7FD72447" w14:textId="77777777" w:rsidR="00B04162" w:rsidRDefault="00B04162" w:rsidP="00B326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417A"/>
    <w:multiLevelType w:val="hybridMultilevel"/>
    <w:tmpl w:val="40F43780"/>
    <w:lvl w:ilvl="0" w:tplc="30090001">
      <w:start w:val="1"/>
      <w:numFmt w:val="bullet"/>
      <w:lvlText w:val=""/>
      <w:lvlJc w:val="left"/>
      <w:pPr>
        <w:ind w:left="1500" w:hanging="360"/>
      </w:pPr>
      <w:rPr>
        <w:rFonts w:ascii="Symbol" w:hAnsi="Symbol" w:hint="default"/>
      </w:rPr>
    </w:lvl>
    <w:lvl w:ilvl="1" w:tplc="30090003" w:tentative="1">
      <w:start w:val="1"/>
      <w:numFmt w:val="bullet"/>
      <w:lvlText w:val="o"/>
      <w:lvlJc w:val="left"/>
      <w:pPr>
        <w:ind w:left="2220" w:hanging="360"/>
      </w:pPr>
      <w:rPr>
        <w:rFonts w:ascii="Courier New" w:hAnsi="Courier New" w:cs="Courier New" w:hint="default"/>
      </w:rPr>
    </w:lvl>
    <w:lvl w:ilvl="2" w:tplc="30090005" w:tentative="1">
      <w:start w:val="1"/>
      <w:numFmt w:val="bullet"/>
      <w:lvlText w:val=""/>
      <w:lvlJc w:val="left"/>
      <w:pPr>
        <w:ind w:left="2940" w:hanging="360"/>
      </w:pPr>
      <w:rPr>
        <w:rFonts w:ascii="Wingdings" w:hAnsi="Wingdings" w:hint="default"/>
      </w:rPr>
    </w:lvl>
    <w:lvl w:ilvl="3" w:tplc="30090001" w:tentative="1">
      <w:start w:val="1"/>
      <w:numFmt w:val="bullet"/>
      <w:lvlText w:val=""/>
      <w:lvlJc w:val="left"/>
      <w:pPr>
        <w:ind w:left="3660" w:hanging="360"/>
      </w:pPr>
      <w:rPr>
        <w:rFonts w:ascii="Symbol" w:hAnsi="Symbol" w:hint="default"/>
      </w:rPr>
    </w:lvl>
    <w:lvl w:ilvl="4" w:tplc="30090003" w:tentative="1">
      <w:start w:val="1"/>
      <w:numFmt w:val="bullet"/>
      <w:lvlText w:val="o"/>
      <w:lvlJc w:val="left"/>
      <w:pPr>
        <w:ind w:left="4380" w:hanging="360"/>
      </w:pPr>
      <w:rPr>
        <w:rFonts w:ascii="Courier New" w:hAnsi="Courier New" w:cs="Courier New" w:hint="default"/>
      </w:rPr>
    </w:lvl>
    <w:lvl w:ilvl="5" w:tplc="30090005" w:tentative="1">
      <w:start w:val="1"/>
      <w:numFmt w:val="bullet"/>
      <w:lvlText w:val=""/>
      <w:lvlJc w:val="left"/>
      <w:pPr>
        <w:ind w:left="5100" w:hanging="360"/>
      </w:pPr>
      <w:rPr>
        <w:rFonts w:ascii="Wingdings" w:hAnsi="Wingdings" w:hint="default"/>
      </w:rPr>
    </w:lvl>
    <w:lvl w:ilvl="6" w:tplc="30090001" w:tentative="1">
      <w:start w:val="1"/>
      <w:numFmt w:val="bullet"/>
      <w:lvlText w:val=""/>
      <w:lvlJc w:val="left"/>
      <w:pPr>
        <w:ind w:left="5820" w:hanging="360"/>
      </w:pPr>
      <w:rPr>
        <w:rFonts w:ascii="Symbol" w:hAnsi="Symbol" w:hint="default"/>
      </w:rPr>
    </w:lvl>
    <w:lvl w:ilvl="7" w:tplc="30090003" w:tentative="1">
      <w:start w:val="1"/>
      <w:numFmt w:val="bullet"/>
      <w:lvlText w:val="o"/>
      <w:lvlJc w:val="left"/>
      <w:pPr>
        <w:ind w:left="6540" w:hanging="360"/>
      </w:pPr>
      <w:rPr>
        <w:rFonts w:ascii="Courier New" w:hAnsi="Courier New" w:cs="Courier New" w:hint="default"/>
      </w:rPr>
    </w:lvl>
    <w:lvl w:ilvl="8" w:tplc="30090005" w:tentative="1">
      <w:start w:val="1"/>
      <w:numFmt w:val="bullet"/>
      <w:lvlText w:val=""/>
      <w:lvlJc w:val="left"/>
      <w:pPr>
        <w:ind w:left="7260" w:hanging="360"/>
      </w:pPr>
      <w:rPr>
        <w:rFonts w:ascii="Wingdings" w:hAnsi="Wingdings" w:hint="default"/>
      </w:rPr>
    </w:lvl>
  </w:abstractNum>
  <w:abstractNum w:abstractNumId="1" w15:restartNumberingAfterBreak="0">
    <w:nsid w:val="1FCD4230"/>
    <w:multiLevelType w:val="hybridMultilevel"/>
    <w:tmpl w:val="DF28B17E"/>
    <w:lvl w:ilvl="0" w:tplc="30090017">
      <w:start w:val="1"/>
      <w:numFmt w:val="lowerLetter"/>
      <w:lvlText w:val="%1)"/>
      <w:lvlJc w:val="left"/>
      <w:pPr>
        <w:ind w:left="1446" w:hanging="360"/>
      </w:pPr>
    </w:lvl>
    <w:lvl w:ilvl="1" w:tplc="30090019" w:tentative="1">
      <w:start w:val="1"/>
      <w:numFmt w:val="lowerLetter"/>
      <w:lvlText w:val="%2."/>
      <w:lvlJc w:val="left"/>
      <w:pPr>
        <w:ind w:left="2166" w:hanging="360"/>
      </w:pPr>
    </w:lvl>
    <w:lvl w:ilvl="2" w:tplc="3009001B" w:tentative="1">
      <w:start w:val="1"/>
      <w:numFmt w:val="lowerRoman"/>
      <w:lvlText w:val="%3."/>
      <w:lvlJc w:val="right"/>
      <w:pPr>
        <w:ind w:left="2886" w:hanging="180"/>
      </w:pPr>
    </w:lvl>
    <w:lvl w:ilvl="3" w:tplc="3009000F" w:tentative="1">
      <w:start w:val="1"/>
      <w:numFmt w:val="decimal"/>
      <w:lvlText w:val="%4."/>
      <w:lvlJc w:val="left"/>
      <w:pPr>
        <w:ind w:left="3606" w:hanging="360"/>
      </w:pPr>
    </w:lvl>
    <w:lvl w:ilvl="4" w:tplc="30090019" w:tentative="1">
      <w:start w:val="1"/>
      <w:numFmt w:val="lowerLetter"/>
      <w:lvlText w:val="%5."/>
      <w:lvlJc w:val="left"/>
      <w:pPr>
        <w:ind w:left="4326" w:hanging="360"/>
      </w:pPr>
    </w:lvl>
    <w:lvl w:ilvl="5" w:tplc="3009001B" w:tentative="1">
      <w:start w:val="1"/>
      <w:numFmt w:val="lowerRoman"/>
      <w:lvlText w:val="%6."/>
      <w:lvlJc w:val="right"/>
      <w:pPr>
        <w:ind w:left="5046" w:hanging="180"/>
      </w:pPr>
    </w:lvl>
    <w:lvl w:ilvl="6" w:tplc="3009000F" w:tentative="1">
      <w:start w:val="1"/>
      <w:numFmt w:val="decimal"/>
      <w:lvlText w:val="%7."/>
      <w:lvlJc w:val="left"/>
      <w:pPr>
        <w:ind w:left="5766" w:hanging="360"/>
      </w:pPr>
    </w:lvl>
    <w:lvl w:ilvl="7" w:tplc="30090019" w:tentative="1">
      <w:start w:val="1"/>
      <w:numFmt w:val="lowerLetter"/>
      <w:lvlText w:val="%8."/>
      <w:lvlJc w:val="left"/>
      <w:pPr>
        <w:ind w:left="6486" w:hanging="360"/>
      </w:pPr>
    </w:lvl>
    <w:lvl w:ilvl="8" w:tplc="3009001B" w:tentative="1">
      <w:start w:val="1"/>
      <w:numFmt w:val="lowerRoman"/>
      <w:lvlText w:val="%9."/>
      <w:lvlJc w:val="right"/>
      <w:pPr>
        <w:ind w:left="7206" w:hanging="180"/>
      </w:pPr>
    </w:lvl>
  </w:abstractNum>
  <w:abstractNum w:abstractNumId="2" w15:restartNumberingAfterBreak="0">
    <w:nsid w:val="21335AE4"/>
    <w:multiLevelType w:val="multilevel"/>
    <w:tmpl w:val="4B020FBE"/>
    <w:lvl w:ilvl="0">
      <w:start w:val="1"/>
      <w:numFmt w:val="decimal"/>
      <w:lvlText w:val="%1."/>
      <w:lvlJc w:val="left"/>
      <w:pPr>
        <w:ind w:left="720" w:hanging="360"/>
      </w:pPr>
      <w:rPr>
        <w:rFonts w:hint="default"/>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ABC316E"/>
    <w:multiLevelType w:val="hybridMultilevel"/>
    <w:tmpl w:val="133E6FE4"/>
    <w:lvl w:ilvl="0" w:tplc="30090013">
      <w:start w:val="1"/>
      <w:numFmt w:val="upp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B5A55EB"/>
    <w:multiLevelType w:val="hybridMultilevel"/>
    <w:tmpl w:val="DB8AE02C"/>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B093212"/>
    <w:multiLevelType w:val="hybridMultilevel"/>
    <w:tmpl w:val="277883CA"/>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6" w15:restartNumberingAfterBreak="0">
    <w:nsid w:val="79004705"/>
    <w:multiLevelType w:val="hybridMultilevel"/>
    <w:tmpl w:val="346EDF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FC73ED0"/>
    <w:multiLevelType w:val="hybridMultilevel"/>
    <w:tmpl w:val="2EF0F63E"/>
    <w:lvl w:ilvl="0" w:tplc="737CED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7"/>
  </w:num>
  <w:num w:numId="3">
    <w:abstractNumId w:val="6"/>
  </w:num>
  <w:num w:numId="4">
    <w:abstractNumId w:val="0"/>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AE"/>
    <w:rsid w:val="00020648"/>
    <w:rsid w:val="0006099F"/>
    <w:rsid w:val="00064125"/>
    <w:rsid w:val="00072886"/>
    <w:rsid w:val="000C6972"/>
    <w:rsid w:val="00102C60"/>
    <w:rsid w:val="001129C5"/>
    <w:rsid w:val="00132250"/>
    <w:rsid w:val="00167D7C"/>
    <w:rsid w:val="00176CDB"/>
    <w:rsid w:val="00195339"/>
    <w:rsid w:val="00196784"/>
    <w:rsid w:val="001A04AD"/>
    <w:rsid w:val="001A2607"/>
    <w:rsid w:val="001C0CF7"/>
    <w:rsid w:val="001D36D5"/>
    <w:rsid w:val="00202264"/>
    <w:rsid w:val="0026118A"/>
    <w:rsid w:val="00283362"/>
    <w:rsid w:val="002A66BE"/>
    <w:rsid w:val="003102F4"/>
    <w:rsid w:val="003217C9"/>
    <w:rsid w:val="00345EB3"/>
    <w:rsid w:val="003569AE"/>
    <w:rsid w:val="003606F5"/>
    <w:rsid w:val="0036630A"/>
    <w:rsid w:val="00382EDA"/>
    <w:rsid w:val="00393301"/>
    <w:rsid w:val="003A67CB"/>
    <w:rsid w:val="003A79D1"/>
    <w:rsid w:val="003E6318"/>
    <w:rsid w:val="003F2613"/>
    <w:rsid w:val="004072AD"/>
    <w:rsid w:val="00413DA0"/>
    <w:rsid w:val="00417D1F"/>
    <w:rsid w:val="0043753D"/>
    <w:rsid w:val="00485B1C"/>
    <w:rsid w:val="004A47D9"/>
    <w:rsid w:val="004C2D64"/>
    <w:rsid w:val="004C7174"/>
    <w:rsid w:val="004D1D23"/>
    <w:rsid w:val="005359A3"/>
    <w:rsid w:val="00537F54"/>
    <w:rsid w:val="00555FB7"/>
    <w:rsid w:val="00574E68"/>
    <w:rsid w:val="00587890"/>
    <w:rsid w:val="005A3261"/>
    <w:rsid w:val="005A6A95"/>
    <w:rsid w:val="005B29C0"/>
    <w:rsid w:val="005E3739"/>
    <w:rsid w:val="005F2E32"/>
    <w:rsid w:val="00611F5C"/>
    <w:rsid w:val="00617FEF"/>
    <w:rsid w:val="00633CBB"/>
    <w:rsid w:val="006446EB"/>
    <w:rsid w:val="0067223D"/>
    <w:rsid w:val="00694EBB"/>
    <w:rsid w:val="006A3F3B"/>
    <w:rsid w:val="006A5EF6"/>
    <w:rsid w:val="006B29C9"/>
    <w:rsid w:val="006B2A86"/>
    <w:rsid w:val="006E1E7C"/>
    <w:rsid w:val="00707377"/>
    <w:rsid w:val="00711714"/>
    <w:rsid w:val="00716A21"/>
    <w:rsid w:val="00717553"/>
    <w:rsid w:val="0072169E"/>
    <w:rsid w:val="00735D5B"/>
    <w:rsid w:val="00747AA3"/>
    <w:rsid w:val="007508E6"/>
    <w:rsid w:val="00755533"/>
    <w:rsid w:val="007828DF"/>
    <w:rsid w:val="00782D12"/>
    <w:rsid w:val="0078505B"/>
    <w:rsid w:val="0078585C"/>
    <w:rsid w:val="00791CAD"/>
    <w:rsid w:val="00797759"/>
    <w:rsid w:val="00797A48"/>
    <w:rsid w:val="007D286F"/>
    <w:rsid w:val="0084770B"/>
    <w:rsid w:val="008647EC"/>
    <w:rsid w:val="008B06EE"/>
    <w:rsid w:val="008B3774"/>
    <w:rsid w:val="008B69B0"/>
    <w:rsid w:val="008D1E00"/>
    <w:rsid w:val="008E3AB6"/>
    <w:rsid w:val="008F118C"/>
    <w:rsid w:val="00937F94"/>
    <w:rsid w:val="0095045D"/>
    <w:rsid w:val="00980F6B"/>
    <w:rsid w:val="00985509"/>
    <w:rsid w:val="00995939"/>
    <w:rsid w:val="009C64B3"/>
    <w:rsid w:val="009D209D"/>
    <w:rsid w:val="00A51212"/>
    <w:rsid w:val="00A8068F"/>
    <w:rsid w:val="00A80A13"/>
    <w:rsid w:val="00AA5BEA"/>
    <w:rsid w:val="00AC090C"/>
    <w:rsid w:val="00AC243C"/>
    <w:rsid w:val="00AE1EAA"/>
    <w:rsid w:val="00B04162"/>
    <w:rsid w:val="00B23CD3"/>
    <w:rsid w:val="00B3264A"/>
    <w:rsid w:val="00B533B5"/>
    <w:rsid w:val="00B67379"/>
    <w:rsid w:val="00B72B64"/>
    <w:rsid w:val="00BA4C9A"/>
    <w:rsid w:val="00BC18CF"/>
    <w:rsid w:val="00BC763C"/>
    <w:rsid w:val="00BD2533"/>
    <w:rsid w:val="00BE13AA"/>
    <w:rsid w:val="00C01277"/>
    <w:rsid w:val="00C07EB8"/>
    <w:rsid w:val="00C34BD3"/>
    <w:rsid w:val="00C439C1"/>
    <w:rsid w:val="00C45668"/>
    <w:rsid w:val="00CB2B96"/>
    <w:rsid w:val="00CB60EF"/>
    <w:rsid w:val="00CF50EC"/>
    <w:rsid w:val="00D117B5"/>
    <w:rsid w:val="00D471F1"/>
    <w:rsid w:val="00D80428"/>
    <w:rsid w:val="00D81517"/>
    <w:rsid w:val="00D9298A"/>
    <w:rsid w:val="00D92C63"/>
    <w:rsid w:val="00DF349B"/>
    <w:rsid w:val="00F02245"/>
    <w:rsid w:val="00F07746"/>
    <w:rsid w:val="00F07A60"/>
    <w:rsid w:val="00F24BA3"/>
    <w:rsid w:val="00F44944"/>
    <w:rsid w:val="00F455BF"/>
    <w:rsid w:val="00FC40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6579D"/>
  <w15:chartTrackingRefBased/>
  <w15:docId w15:val="{5058D888-A9F4-442C-B0EC-393233DF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9AE"/>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3569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9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9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9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9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9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9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9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9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9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9AE"/>
    <w:rPr>
      <w:rFonts w:eastAsiaTheme="majorEastAsia" w:cstheme="majorBidi"/>
      <w:color w:val="272727" w:themeColor="text1" w:themeTint="D8"/>
    </w:rPr>
  </w:style>
  <w:style w:type="paragraph" w:styleId="Title">
    <w:name w:val="Title"/>
    <w:basedOn w:val="Normal"/>
    <w:next w:val="Normal"/>
    <w:link w:val="TitleChar"/>
    <w:uiPriority w:val="10"/>
    <w:qFormat/>
    <w:rsid w:val="00356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9AE"/>
    <w:pPr>
      <w:spacing w:before="160"/>
      <w:jc w:val="center"/>
    </w:pPr>
    <w:rPr>
      <w:i/>
      <w:iCs/>
      <w:color w:val="404040" w:themeColor="text1" w:themeTint="BF"/>
    </w:rPr>
  </w:style>
  <w:style w:type="character" w:customStyle="1" w:styleId="QuoteChar">
    <w:name w:val="Quote Char"/>
    <w:basedOn w:val="DefaultParagraphFont"/>
    <w:link w:val="Quote"/>
    <w:uiPriority w:val="29"/>
    <w:rsid w:val="003569AE"/>
    <w:rPr>
      <w:i/>
      <w:iCs/>
      <w:color w:val="404040" w:themeColor="text1" w:themeTint="BF"/>
    </w:rPr>
  </w:style>
  <w:style w:type="paragraph" w:styleId="ListParagraph">
    <w:name w:val="List Paragraph"/>
    <w:basedOn w:val="Normal"/>
    <w:uiPriority w:val="34"/>
    <w:qFormat/>
    <w:rsid w:val="003569AE"/>
    <w:pPr>
      <w:ind w:left="720"/>
      <w:contextualSpacing/>
    </w:pPr>
  </w:style>
  <w:style w:type="character" w:styleId="IntenseEmphasis">
    <w:name w:val="Intense Emphasis"/>
    <w:basedOn w:val="DefaultParagraphFont"/>
    <w:uiPriority w:val="21"/>
    <w:qFormat/>
    <w:rsid w:val="003569AE"/>
    <w:rPr>
      <w:i/>
      <w:iCs/>
      <w:color w:val="2F5496" w:themeColor="accent1" w:themeShade="BF"/>
    </w:rPr>
  </w:style>
  <w:style w:type="paragraph" w:styleId="IntenseQuote">
    <w:name w:val="Intense Quote"/>
    <w:basedOn w:val="Normal"/>
    <w:next w:val="Normal"/>
    <w:link w:val="IntenseQuoteChar"/>
    <w:uiPriority w:val="30"/>
    <w:qFormat/>
    <w:rsid w:val="00356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9AE"/>
    <w:rPr>
      <w:i/>
      <w:iCs/>
      <w:color w:val="2F5496" w:themeColor="accent1" w:themeShade="BF"/>
    </w:rPr>
  </w:style>
  <w:style w:type="character" w:styleId="IntenseReference">
    <w:name w:val="Intense Reference"/>
    <w:basedOn w:val="DefaultParagraphFont"/>
    <w:uiPriority w:val="32"/>
    <w:qFormat/>
    <w:rsid w:val="003569AE"/>
    <w:rPr>
      <w:b/>
      <w:bCs/>
      <w:smallCaps/>
      <w:color w:val="2F5496" w:themeColor="accent1" w:themeShade="BF"/>
      <w:spacing w:val="5"/>
    </w:rPr>
  </w:style>
  <w:style w:type="paragraph" w:styleId="Header">
    <w:name w:val="header"/>
    <w:basedOn w:val="Normal"/>
    <w:link w:val="HeaderChar"/>
    <w:uiPriority w:val="99"/>
    <w:unhideWhenUsed/>
    <w:rsid w:val="00B32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64A"/>
    <w:rPr>
      <w:kern w:val="0"/>
      <w:sz w:val="22"/>
      <w:szCs w:val="22"/>
      <w:lang w:val="en-US"/>
      <w14:ligatures w14:val="none"/>
    </w:rPr>
  </w:style>
  <w:style w:type="paragraph" w:styleId="Footer">
    <w:name w:val="footer"/>
    <w:basedOn w:val="Normal"/>
    <w:link w:val="FooterChar"/>
    <w:uiPriority w:val="99"/>
    <w:unhideWhenUsed/>
    <w:rsid w:val="00B32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64A"/>
    <w:rPr>
      <w:kern w:val="0"/>
      <w:sz w:val="22"/>
      <w:szCs w:val="22"/>
      <w:lang w:val="en-US"/>
      <w14:ligatures w14:val="none"/>
    </w:rPr>
  </w:style>
  <w:style w:type="paragraph" w:styleId="NormalWeb">
    <w:name w:val="Normal (Web)"/>
    <w:basedOn w:val="Normal"/>
    <w:uiPriority w:val="99"/>
    <w:semiHidden/>
    <w:unhideWhenUsed/>
    <w:rsid w:val="005359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3648">
      <w:bodyDiv w:val="1"/>
      <w:marLeft w:val="0"/>
      <w:marRight w:val="0"/>
      <w:marTop w:val="0"/>
      <w:marBottom w:val="0"/>
      <w:divBdr>
        <w:top w:val="none" w:sz="0" w:space="0" w:color="auto"/>
        <w:left w:val="none" w:sz="0" w:space="0" w:color="auto"/>
        <w:bottom w:val="none" w:sz="0" w:space="0" w:color="auto"/>
        <w:right w:val="none" w:sz="0" w:space="0" w:color="auto"/>
      </w:divBdr>
    </w:div>
    <w:div w:id="539560939">
      <w:bodyDiv w:val="1"/>
      <w:marLeft w:val="0"/>
      <w:marRight w:val="0"/>
      <w:marTop w:val="0"/>
      <w:marBottom w:val="0"/>
      <w:divBdr>
        <w:top w:val="none" w:sz="0" w:space="0" w:color="auto"/>
        <w:left w:val="none" w:sz="0" w:space="0" w:color="auto"/>
        <w:bottom w:val="none" w:sz="0" w:space="0" w:color="auto"/>
        <w:right w:val="none" w:sz="0" w:space="0" w:color="auto"/>
      </w:divBdr>
    </w:div>
    <w:div w:id="861407025">
      <w:bodyDiv w:val="1"/>
      <w:marLeft w:val="0"/>
      <w:marRight w:val="0"/>
      <w:marTop w:val="0"/>
      <w:marBottom w:val="0"/>
      <w:divBdr>
        <w:top w:val="none" w:sz="0" w:space="0" w:color="auto"/>
        <w:left w:val="none" w:sz="0" w:space="0" w:color="auto"/>
        <w:bottom w:val="none" w:sz="0" w:space="0" w:color="auto"/>
        <w:right w:val="none" w:sz="0" w:space="0" w:color="auto"/>
      </w:divBdr>
    </w:div>
    <w:div w:id="1025404456">
      <w:bodyDiv w:val="1"/>
      <w:marLeft w:val="0"/>
      <w:marRight w:val="0"/>
      <w:marTop w:val="0"/>
      <w:marBottom w:val="0"/>
      <w:divBdr>
        <w:top w:val="none" w:sz="0" w:space="0" w:color="auto"/>
        <w:left w:val="none" w:sz="0" w:space="0" w:color="auto"/>
        <w:bottom w:val="none" w:sz="0" w:space="0" w:color="auto"/>
        <w:right w:val="none" w:sz="0" w:space="0" w:color="auto"/>
      </w:divBdr>
    </w:div>
    <w:div w:id="1379939537">
      <w:bodyDiv w:val="1"/>
      <w:marLeft w:val="0"/>
      <w:marRight w:val="0"/>
      <w:marTop w:val="0"/>
      <w:marBottom w:val="0"/>
      <w:divBdr>
        <w:top w:val="none" w:sz="0" w:space="0" w:color="auto"/>
        <w:left w:val="none" w:sz="0" w:space="0" w:color="auto"/>
        <w:bottom w:val="none" w:sz="0" w:space="0" w:color="auto"/>
        <w:right w:val="none" w:sz="0" w:space="0" w:color="auto"/>
      </w:divBdr>
    </w:div>
    <w:div w:id="1596595971">
      <w:bodyDiv w:val="1"/>
      <w:marLeft w:val="0"/>
      <w:marRight w:val="0"/>
      <w:marTop w:val="0"/>
      <w:marBottom w:val="0"/>
      <w:divBdr>
        <w:top w:val="none" w:sz="0" w:space="0" w:color="auto"/>
        <w:left w:val="none" w:sz="0" w:space="0" w:color="auto"/>
        <w:bottom w:val="none" w:sz="0" w:space="0" w:color="auto"/>
        <w:right w:val="none" w:sz="0" w:space="0" w:color="auto"/>
      </w:divBdr>
    </w:div>
    <w:div w:id="1815486136">
      <w:bodyDiv w:val="1"/>
      <w:marLeft w:val="0"/>
      <w:marRight w:val="0"/>
      <w:marTop w:val="0"/>
      <w:marBottom w:val="0"/>
      <w:divBdr>
        <w:top w:val="none" w:sz="0" w:space="0" w:color="auto"/>
        <w:left w:val="none" w:sz="0" w:space="0" w:color="auto"/>
        <w:bottom w:val="none" w:sz="0" w:space="0" w:color="auto"/>
        <w:right w:val="none" w:sz="0" w:space="0" w:color="auto"/>
      </w:divBdr>
    </w:div>
    <w:div w:id="207508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E6EF3-55A9-4209-8994-03F06D81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3392</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JudgesAssistantt</dc:creator>
  <cp:keywords/>
  <dc:description/>
  <cp:lastModifiedBy>Microsoft account</cp:lastModifiedBy>
  <cp:revision>2</cp:revision>
  <cp:lastPrinted>2025-03-06T09:54:00Z</cp:lastPrinted>
  <dcterms:created xsi:type="dcterms:W3CDTF">2025-03-10T11:00:00Z</dcterms:created>
  <dcterms:modified xsi:type="dcterms:W3CDTF">2025-03-10T11:00:00Z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4f6507ce-409b-4f83-b3aa-045e7d224ad0</vt:lpwstr>
  </property>
</Properties>
</file>