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80128" w14:textId="4F4B71BF" w:rsidR="00580383" w:rsidRPr="00F20D38" w:rsidRDefault="00580383" w:rsidP="00F20D38">
      <w:pPr>
        <w:pStyle w:val="NoSpacing"/>
        <w:spacing w:before="0" w:beforeAutospacing="0"/>
        <w:jc w:val="both"/>
        <w:rPr>
          <w:szCs w:val="24"/>
        </w:rPr>
      </w:pPr>
      <w:bookmarkStart w:id="0" w:name="_GoBack"/>
      <w:bookmarkEnd w:id="0"/>
      <w:r w:rsidRPr="00F20D38">
        <w:rPr>
          <w:szCs w:val="24"/>
        </w:rPr>
        <w:t xml:space="preserve">VIMBAI MUKARO </w:t>
      </w:r>
    </w:p>
    <w:p w14:paraId="54AE52BA" w14:textId="051EC8AB" w:rsidR="00580383" w:rsidRPr="00F20D38" w:rsidRDefault="00F96227" w:rsidP="00F20D38">
      <w:pPr>
        <w:pStyle w:val="NoSpacing"/>
        <w:spacing w:before="0" w:beforeAutospacing="0"/>
        <w:jc w:val="both"/>
        <w:rPr>
          <w:szCs w:val="24"/>
        </w:rPr>
      </w:pPr>
      <w:r>
        <w:rPr>
          <w:szCs w:val="24"/>
        </w:rPr>
        <w:t>v</w:t>
      </w:r>
      <w:r w:rsidR="00580383" w:rsidRPr="00F20D38">
        <w:rPr>
          <w:szCs w:val="24"/>
        </w:rPr>
        <w:t>ersus</w:t>
      </w:r>
    </w:p>
    <w:p w14:paraId="07CE0798" w14:textId="637E9F22" w:rsidR="00580383" w:rsidRPr="00F20D38" w:rsidRDefault="00580383" w:rsidP="00F20D38">
      <w:pPr>
        <w:pStyle w:val="NoSpacing"/>
        <w:spacing w:before="0" w:beforeAutospacing="0"/>
        <w:jc w:val="both"/>
        <w:rPr>
          <w:szCs w:val="24"/>
        </w:rPr>
      </w:pPr>
      <w:r w:rsidRPr="00F20D38">
        <w:rPr>
          <w:szCs w:val="24"/>
        </w:rPr>
        <w:t>AMALGAMATED HEALTH SERVICES (PVT) LTD</w:t>
      </w:r>
    </w:p>
    <w:p w14:paraId="6081536E" w14:textId="661E2139" w:rsidR="00580383" w:rsidRPr="00F20D38" w:rsidRDefault="00580383" w:rsidP="00F20D38">
      <w:pPr>
        <w:pStyle w:val="NoSpacing"/>
        <w:spacing w:before="0" w:beforeAutospacing="0"/>
        <w:jc w:val="both"/>
        <w:rPr>
          <w:szCs w:val="24"/>
        </w:rPr>
      </w:pPr>
      <w:r w:rsidRPr="00F20D38">
        <w:rPr>
          <w:szCs w:val="24"/>
        </w:rPr>
        <w:t xml:space="preserve">t/a MORTACAMP INVESTMENTS (PVT) LTD </w:t>
      </w:r>
    </w:p>
    <w:p w14:paraId="3ED93C15" w14:textId="2CED654B" w:rsidR="00580383" w:rsidRPr="00F20D38" w:rsidRDefault="00580383" w:rsidP="00F20D38">
      <w:pPr>
        <w:pStyle w:val="NoSpacing"/>
        <w:spacing w:before="0" w:beforeAutospacing="0"/>
        <w:jc w:val="both"/>
        <w:rPr>
          <w:szCs w:val="24"/>
        </w:rPr>
      </w:pPr>
      <w:r w:rsidRPr="00F20D38">
        <w:rPr>
          <w:szCs w:val="24"/>
        </w:rPr>
        <w:t xml:space="preserve">DAVID MUKARO </w:t>
      </w:r>
    </w:p>
    <w:p w14:paraId="43602ECA" w14:textId="1F9C699A" w:rsidR="00580383" w:rsidRPr="00F20D38" w:rsidRDefault="00F96227" w:rsidP="00F20D38">
      <w:pPr>
        <w:pStyle w:val="NoSpacing"/>
        <w:spacing w:before="0" w:beforeAutospacing="0"/>
        <w:jc w:val="both"/>
        <w:rPr>
          <w:szCs w:val="24"/>
        </w:rPr>
      </w:pPr>
      <w:r>
        <w:rPr>
          <w:szCs w:val="24"/>
        </w:rPr>
        <w:t>v</w:t>
      </w:r>
      <w:r w:rsidR="00580383" w:rsidRPr="00F20D38">
        <w:rPr>
          <w:szCs w:val="24"/>
        </w:rPr>
        <w:t xml:space="preserve">ersus </w:t>
      </w:r>
    </w:p>
    <w:p w14:paraId="679D3550" w14:textId="77777777" w:rsidR="00580383" w:rsidRPr="00F20D38" w:rsidRDefault="00580383" w:rsidP="00F20D38">
      <w:pPr>
        <w:pStyle w:val="NoSpacing"/>
        <w:spacing w:before="0" w:beforeAutospacing="0"/>
        <w:jc w:val="both"/>
        <w:rPr>
          <w:szCs w:val="24"/>
        </w:rPr>
      </w:pPr>
      <w:r w:rsidRPr="00F20D38">
        <w:rPr>
          <w:szCs w:val="24"/>
        </w:rPr>
        <w:t>AMALGAMATED HEALTH SERVICES (PVT) LTD</w:t>
      </w:r>
    </w:p>
    <w:p w14:paraId="1B973496" w14:textId="446899D6" w:rsidR="00580383" w:rsidRPr="00F20D38" w:rsidRDefault="00580383" w:rsidP="00F20D38">
      <w:pPr>
        <w:pStyle w:val="NoSpacing"/>
        <w:spacing w:before="0" w:beforeAutospacing="0"/>
        <w:jc w:val="both"/>
        <w:rPr>
          <w:szCs w:val="24"/>
        </w:rPr>
      </w:pPr>
      <w:r w:rsidRPr="00F20D38">
        <w:rPr>
          <w:szCs w:val="24"/>
        </w:rPr>
        <w:t xml:space="preserve">t/a MORTACAMP INVESTMENTS (PVT) LTD </w:t>
      </w:r>
    </w:p>
    <w:p w14:paraId="7CFD6DBC" w14:textId="77777777" w:rsidR="00580383" w:rsidRPr="00D10188" w:rsidRDefault="00580383" w:rsidP="00F20D38">
      <w:pPr>
        <w:pStyle w:val="NoSpacing"/>
        <w:spacing w:before="0" w:beforeAutospacing="0"/>
        <w:jc w:val="both"/>
        <w:rPr>
          <w:b/>
          <w:szCs w:val="24"/>
        </w:rPr>
      </w:pPr>
    </w:p>
    <w:p w14:paraId="0606058D" w14:textId="77777777" w:rsidR="00580383" w:rsidRPr="00D10188" w:rsidRDefault="00580383" w:rsidP="00580383">
      <w:pPr>
        <w:pStyle w:val="NoSpacing"/>
        <w:jc w:val="both"/>
        <w:rPr>
          <w:b/>
          <w:szCs w:val="24"/>
        </w:rPr>
      </w:pPr>
    </w:p>
    <w:p w14:paraId="0304CCF9" w14:textId="77777777" w:rsidR="00580383" w:rsidRDefault="00580383" w:rsidP="00580383">
      <w:pPr>
        <w:pStyle w:val="NoSpacing"/>
        <w:jc w:val="both"/>
        <w:rPr>
          <w:szCs w:val="24"/>
        </w:rPr>
      </w:pPr>
      <w:r w:rsidRPr="00D10188">
        <w:rPr>
          <w:szCs w:val="24"/>
        </w:rPr>
        <w:t>IN THE HIGH COURT OF ZIMBABWE</w:t>
      </w:r>
    </w:p>
    <w:p w14:paraId="61BDD7FF" w14:textId="6102F1F1" w:rsidR="00580383" w:rsidRPr="00F20D38" w:rsidRDefault="00580383" w:rsidP="00580383">
      <w:pPr>
        <w:pStyle w:val="NoSpacing"/>
        <w:jc w:val="both"/>
        <w:rPr>
          <w:b/>
          <w:szCs w:val="24"/>
        </w:rPr>
      </w:pPr>
      <w:r w:rsidRPr="00F20D38">
        <w:rPr>
          <w:b/>
          <w:szCs w:val="24"/>
        </w:rPr>
        <w:t>DUBE-BANDA J</w:t>
      </w:r>
    </w:p>
    <w:p w14:paraId="3731794A" w14:textId="07661C7A" w:rsidR="00580383" w:rsidRDefault="00580383" w:rsidP="00580383">
      <w:pPr>
        <w:pStyle w:val="NoSpacing"/>
        <w:jc w:val="both"/>
        <w:rPr>
          <w:szCs w:val="24"/>
        </w:rPr>
      </w:pPr>
      <w:r>
        <w:rPr>
          <w:szCs w:val="24"/>
        </w:rPr>
        <w:t>HARARE 19 November 2024 &amp; 2</w:t>
      </w:r>
      <w:r w:rsidR="00DC0DBC">
        <w:rPr>
          <w:szCs w:val="24"/>
        </w:rPr>
        <w:t>6</w:t>
      </w:r>
      <w:r>
        <w:rPr>
          <w:szCs w:val="24"/>
        </w:rPr>
        <w:t xml:space="preserve"> November 2024</w:t>
      </w:r>
    </w:p>
    <w:p w14:paraId="213AD7D1" w14:textId="77777777" w:rsidR="00580383" w:rsidRDefault="00580383" w:rsidP="00580383">
      <w:pPr>
        <w:pStyle w:val="NoSpacing"/>
        <w:jc w:val="both"/>
        <w:rPr>
          <w:szCs w:val="24"/>
        </w:rPr>
      </w:pPr>
    </w:p>
    <w:p w14:paraId="334A5672" w14:textId="77777777" w:rsidR="00F20D38" w:rsidRDefault="00F20D38" w:rsidP="00580383">
      <w:pPr>
        <w:pStyle w:val="NoSpacing"/>
        <w:jc w:val="both"/>
        <w:rPr>
          <w:szCs w:val="24"/>
        </w:rPr>
      </w:pPr>
    </w:p>
    <w:p w14:paraId="56BD202F" w14:textId="0F80E0DC" w:rsidR="00580383" w:rsidRPr="00F20D38" w:rsidRDefault="00580383" w:rsidP="00580383">
      <w:pPr>
        <w:pStyle w:val="NoSpacing"/>
        <w:jc w:val="both"/>
        <w:rPr>
          <w:b/>
          <w:szCs w:val="24"/>
        </w:rPr>
      </w:pPr>
      <w:r w:rsidRPr="00F20D38">
        <w:rPr>
          <w:b/>
          <w:szCs w:val="24"/>
        </w:rPr>
        <w:t xml:space="preserve">Special plea of prescription </w:t>
      </w:r>
      <w:r w:rsidR="00DC0DBC" w:rsidRPr="00F20D38">
        <w:rPr>
          <w:b/>
          <w:szCs w:val="24"/>
        </w:rPr>
        <w:t xml:space="preserve">and exception </w:t>
      </w:r>
    </w:p>
    <w:p w14:paraId="30889F84" w14:textId="77777777" w:rsidR="00580383" w:rsidRPr="00F20D38" w:rsidRDefault="00580383" w:rsidP="00580383">
      <w:pPr>
        <w:pStyle w:val="NoSpacing"/>
        <w:jc w:val="both"/>
        <w:rPr>
          <w:b/>
          <w:szCs w:val="24"/>
        </w:rPr>
      </w:pPr>
    </w:p>
    <w:p w14:paraId="045C48C6" w14:textId="360CD6A4" w:rsidR="00580383" w:rsidRPr="00D10188" w:rsidRDefault="00F20D38" w:rsidP="00580383">
      <w:pPr>
        <w:pStyle w:val="NoSpacing"/>
        <w:jc w:val="both"/>
        <w:rPr>
          <w:szCs w:val="24"/>
        </w:rPr>
      </w:pPr>
      <w:r>
        <w:rPr>
          <w:i/>
          <w:szCs w:val="24"/>
        </w:rPr>
        <w:t>T</w:t>
      </w:r>
      <w:r w:rsidR="00580383">
        <w:rPr>
          <w:i/>
          <w:szCs w:val="24"/>
        </w:rPr>
        <w:t xml:space="preserve"> Chaka</w:t>
      </w:r>
      <w:r w:rsidR="00DC0DBC">
        <w:rPr>
          <w:i/>
          <w:szCs w:val="24"/>
        </w:rPr>
        <w:t>b</w:t>
      </w:r>
      <w:r w:rsidR="00580383">
        <w:rPr>
          <w:i/>
          <w:szCs w:val="24"/>
        </w:rPr>
        <w:t>va</w:t>
      </w:r>
      <w:r w:rsidR="00580383" w:rsidRPr="00D10188">
        <w:rPr>
          <w:szCs w:val="24"/>
        </w:rPr>
        <w:t xml:space="preserve"> for the </w:t>
      </w:r>
      <w:r w:rsidR="00580383">
        <w:rPr>
          <w:szCs w:val="24"/>
        </w:rPr>
        <w:t>plaintiff</w:t>
      </w:r>
    </w:p>
    <w:p w14:paraId="636081C9" w14:textId="19741F5E" w:rsidR="00580383" w:rsidRPr="00D10188" w:rsidRDefault="00F20D38" w:rsidP="00580383">
      <w:pPr>
        <w:pStyle w:val="NoSpacing"/>
        <w:jc w:val="both"/>
        <w:rPr>
          <w:szCs w:val="24"/>
        </w:rPr>
      </w:pPr>
      <w:r>
        <w:rPr>
          <w:i/>
          <w:szCs w:val="24"/>
        </w:rPr>
        <w:t>D</w:t>
      </w:r>
      <w:r w:rsidR="00580383">
        <w:rPr>
          <w:i/>
          <w:szCs w:val="24"/>
        </w:rPr>
        <w:t xml:space="preserve"> Chiromo </w:t>
      </w:r>
      <w:r w:rsidR="00580383" w:rsidRPr="00D10188">
        <w:rPr>
          <w:szCs w:val="24"/>
        </w:rPr>
        <w:t xml:space="preserve">for the </w:t>
      </w:r>
      <w:r w:rsidR="00580383">
        <w:rPr>
          <w:szCs w:val="24"/>
        </w:rPr>
        <w:t xml:space="preserve">defendant </w:t>
      </w:r>
    </w:p>
    <w:p w14:paraId="6FCBF2D8" w14:textId="1E1F4B1B" w:rsidR="00A03784" w:rsidRPr="00580383" w:rsidRDefault="00580383" w:rsidP="00580383">
      <w:pPr>
        <w:rPr>
          <w:rFonts w:ascii="Times New Roman" w:hAnsi="Times New Roman" w:cs="Times New Roman"/>
          <w:sz w:val="24"/>
          <w:szCs w:val="24"/>
        </w:rPr>
      </w:pPr>
      <w:r w:rsidRPr="00D10188">
        <w:rPr>
          <w:szCs w:val="24"/>
        </w:rPr>
        <w:tab/>
      </w:r>
      <w:r w:rsidRPr="00580383">
        <w:rPr>
          <w:rFonts w:ascii="Times New Roman" w:hAnsi="Times New Roman" w:cs="Times New Roman"/>
          <w:b/>
          <w:sz w:val="24"/>
          <w:szCs w:val="24"/>
        </w:rPr>
        <w:t xml:space="preserve">DUBE-BANDA J: </w:t>
      </w:r>
    </w:p>
    <w:p w14:paraId="55FF9979" w14:textId="16E405CF" w:rsidR="009A5A27" w:rsidRDefault="00A03784" w:rsidP="009A5A27">
      <w:pPr>
        <w:rPr>
          <w:rFonts w:ascii="Times New Roman" w:hAnsi="Times New Roman" w:cs="Times New Roman"/>
          <w:sz w:val="24"/>
          <w:szCs w:val="24"/>
        </w:rPr>
      </w:pPr>
      <w:r w:rsidRPr="00A03784">
        <w:rPr>
          <w:rFonts w:ascii="Times New Roman" w:hAnsi="Times New Roman" w:cs="Times New Roman"/>
          <w:sz w:val="24"/>
          <w:szCs w:val="24"/>
        </w:rPr>
        <w:t>[1]</w:t>
      </w:r>
      <w:r w:rsidR="00F20D38">
        <w:rPr>
          <w:rFonts w:ascii="Times New Roman" w:hAnsi="Times New Roman" w:cs="Times New Roman"/>
          <w:sz w:val="24"/>
          <w:szCs w:val="24"/>
        </w:rPr>
        <w:tab/>
      </w:r>
      <w:r w:rsidRPr="00A03784">
        <w:rPr>
          <w:rFonts w:ascii="Times New Roman" w:hAnsi="Times New Roman" w:cs="Times New Roman"/>
          <w:sz w:val="24"/>
          <w:szCs w:val="24"/>
        </w:rPr>
        <w:t xml:space="preserve"> This is a special plea</w:t>
      </w:r>
      <w:r w:rsidR="009A5A27">
        <w:rPr>
          <w:rFonts w:ascii="Times New Roman" w:hAnsi="Times New Roman" w:cs="Times New Roman"/>
          <w:sz w:val="24"/>
          <w:szCs w:val="24"/>
        </w:rPr>
        <w:t xml:space="preserve"> filed in terms of r</w:t>
      </w:r>
      <w:r w:rsidR="009A5A27" w:rsidRPr="009A5A27">
        <w:rPr>
          <w:rFonts w:ascii="Times New Roman" w:hAnsi="Times New Roman" w:cs="Times New Roman"/>
          <w:sz w:val="24"/>
          <w:szCs w:val="24"/>
        </w:rPr>
        <w:t xml:space="preserve"> 42 of the High Court Rules, 20</w:t>
      </w:r>
      <w:r w:rsidR="009A5A27">
        <w:rPr>
          <w:rFonts w:ascii="Times New Roman" w:hAnsi="Times New Roman" w:cs="Times New Roman"/>
          <w:sz w:val="24"/>
          <w:szCs w:val="24"/>
        </w:rPr>
        <w:t xml:space="preserve">21. The defendant seeks the dismissal of the plaintiffs’ claims without </w:t>
      </w:r>
      <w:r w:rsidR="009A5A27" w:rsidRPr="009A5A27">
        <w:rPr>
          <w:rFonts w:ascii="Times New Roman" w:hAnsi="Times New Roman" w:cs="Times New Roman"/>
          <w:sz w:val="24"/>
          <w:szCs w:val="24"/>
        </w:rPr>
        <w:t xml:space="preserve">going into the merits </w:t>
      </w:r>
      <w:r w:rsidR="009A5A27">
        <w:rPr>
          <w:rFonts w:ascii="Times New Roman" w:hAnsi="Times New Roman" w:cs="Times New Roman"/>
          <w:sz w:val="24"/>
          <w:szCs w:val="24"/>
        </w:rPr>
        <w:t xml:space="preserve">of the cases. </w:t>
      </w:r>
    </w:p>
    <w:p w14:paraId="68A05BD0" w14:textId="44BF9391" w:rsidR="00A03784" w:rsidRDefault="00580383" w:rsidP="00A03784">
      <w:pPr>
        <w:rPr>
          <w:rFonts w:ascii="Times New Roman" w:hAnsi="Times New Roman" w:cs="Times New Roman"/>
          <w:sz w:val="24"/>
          <w:szCs w:val="24"/>
        </w:rPr>
      </w:pPr>
      <w:r>
        <w:rPr>
          <w:rFonts w:ascii="Times New Roman" w:hAnsi="Times New Roman" w:cs="Times New Roman"/>
          <w:sz w:val="24"/>
          <w:szCs w:val="24"/>
        </w:rPr>
        <w:t>[2]</w:t>
      </w:r>
      <w:r w:rsidR="00F20D38">
        <w:rPr>
          <w:rFonts w:ascii="Times New Roman" w:hAnsi="Times New Roman" w:cs="Times New Roman"/>
          <w:sz w:val="24"/>
          <w:szCs w:val="24"/>
        </w:rPr>
        <w:tab/>
      </w:r>
      <w:r>
        <w:rPr>
          <w:rFonts w:ascii="Times New Roman" w:hAnsi="Times New Roman" w:cs="Times New Roman"/>
          <w:sz w:val="24"/>
          <w:szCs w:val="24"/>
        </w:rPr>
        <w:t xml:space="preserve"> There are two matters before court, i.e., David Mukaro v Amalgamated health Services (Pvt) Ltd t/a Mortacamp Investments (Pvt) Ltd HC 5759/20 </w:t>
      </w:r>
      <w:r w:rsidR="0054400C">
        <w:rPr>
          <w:rFonts w:ascii="Times New Roman" w:hAnsi="Times New Roman" w:cs="Times New Roman"/>
          <w:sz w:val="24"/>
          <w:szCs w:val="24"/>
        </w:rPr>
        <w:t xml:space="preserve">(David) </w:t>
      </w:r>
      <w:r>
        <w:rPr>
          <w:rFonts w:ascii="Times New Roman" w:hAnsi="Times New Roman" w:cs="Times New Roman"/>
          <w:sz w:val="24"/>
          <w:szCs w:val="24"/>
        </w:rPr>
        <w:t>and Vimbai Mukaro Amalgamated health Services (Pvt) Ltd t/a Mortacamp Investments (Pvt) Ltd HC 5759/21</w:t>
      </w:r>
      <w:r w:rsidR="0054400C">
        <w:rPr>
          <w:rFonts w:ascii="Times New Roman" w:hAnsi="Times New Roman" w:cs="Times New Roman"/>
          <w:sz w:val="24"/>
          <w:szCs w:val="24"/>
        </w:rPr>
        <w:t xml:space="preserve"> (Vimbai)</w:t>
      </w:r>
      <w:r>
        <w:rPr>
          <w:rFonts w:ascii="Times New Roman" w:hAnsi="Times New Roman" w:cs="Times New Roman"/>
          <w:sz w:val="24"/>
          <w:szCs w:val="24"/>
        </w:rPr>
        <w:t xml:space="preserve">. </w:t>
      </w:r>
      <w:r w:rsidR="00795C3F">
        <w:rPr>
          <w:rFonts w:ascii="Times New Roman" w:hAnsi="Times New Roman" w:cs="Times New Roman"/>
          <w:sz w:val="24"/>
          <w:szCs w:val="24"/>
        </w:rPr>
        <w:t>On 10 October 2024</w:t>
      </w:r>
      <w:r>
        <w:rPr>
          <w:rFonts w:ascii="Times New Roman" w:hAnsi="Times New Roman" w:cs="Times New Roman"/>
          <w:sz w:val="24"/>
          <w:szCs w:val="24"/>
        </w:rPr>
        <w:t xml:space="preserve"> the parties applied for a consolidation of the two matters</w:t>
      </w:r>
      <w:r w:rsidR="00DC0DBC">
        <w:rPr>
          <w:rFonts w:ascii="Times New Roman" w:hAnsi="Times New Roman" w:cs="Times New Roman"/>
          <w:sz w:val="24"/>
          <w:szCs w:val="24"/>
        </w:rPr>
        <w:t>.</w:t>
      </w:r>
      <w:r>
        <w:rPr>
          <w:rFonts w:ascii="Times New Roman" w:hAnsi="Times New Roman" w:cs="Times New Roman"/>
          <w:sz w:val="24"/>
          <w:szCs w:val="24"/>
        </w:rPr>
        <w:t xml:space="preserve"> I considered it convenient to </w:t>
      </w:r>
      <w:r w:rsidR="00DC0DBC">
        <w:rPr>
          <w:rFonts w:ascii="Times New Roman" w:hAnsi="Times New Roman" w:cs="Times New Roman"/>
          <w:sz w:val="24"/>
          <w:szCs w:val="24"/>
        </w:rPr>
        <w:t>order a consolidation</w:t>
      </w:r>
      <w:r>
        <w:rPr>
          <w:rFonts w:ascii="Times New Roman" w:hAnsi="Times New Roman" w:cs="Times New Roman"/>
          <w:sz w:val="24"/>
          <w:szCs w:val="24"/>
        </w:rPr>
        <w:t xml:space="preserve"> because the issues in the two matters are essentially the same; the plaintiffs in both matters are represented by the same legal practitioner; and in both matters the defendant is represented by the same legal practitioner. </w:t>
      </w:r>
      <w:r w:rsidR="00DC0DBC">
        <w:rPr>
          <w:rFonts w:ascii="Times New Roman" w:hAnsi="Times New Roman" w:cs="Times New Roman"/>
          <w:sz w:val="24"/>
          <w:szCs w:val="24"/>
        </w:rPr>
        <w:t xml:space="preserve">I such a case it would be appropriate and convenient to order a consolidation. </w:t>
      </w:r>
      <w:r>
        <w:rPr>
          <w:rFonts w:ascii="Times New Roman" w:hAnsi="Times New Roman" w:cs="Times New Roman"/>
          <w:sz w:val="24"/>
          <w:szCs w:val="24"/>
        </w:rPr>
        <w:t xml:space="preserve">See </w:t>
      </w:r>
      <w:r w:rsidRPr="003F7088">
        <w:rPr>
          <w:rFonts w:ascii="Times New Roman" w:hAnsi="Times New Roman" w:cs="Times New Roman"/>
          <w:i/>
          <w:iCs/>
          <w:sz w:val="24"/>
          <w:szCs w:val="24"/>
        </w:rPr>
        <w:t>Minister of Agriculture v Tongaat Group Ltd</w:t>
      </w:r>
      <w:r w:rsidRPr="00BB7488">
        <w:rPr>
          <w:rFonts w:ascii="Times New Roman" w:hAnsi="Times New Roman" w:cs="Times New Roman"/>
          <w:sz w:val="24"/>
          <w:szCs w:val="24"/>
        </w:rPr>
        <w:t xml:space="preserve"> 1976 (2) Sa 357 (D)</w:t>
      </w:r>
      <w:r>
        <w:rPr>
          <w:rFonts w:ascii="Times New Roman" w:hAnsi="Times New Roman" w:cs="Times New Roman"/>
          <w:sz w:val="24"/>
          <w:szCs w:val="24"/>
        </w:rPr>
        <w:t xml:space="preserve">; </w:t>
      </w:r>
      <w:r w:rsidRPr="00580383">
        <w:rPr>
          <w:rFonts w:ascii="Times New Roman" w:hAnsi="Times New Roman" w:cs="Times New Roman"/>
          <w:i/>
          <w:iCs/>
          <w:sz w:val="24"/>
          <w:szCs w:val="24"/>
        </w:rPr>
        <w:t xml:space="preserve">Spencer’s Creek (Private) Ltd v Zimnat General Insurance </w:t>
      </w:r>
      <w:r>
        <w:rPr>
          <w:rFonts w:ascii="Times New Roman" w:hAnsi="Times New Roman" w:cs="Times New Roman"/>
          <w:sz w:val="24"/>
          <w:szCs w:val="24"/>
        </w:rPr>
        <w:t>HB 23/24. In the circumstances, I ordered that the two matters be consolidated</w:t>
      </w:r>
      <w:r w:rsidR="00DC0DBC">
        <w:rPr>
          <w:rFonts w:ascii="Times New Roman" w:hAnsi="Times New Roman" w:cs="Times New Roman"/>
          <w:sz w:val="24"/>
          <w:szCs w:val="24"/>
        </w:rPr>
        <w:t xml:space="preserve"> in terms r 34 of the High Court Rules, 2021.</w:t>
      </w:r>
    </w:p>
    <w:p w14:paraId="4AAF0B37" w14:textId="048CF274" w:rsidR="00B46B28" w:rsidRDefault="00580383" w:rsidP="00A03784">
      <w:pPr>
        <w:rPr>
          <w:rFonts w:ascii="Times New Roman" w:hAnsi="Times New Roman" w:cs="Times New Roman"/>
          <w:sz w:val="24"/>
          <w:szCs w:val="24"/>
        </w:rPr>
      </w:pPr>
      <w:r>
        <w:rPr>
          <w:rFonts w:ascii="Times New Roman" w:hAnsi="Times New Roman" w:cs="Times New Roman"/>
          <w:sz w:val="24"/>
          <w:szCs w:val="24"/>
        </w:rPr>
        <w:t>[3]</w:t>
      </w:r>
      <w:r w:rsidR="00F20D38">
        <w:rPr>
          <w:rFonts w:ascii="Times New Roman" w:hAnsi="Times New Roman" w:cs="Times New Roman"/>
          <w:sz w:val="24"/>
          <w:szCs w:val="24"/>
        </w:rPr>
        <w:tab/>
      </w:r>
      <w:r>
        <w:rPr>
          <w:rFonts w:ascii="Times New Roman" w:hAnsi="Times New Roman" w:cs="Times New Roman"/>
          <w:sz w:val="24"/>
          <w:szCs w:val="24"/>
        </w:rPr>
        <w:t xml:space="preserve"> The background to these matters is as follows. In both matters the plaintiffs </w:t>
      </w:r>
      <w:r w:rsidR="00B46B28">
        <w:rPr>
          <w:rFonts w:ascii="Times New Roman" w:hAnsi="Times New Roman" w:cs="Times New Roman"/>
          <w:sz w:val="24"/>
          <w:szCs w:val="24"/>
        </w:rPr>
        <w:t xml:space="preserve">seek </w:t>
      </w:r>
      <w:r w:rsidR="0054400C">
        <w:rPr>
          <w:rFonts w:ascii="Times New Roman" w:hAnsi="Times New Roman" w:cs="Times New Roman"/>
          <w:sz w:val="24"/>
          <w:szCs w:val="24"/>
        </w:rPr>
        <w:t xml:space="preserve">identical </w:t>
      </w:r>
      <w:r w:rsidR="00B46B28">
        <w:rPr>
          <w:rFonts w:ascii="Times New Roman" w:hAnsi="Times New Roman" w:cs="Times New Roman"/>
          <w:sz w:val="24"/>
          <w:szCs w:val="24"/>
        </w:rPr>
        <w:t xml:space="preserve">relief couched in the following terms: </w:t>
      </w:r>
    </w:p>
    <w:p w14:paraId="17ED8F5D" w14:textId="52E52CFF" w:rsidR="00B46B28" w:rsidRDefault="00B46B28" w:rsidP="00B46B2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An order directing the defendant to transfer of cause the transfer of rights and interest in respect of (Vimbai case) stand 18760 of stand 18657, (David case) stand 18768 of stand 18657 Harare Township Lands situate in the District of Salisbury to the plaintiff </w:t>
      </w:r>
      <w:r>
        <w:rPr>
          <w:rFonts w:ascii="Times New Roman" w:hAnsi="Times New Roman" w:cs="Times New Roman"/>
          <w:sz w:val="24"/>
          <w:szCs w:val="24"/>
        </w:rPr>
        <w:lastRenderedPageBreak/>
        <w:t xml:space="preserve">within seven (7) days of this order failing which the Sheriff is authorised to so act in defendant’s place and stead, </w:t>
      </w:r>
    </w:p>
    <w:p w14:paraId="2DC2071F" w14:textId="7A5F5344" w:rsidR="00B46B28" w:rsidRDefault="00B46B28" w:rsidP="00B46B2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Alternatively, should specific performance be not possible as per clause 1above, or if it is declined by the court, an order directing the defendant to pay the plaintiff replacement value for the stand being the local currency equivalent of the sum of USD</w:t>
      </w:r>
      <w:r w:rsidR="0054400C">
        <w:rPr>
          <w:rFonts w:ascii="Times New Roman" w:hAnsi="Times New Roman" w:cs="Times New Roman"/>
          <w:sz w:val="24"/>
          <w:szCs w:val="24"/>
        </w:rPr>
        <w:t>$25 000.00 at the auction rate as at the date of judgment, together with interest thereon at the prescribed rate.</w:t>
      </w:r>
    </w:p>
    <w:p w14:paraId="4570D5E3" w14:textId="16323D57" w:rsidR="0054400C" w:rsidRPr="00B46B28" w:rsidRDefault="0054400C" w:rsidP="00B46B2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Costs of suit on the legal practitioner and client scale. </w:t>
      </w:r>
    </w:p>
    <w:p w14:paraId="285DD5FD" w14:textId="77777777" w:rsidR="00B46B28" w:rsidRDefault="00B46B28" w:rsidP="00A03784">
      <w:pPr>
        <w:rPr>
          <w:rFonts w:ascii="Times New Roman" w:hAnsi="Times New Roman" w:cs="Times New Roman"/>
          <w:sz w:val="24"/>
          <w:szCs w:val="24"/>
        </w:rPr>
      </w:pPr>
    </w:p>
    <w:p w14:paraId="5239C8B9" w14:textId="2E3DF846" w:rsidR="00580383" w:rsidRDefault="0054400C" w:rsidP="00A03784">
      <w:pPr>
        <w:rPr>
          <w:rFonts w:ascii="Times New Roman" w:hAnsi="Times New Roman" w:cs="Times New Roman"/>
          <w:sz w:val="24"/>
          <w:szCs w:val="24"/>
        </w:rPr>
      </w:pPr>
      <w:r>
        <w:rPr>
          <w:rFonts w:ascii="Times New Roman" w:hAnsi="Times New Roman" w:cs="Times New Roman"/>
          <w:sz w:val="24"/>
          <w:szCs w:val="24"/>
        </w:rPr>
        <w:t>[4]</w:t>
      </w:r>
      <w:r w:rsidR="00F20D38">
        <w:rPr>
          <w:rFonts w:ascii="Times New Roman" w:hAnsi="Times New Roman" w:cs="Times New Roman"/>
          <w:sz w:val="24"/>
          <w:szCs w:val="24"/>
        </w:rPr>
        <w:tab/>
      </w:r>
      <w:r>
        <w:rPr>
          <w:rFonts w:ascii="Times New Roman" w:hAnsi="Times New Roman" w:cs="Times New Roman"/>
          <w:sz w:val="24"/>
          <w:szCs w:val="24"/>
        </w:rPr>
        <w:t xml:space="preserve"> The plaintiffs </w:t>
      </w:r>
      <w:r w:rsidR="00580383">
        <w:rPr>
          <w:rFonts w:ascii="Times New Roman" w:hAnsi="Times New Roman" w:cs="Times New Roman"/>
          <w:sz w:val="24"/>
          <w:szCs w:val="24"/>
        </w:rPr>
        <w:t>aver that they entered into written agreements with the defendant in respect to vaca</w:t>
      </w:r>
      <w:r w:rsidR="00DC0DBC">
        <w:rPr>
          <w:rFonts w:ascii="Times New Roman" w:hAnsi="Times New Roman" w:cs="Times New Roman"/>
          <w:sz w:val="24"/>
          <w:szCs w:val="24"/>
        </w:rPr>
        <w:t>nt</w:t>
      </w:r>
      <w:r w:rsidR="00580383">
        <w:rPr>
          <w:rFonts w:ascii="Times New Roman" w:hAnsi="Times New Roman" w:cs="Times New Roman"/>
          <w:sz w:val="24"/>
          <w:szCs w:val="24"/>
        </w:rPr>
        <w:t xml:space="preserve"> stands; they have paid the purchase price in full; and that in terms of the agreement the defendant was obliged to do everything necessary to ensure that the stands are in a position to be transferred to them. In addition, it is averred that on numerous occasions, the last of which was on 24 May 2018 the defendant through its representatives or agents made </w:t>
      </w:r>
      <w:r w:rsidR="00DC0DBC">
        <w:rPr>
          <w:rFonts w:ascii="Times New Roman" w:hAnsi="Times New Roman" w:cs="Times New Roman"/>
          <w:sz w:val="24"/>
          <w:szCs w:val="24"/>
        </w:rPr>
        <w:t xml:space="preserve">an </w:t>
      </w:r>
      <w:r w:rsidR="00580383">
        <w:rPr>
          <w:rFonts w:ascii="Times New Roman" w:hAnsi="Times New Roman" w:cs="Times New Roman"/>
          <w:sz w:val="24"/>
          <w:szCs w:val="24"/>
        </w:rPr>
        <w:t xml:space="preserve">undertaking to either </w:t>
      </w:r>
      <w:r w:rsidR="00DC0DBC">
        <w:rPr>
          <w:rFonts w:ascii="Times New Roman" w:hAnsi="Times New Roman" w:cs="Times New Roman"/>
          <w:sz w:val="24"/>
          <w:szCs w:val="24"/>
        </w:rPr>
        <w:t xml:space="preserve">transfer the stands </w:t>
      </w:r>
      <w:r w:rsidR="00580383">
        <w:rPr>
          <w:rFonts w:ascii="Times New Roman" w:hAnsi="Times New Roman" w:cs="Times New Roman"/>
          <w:sz w:val="24"/>
          <w:szCs w:val="24"/>
        </w:rPr>
        <w:t xml:space="preserve">or compensate the plaintiffs the replacement value of the stands. In the circumstances, the plaintiffs are seeking an order for specific performance, and in the alternative an order for damages in the sum of USD$25 000,00. </w:t>
      </w:r>
    </w:p>
    <w:p w14:paraId="073F6296" w14:textId="1A6A6EBF" w:rsidR="00E21146" w:rsidRDefault="00580383" w:rsidP="00A03784">
      <w:pPr>
        <w:rPr>
          <w:rFonts w:ascii="Times New Roman" w:hAnsi="Times New Roman" w:cs="Times New Roman"/>
          <w:sz w:val="24"/>
          <w:szCs w:val="24"/>
        </w:rPr>
      </w:pPr>
      <w:r>
        <w:rPr>
          <w:rFonts w:ascii="Times New Roman" w:hAnsi="Times New Roman" w:cs="Times New Roman"/>
          <w:sz w:val="24"/>
          <w:szCs w:val="24"/>
        </w:rPr>
        <w:t>[</w:t>
      </w:r>
      <w:r w:rsidR="0054400C">
        <w:rPr>
          <w:rFonts w:ascii="Times New Roman" w:hAnsi="Times New Roman" w:cs="Times New Roman"/>
          <w:sz w:val="24"/>
          <w:szCs w:val="24"/>
        </w:rPr>
        <w:t>5</w:t>
      </w:r>
      <w:r>
        <w:rPr>
          <w:rFonts w:ascii="Times New Roman" w:hAnsi="Times New Roman" w:cs="Times New Roman"/>
          <w:sz w:val="24"/>
          <w:szCs w:val="24"/>
        </w:rPr>
        <w:t>]</w:t>
      </w:r>
      <w:r w:rsidR="00F20D38">
        <w:rPr>
          <w:rFonts w:ascii="Times New Roman" w:hAnsi="Times New Roman" w:cs="Times New Roman"/>
          <w:sz w:val="24"/>
          <w:szCs w:val="24"/>
        </w:rPr>
        <w:tab/>
      </w:r>
      <w:r>
        <w:rPr>
          <w:rFonts w:ascii="Times New Roman" w:hAnsi="Times New Roman" w:cs="Times New Roman"/>
          <w:sz w:val="24"/>
          <w:szCs w:val="24"/>
        </w:rPr>
        <w:t xml:space="preserve"> The defendant raised the following special pleas; prescription; impossibility of performance; and non-joinder of all interested parties. At the hearing, the defendant abandoned the plea</w:t>
      </w:r>
      <w:r w:rsidR="00DC0DBC">
        <w:rPr>
          <w:rFonts w:ascii="Times New Roman" w:hAnsi="Times New Roman" w:cs="Times New Roman"/>
          <w:sz w:val="24"/>
          <w:szCs w:val="24"/>
        </w:rPr>
        <w:t>s</w:t>
      </w:r>
      <w:r>
        <w:rPr>
          <w:rFonts w:ascii="Times New Roman" w:hAnsi="Times New Roman" w:cs="Times New Roman"/>
          <w:sz w:val="24"/>
          <w:szCs w:val="24"/>
        </w:rPr>
        <w:t xml:space="preserve"> of non-joinder and impossibility of performance, and no further reference shall be made to these pleas.</w:t>
      </w:r>
    </w:p>
    <w:p w14:paraId="02903431" w14:textId="58DF8869" w:rsidR="00DC0DBC" w:rsidRPr="00DC0DBC" w:rsidRDefault="00DC0DBC" w:rsidP="00A03784">
      <w:pPr>
        <w:rPr>
          <w:rFonts w:ascii="Times New Roman" w:hAnsi="Times New Roman" w:cs="Times New Roman"/>
          <w:b/>
          <w:bCs/>
          <w:sz w:val="24"/>
          <w:szCs w:val="24"/>
          <w:u w:val="single"/>
        </w:rPr>
      </w:pPr>
      <w:r w:rsidRPr="00DC0DBC">
        <w:rPr>
          <w:rFonts w:ascii="Times New Roman" w:hAnsi="Times New Roman" w:cs="Times New Roman"/>
          <w:b/>
          <w:bCs/>
          <w:sz w:val="24"/>
          <w:szCs w:val="24"/>
          <w:u w:val="single"/>
        </w:rPr>
        <w:t xml:space="preserve">PRESCRIPTION </w:t>
      </w:r>
    </w:p>
    <w:p w14:paraId="6478974C" w14:textId="00275CA6" w:rsidR="00580383" w:rsidRDefault="00B173B5" w:rsidP="00A03784">
      <w:pPr>
        <w:rPr>
          <w:rFonts w:ascii="Times New Roman" w:hAnsi="Times New Roman" w:cs="Times New Roman"/>
          <w:sz w:val="24"/>
          <w:szCs w:val="24"/>
        </w:rPr>
      </w:pPr>
      <w:r>
        <w:rPr>
          <w:rFonts w:ascii="Times New Roman" w:hAnsi="Times New Roman" w:cs="Times New Roman"/>
          <w:sz w:val="24"/>
          <w:szCs w:val="24"/>
        </w:rPr>
        <w:t>[6]</w:t>
      </w:r>
      <w:r w:rsidR="00F20D38">
        <w:rPr>
          <w:rFonts w:ascii="Times New Roman" w:hAnsi="Times New Roman" w:cs="Times New Roman"/>
          <w:sz w:val="24"/>
          <w:szCs w:val="24"/>
        </w:rPr>
        <w:tab/>
      </w:r>
      <w:r w:rsidR="00580383">
        <w:rPr>
          <w:rFonts w:ascii="Times New Roman" w:hAnsi="Times New Roman" w:cs="Times New Roman"/>
          <w:sz w:val="24"/>
          <w:szCs w:val="24"/>
        </w:rPr>
        <w:t xml:space="preserve"> For completeness and clarity, I reproduce the grounds of defendant’s special plea on prescription as it appears in the notices: </w:t>
      </w:r>
    </w:p>
    <w:p w14:paraId="20A444D8" w14:textId="089F90B8" w:rsidR="00580383" w:rsidRDefault="00580383" w:rsidP="00580383">
      <w:pPr>
        <w:pStyle w:val="ListParagraph"/>
        <w:numPr>
          <w:ilvl w:val="0"/>
          <w:numId w:val="1"/>
        </w:numPr>
        <w:rPr>
          <w:rFonts w:ascii="Times New Roman" w:hAnsi="Times New Roman" w:cs="Times New Roman"/>
          <w:sz w:val="24"/>
          <w:szCs w:val="24"/>
        </w:rPr>
      </w:pPr>
      <w:r w:rsidRPr="00580383">
        <w:rPr>
          <w:rFonts w:ascii="Times New Roman" w:hAnsi="Times New Roman" w:cs="Times New Roman"/>
          <w:sz w:val="24"/>
          <w:szCs w:val="24"/>
        </w:rPr>
        <w:t>Plaintiff’s claims has (</w:t>
      </w:r>
      <w:r w:rsidRPr="00580383">
        <w:rPr>
          <w:rFonts w:ascii="Times New Roman" w:hAnsi="Times New Roman" w:cs="Times New Roman"/>
          <w:i/>
          <w:iCs/>
          <w:sz w:val="24"/>
          <w:szCs w:val="24"/>
        </w:rPr>
        <w:t>sic</w:t>
      </w:r>
      <w:r w:rsidRPr="00580383">
        <w:rPr>
          <w:rFonts w:ascii="Times New Roman" w:hAnsi="Times New Roman" w:cs="Times New Roman"/>
          <w:sz w:val="24"/>
          <w:szCs w:val="24"/>
        </w:rPr>
        <w:t xml:space="preserve">) prescribed. The plaintiff failed to institute the proceedings within three (3) </w:t>
      </w:r>
      <w:r w:rsidR="00DC0DBC">
        <w:rPr>
          <w:rFonts w:ascii="Times New Roman" w:hAnsi="Times New Roman" w:cs="Times New Roman"/>
          <w:sz w:val="24"/>
          <w:szCs w:val="24"/>
        </w:rPr>
        <w:t xml:space="preserve">years </w:t>
      </w:r>
      <w:r w:rsidRPr="00580383">
        <w:rPr>
          <w:rFonts w:ascii="Times New Roman" w:hAnsi="Times New Roman" w:cs="Times New Roman"/>
          <w:sz w:val="24"/>
          <w:szCs w:val="24"/>
        </w:rPr>
        <w:t xml:space="preserve">from the time the cause of action arose. The matter must be dismissed without hearing the merits. </w:t>
      </w:r>
    </w:p>
    <w:p w14:paraId="24039B81" w14:textId="5C3831E9" w:rsidR="00580383" w:rsidRDefault="00580383" w:rsidP="0058038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defendant was specified in 2004 under the Prevention of Corruption Act [Chapter 9:16]. The plaintiff was supposed to claim from the appointed Curator of the defendant within the prescribed time. The plaintiff has no basis at law or otherwise to claim from the defendant more than 20 years after its placement on curatorship. There was no reason for plaintiff to fail to claim from the defendant’s curator / liquidator / investigator as the defendant’s specification was gazetted and well circulated in both </w:t>
      </w:r>
      <w:r>
        <w:rPr>
          <w:rFonts w:ascii="Times New Roman" w:hAnsi="Times New Roman" w:cs="Times New Roman"/>
          <w:sz w:val="24"/>
          <w:szCs w:val="24"/>
        </w:rPr>
        <w:lastRenderedPageBreak/>
        <w:t xml:space="preserve">print and </w:t>
      </w:r>
      <w:r w:rsidR="00BA101B">
        <w:rPr>
          <w:rFonts w:ascii="Times New Roman" w:hAnsi="Times New Roman" w:cs="Times New Roman"/>
          <w:sz w:val="24"/>
          <w:szCs w:val="24"/>
        </w:rPr>
        <w:t>electronic</w:t>
      </w:r>
      <w:r>
        <w:rPr>
          <w:rFonts w:ascii="Times New Roman" w:hAnsi="Times New Roman" w:cs="Times New Roman"/>
          <w:sz w:val="24"/>
          <w:szCs w:val="24"/>
        </w:rPr>
        <w:t xml:space="preserve"> media. The plaintiff has to suffer from its own sluggish behaviour and the claim o</w:t>
      </w:r>
      <w:r w:rsidR="00E163DC">
        <w:rPr>
          <w:rFonts w:ascii="Times New Roman" w:hAnsi="Times New Roman" w:cs="Times New Roman"/>
          <w:sz w:val="24"/>
          <w:szCs w:val="24"/>
        </w:rPr>
        <w:t>ught</w:t>
      </w:r>
      <w:r>
        <w:rPr>
          <w:rFonts w:ascii="Times New Roman" w:hAnsi="Times New Roman" w:cs="Times New Roman"/>
          <w:sz w:val="24"/>
          <w:szCs w:val="24"/>
        </w:rPr>
        <w:t xml:space="preserve"> to be dismissed with costs. </w:t>
      </w:r>
    </w:p>
    <w:p w14:paraId="46E3A852" w14:textId="77777777" w:rsidR="00580383" w:rsidRPr="00580383" w:rsidRDefault="00580383" w:rsidP="00580383">
      <w:pPr>
        <w:pStyle w:val="ListParagraph"/>
        <w:ind w:left="780"/>
        <w:rPr>
          <w:rFonts w:ascii="Times New Roman" w:hAnsi="Times New Roman" w:cs="Times New Roman"/>
          <w:sz w:val="24"/>
          <w:szCs w:val="24"/>
        </w:rPr>
      </w:pPr>
    </w:p>
    <w:p w14:paraId="0BA82620" w14:textId="0119F5D2" w:rsidR="00580383" w:rsidRDefault="00580383" w:rsidP="00580383">
      <w:pPr>
        <w:rPr>
          <w:rFonts w:ascii="Times New Roman" w:hAnsi="Times New Roman" w:cs="Times New Roman"/>
          <w:sz w:val="24"/>
          <w:szCs w:val="24"/>
        </w:rPr>
      </w:pPr>
      <w:r>
        <w:rPr>
          <w:rFonts w:ascii="Times New Roman" w:hAnsi="Times New Roman" w:cs="Times New Roman"/>
          <w:sz w:val="24"/>
          <w:szCs w:val="24"/>
        </w:rPr>
        <w:t>[</w:t>
      </w:r>
      <w:r w:rsidR="00B173B5">
        <w:rPr>
          <w:rFonts w:ascii="Times New Roman" w:hAnsi="Times New Roman" w:cs="Times New Roman"/>
          <w:sz w:val="24"/>
          <w:szCs w:val="24"/>
        </w:rPr>
        <w:t>7</w:t>
      </w:r>
      <w:r>
        <w:rPr>
          <w:rFonts w:ascii="Times New Roman" w:hAnsi="Times New Roman" w:cs="Times New Roman"/>
          <w:sz w:val="24"/>
          <w:szCs w:val="24"/>
        </w:rPr>
        <w:t>]</w:t>
      </w:r>
      <w:r w:rsidR="00F20D38">
        <w:rPr>
          <w:rFonts w:ascii="Times New Roman" w:hAnsi="Times New Roman" w:cs="Times New Roman"/>
          <w:sz w:val="24"/>
          <w:szCs w:val="24"/>
        </w:rPr>
        <w:tab/>
      </w:r>
      <w:r>
        <w:rPr>
          <w:rFonts w:ascii="Times New Roman" w:hAnsi="Times New Roman" w:cs="Times New Roman"/>
          <w:sz w:val="24"/>
          <w:szCs w:val="24"/>
        </w:rPr>
        <w:t xml:space="preserve"> In their replications, the plaintiff</w:t>
      </w:r>
      <w:r w:rsidR="009F0CE3">
        <w:rPr>
          <w:rFonts w:ascii="Times New Roman" w:hAnsi="Times New Roman" w:cs="Times New Roman"/>
          <w:sz w:val="24"/>
          <w:szCs w:val="24"/>
        </w:rPr>
        <w:t>s</w:t>
      </w:r>
      <w:r>
        <w:rPr>
          <w:rFonts w:ascii="Times New Roman" w:hAnsi="Times New Roman" w:cs="Times New Roman"/>
          <w:sz w:val="24"/>
          <w:szCs w:val="24"/>
        </w:rPr>
        <w:t xml:space="preserve"> averred that prescription was interrupted in that the defendant’s agents, Hartman Properties wrote a letter on 28 May 20</w:t>
      </w:r>
      <w:r w:rsidR="009F0CE3">
        <w:rPr>
          <w:rFonts w:ascii="Times New Roman" w:hAnsi="Times New Roman" w:cs="Times New Roman"/>
          <w:sz w:val="24"/>
          <w:szCs w:val="24"/>
        </w:rPr>
        <w:t>1</w:t>
      </w:r>
      <w:r>
        <w:rPr>
          <w:rFonts w:ascii="Times New Roman" w:hAnsi="Times New Roman" w:cs="Times New Roman"/>
          <w:sz w:val="24"/>
          <w:szCs w:val="24"/>
        </w:rPr>
        <w:t>8 acknowledging the debt and agreed to pay compensation.</w:t>
      </w:r>
    </w:p>
    <w:p w14:paraId="27C7482A" w14:textId="5BF81E87" w:rsidR="00580383" w:rsidRDefault="00580383" w:rsidP="00580383">
      <w:pPr>
        <w:rPr>
          <w:rFonts w:ascii="Times New Roman" w:hAnsi="Times New Roman" w:cs="Times New Roman"/>
          <w:sz w:val="24"/>
          <w:szCs w:val="24"/>
        </w:rPr>
      </w:pPr>
      <w:r>
        <w:rPr>
          <w:rFonts w:ascii="Times New Roman" w:hAnsi="Times New Roman" w:cs="Times New Roman"/>
          <w:sz w:val="24"/>
          <w:szCs w:val="24"/>
        </w:rPr>
        <w:t>[</w:t>
      </w:r>
      <w:r w:rsidR="00B173B5">
        <w:rPr>
          <w:rFonts w:ascii="Times New Roman" w:hAnsi="Times New Roman" w:cs="Times New Roman"/>
          <w:sz w:val="24"/>
          <w:szCs w:val="24"/>
        </w:rPr>
        <w:t>8</w:t>
      </w:r>
      <w:r>
        <w:rPr>
          <w:rFonts w:ascii="Times New Roman" w:hAnsi="Times New Roman" w:cs="Times New Roman"/>
          <w:sz w:val="24"/>
          <w:szCs w:val="24"/>
        </w:rPr>
        <w:t>]</w:t>
      </w:r>
      <w:r w:rsidR="00F20D38">
        <w:rPr>
          <w:rFonts w:ascii="Times New Roman" w:hAnsi="Times New Roman" w:cs="Times New Roman"/>
          <w:sz w:val="24"/>
          <w:szCs w:val="24"/>
        </w:rPr>
        <w:tab/>
      </w:r>
      <w:r>
        <w:rPr>
          <w:rFonts w:ascii="Times New Roman" w:hAnsi="Times New Roman" w:cs="Times New Roman"/>
          <w:sz w:val="24"/>
          <w:szCs w:val="24"/>
        </w:rPr>
        <w:t xml:space="preserve"> It was argued on behalf of the defendant that the cause action is the defendant’s failure to transfer the properties in terms of the time frames stated in the agreements of sale. </w:t>
      </w:r>
      <w:r w:rsidRPr="00580383">
        <w:rPr>
          <w:rFonts w:ascii="Times New Roman" w:hAnsi="Times New Roman" w:cs="Times New Roman"/>
          <w:sz w:val="24"/>
          <w:szCs w:val="24"/>
        </w:rPr>
        <w:t>I</w:t>
      </w:r>
      <w:r>
        <w:rPr>
          <w:rFonts w:ascii="Times New Roman" w:hAnsi="Times New Roman" w:cs="Times New Roman"/>
          <w:sz w:val="24"/>
          <w:szCs w:val="24"/>
        </w:rPr>
        <w:t xml:space="preserve">n addition, it was </w:t>
      </w:r>
      <w:r w:rsidRPr="00580383">
        <w:rPr>
          <w:rFonts w:ascii="Times New Roman" w:hAnsi="Times New Roman" w:cs="Times New Roman"/>
          <w:sz w:val="24"/>
          <w:szCs w:val="24"/>
        </w:rPr>
        <w:t>argued tha</w:t>
      </w:r>
      <w:r>
        <w:rPr>
          <w:rFonts w:ascii="Times New Roman" w:hAnsi="Times New Roman" w:cs="Times New Roman"/>
          <w:sz w:val="24"/>
          <w:szCs w:val="24"/>
        </w:rPr>
        <w:t>t</w:t>
      </w:r>
      <w:r w:rsidRPr="00580383">
        <w:rPr>
          <w:rFonts w:ascii="Times New Roman" w:hAnsi="Times New Roman" w:cs="Times New Roman"/>
          <w:sz w:val="24"/>
          <w:szCs w:val="24"/>
        </w:rPr>
        <w:t xml:space="preserve"> the plaintiffs</w:t>
      </w:r>
      <w:r>
        <w:rPr>
          <w:rFonts w:ascii="Times New Roman" w:hAnsi="Times New Roman" w:cs="Times New Roman"/>
          <w:sz w:val="24"/>
          <w:szCs w:val="24"/>
        </w:rPr>
        <w:t>’ cause of action arose in 2002</w:t>
      </w:r>
      <w:r w:rsidRPr="00580383">
        <w:rPr>
          <w:rFonts w:ascii="Times New Roman" w:hAnsi="Times New Roman" w:cs="Times New Roman"/>
          <w:sz w:val="24"/>
          <w:szCs w:val="24"/>
        </w:rPr>
        <w:t xml:space="preserve">, and three years lapsed </w:t>
      </w:r>
      <w:r>
        <w:rPr>
          <w:rFonts w:ascii="Times New Roman" w:hAnsi="Times New Roman" w:cs="Times New Roman"/>
          <w:sz w:val="24"/>
          <w:szCs w:val="24"/>
        </w:rPr>
        <w:t xml:space="preserve">in December 2006. </w:t>
      </w:r>
      <w:r w:rsidRPr="00580383">
        <w:rPr>
          <w:rFonts w:ascii="Times New Roman" w:hAnsi="Times New Roman" w:cs="Times New Roman"/>
          <w:sz w:val="24"/>
          <w:szCs w:val="24"/>
        </w:rPr>
        <w:t xml:space="preserve"> </w:t>
      </w:r>
      <w:r>
        <w:rPr>
          <w:rFonts w:ascii="Times New Roman" w:hAnsi="Times New Roman" w:cs="Times New Roman"/>
          <w:sz w:val="24"/>
          <w:szCs w:val="24"/>
        </w:rPr>
        <w:t xml:space="preserve">The summonses in these matters were issued on 14 May 2021. </w:t>
      </w:r>
      <w:r w:rsidRPr="00580383">
        <w:rPr>
          <w:rFonts w:ascii="Times New Roman" w:hAnsi="Times New Roman" w:cs="Times New Roman"/>
          <w:sz w:val="24"/>
          <w:szCs w:val="24"/>
        </w:rPr>
        <w:t xml:space="preserve">On the abovementioned basis it is the defendant’s case that all the claims against the defendant have become prescribed. </w:t>
      </w:r>
    </w:p>
    <w:p w14:paraId="0BDDAC58" w14:textId="58B813D2" w:rsidR="002859AD" w:rsidRDefault="00580383" w:rsidP="00580383">
      <w:pPr>
        <w:rPr>
          <w:rFonts w:ascii="Times New Roman" w:hAnsi="Times New Roman" w:cs="Times New Roman"/>
          <w:sz w:val="24"/>
          <w:szCs w:val="24"/>
        </w:rPr>
      </w:pPr>
      <w:r>
        <w:rPr>
          <w:rFonts w:ascii="Times New Roman" w:hAnsi="Times New Roman" w:cs="Times New Roman"/>
          <w:sz w:val="24"/>
          <w:szCs w:val="24"/>
        </w:rPr>
        <w:t>[</w:t>
      </w:r>
      <w:r w:rsidR="00B173B5">
        <w:rPr>
          <w:rFonts w:ascii="Times New Roman" w:hAnsi="Times New Roman" w:cs="Times New Roman"/>
          <w:sz w:val="24"/>
          <w:szCs w:val="24"/>
        </w:rPr>
        <w:t>9</w:t>
      </w:r>
      <w:r>
        <w:rPr>
          <w:rFonts w:ascii="Times New Roman" w:hAnsi="Times New Roman" w:cs="Times New Roman"/>
          <w:sz w:val="24"/>
          <w:szCs w:val="24"/>
        </w:rPr>
        <w:t>]</w:t>
      </w:r>
      <w:r w:rsidR="00F20D38">
        <w:rPr>
          <w:rFonts w:ascii="Times New Roman" w:hAnsi="Times New Roman" w:cs="Times New Roman"/>
          <w:sz w:val="24"/>
          <w:szCs w:val="24"/>
        </w:rPr>
        <w:tab/>
      </w:r>
      <w:r>
        <w:rPr>
          <w:rFonts w:ascii="Times New Roman" w:hAnsi="Times New Roman" w:cs="Times New Roman"/>
          <w:sz w:val="24"/>
          <w:szCs w:val="24"/>
        </w:rPr>
        <w:t xml:space="preserve"> In their heads of argument the plaintiffs argued that prescription was interrupted by the defendant’s tacit acknowledgement of liability. In that by letter dated 28 May 2018 it offered either to deliver the stands or pay compensation. In oral submissions Mr</w:t>
      </w:r>
      <w:r w:rsidRPr="00580383">
        <w:rPr>
          <w:rFonts w:ascii="Times New Roman" w:hAnsi="Times New Roman" w:cs="Times New Roman"/>
          <w:i/>
          <w:iCs/>
          <w:sz w:val="24"/>
          <w:szCs w:val="24"/>
        </w:rPr>
        <w:t xml:space="preserve"> Chika</w:t>
      </w:r>
      <w:r w:rsidR="009F0CE3">
        <w:rPr>
          <w:rFonts w:ascii="Times New Roman" w:hAnsi="Times New Roman" w:cs="Times New Roman"/>
          <w:i/>
          <w:iCs/>
          <w:sz w:val="24"/>
          <w:szCs w:val="24"/>
        </w:rPr>
        <w:t>b</w:t>
      </w:r>
      <w:r w:rsidRPr="00580383">
        <w:rPr>
          <w:rFonts w:ascii="Times New Roman" w:hAnsi="Times New Roman" w:cs="Times New Roman"/>
          <w:i/>
          <w:iCs/>
          <w:sz w:val="24"/>
          <w:szCs w:val="24"/>
        </w:rPr>
        <w:t>va</w:t>
      </w:r>
      <w:r>
        <w:rPr>
          <w:rFonts w:ascii="Times New Roman" w:hAnsi="Times New Roman" w:cs="Times New Roman"/>
          <w:sz w:val="24"/>
          <w:szCs w:val="24"/>
        </w:rPr>
        <w:t xml:space="preserve"> counsel for the plaintiff</w:t>
      </w:r>
      <w:r w:rsidR="009F0CE3">
        <w:rPr>
          <w:rFonts w:ascii="Times New Roman" w:hAnsi="Times New Roman" w:cs="Times New Roman"/>
          <w:sz w:val="24"/>
          <w:szCs w:val="24"/>
        </w:rPr>
        <w:t>s</w:t>
      </w:r>
      <w:r>
        <w:rPr>
          <w:rFonts w:ascii="Times New Roman" w:hAnsi="Times New Roman" w:cs="Times New Roman"/>
          <w:sz w:val="24"/>
          <w:szCs w:val="24"/>
        </w:rPr>
        <w:t xml:space="preserve"> argued that in the readding of </w:t>
      </w:r>
      <w:r w:rsidR="009F0CE3">
        <w:rPr>
          <w:rFonts w:ascii="Times New Roman" w:hAnsi="Times New Roman" w:cs="Times New Roman"/>
          <w:sz w:val="24"/>
          <w:szCs w:val="24"/>
        </w:rPr>
        <w:t xml:space="preserve">Paragraph </w:t>
      </w:r>
      <w:r>
        <w:rPr>
          <w:rFonts w:ascii="Times New Roman" w:hAnsi="Times New Roman" w:cs="Times New Roman"/>
          <w:sz w:val="24"/>
          <w:szCs w:val="24"/>
        </w:rPr>
        <w:t xml:space="preserve">5.1 </w:t>
      </w:r>
      <w:r w:rsidR="009F0CE3">
        <w:rPr>
          <w:rFonts w:ascii="Times New Roman" w:hAnsi="Times New Roman" w:cs="Times New Roman"/>
          <w:sz w:val="24"/>
          <w:szCs w:val="24"/>
        </w:rPr>
        <w:t xml:space="preserve">of the Agreements </w:t>
      </w:r>
      <w:r>
        <w:rPr>
          <w:rFonts w:ascii="Times New Roman" w:hAnsi="Times New Roman" w:cs="Times New Roman"/>
          <w:sz w:val="24"/>
          <w:szCs w:val="24"/>
        </w:rPr>
        <w:t xml:space="preserve">the cause of action did not arise in 2002, in that </w:t>
      </w:r>
      <w:r w:rsidR="009F0CE3">
        <w:rPr>
          <w:rFonts w:ascii="Times New Roman" w:hAnsi="Times New Roman" w:cs="Times New Roman"/>
          <w:sz w:val="24"/>
          <w:szCs w:val="24"/>
        </w:rPr>
        <w:t>at that time</w:t>
      </w:r>
      <w:r>
        <w:rPr>
          <w:rFonts w:ascii="Times New Roman" w:hAnsi="Times New Roman" w:cs="Times New Roman"/>
          <w:sz w:val="24"/>
          <w:szCs w:val="24"/>
        </w:rPr>
        <w:t xml:space="preserve"> all the conditions precedent to the transfers ha</w:t>
      </w:r>
      <w:r w:rsidR="009F0CE3">
        <w:rPr>
          <w:rFonts w:ascii="Times New Roman" w:hAnsi="Times New Roman" w:cs="Times New Roman"/>
          <w:sz w:val="24"/>
          <w:szCs w:val="24"/>
        </w:rPr>
        <w:t>d</w:t>
      </w:r>
      <w:r>
        <w:rPr>
          <w:rFonts w:ascii="Times New Roman" w:hAnsi="Times New Roman" w:cs="Times New Roman"/>
          <w:sz w:val="24"/>
          <w:szCs w:val="24"/>
        </w:rPr>
        <w:t xml:space="preserve"> not been complied with. Regarding the alleged specification of the defendant, the plaintiff argued that there is no evidence of this on record. The plaintiffs argued that the special plea of prescription be dismissed</w:t>
      </w:r>
      <w:r w:rsidR="009F0CE3">
        <w:rPr>
          <w:rFonts w:ascii="Times New Roman" w:hAnsi="Times New Roman" w:cs="Times New Roman"/>
          <w:sz w:val="24"/>
          <w:szCs w:val="24"/>
        </w:rPr>
        <w:t xml:space="preserve"> with costs. </w:t>
      </w:r>
    </w:p>
    <w:p w14:paraId="0CE8692C" w14:textId="11632114" w:rsidR="00580383" w:rsidRPr="002859AD" w:rsidRDefault="002859AD" w:rsidP="00580383">
      <w:pPr>
        <w:rPr>
          <w:rFonts w:ascii="Times New Roman" w:hAnsi="Times New Roman" w:cs="Times New Roman"/>
          <w:b/>
          <w:bCs/>
          <w:sz w:val="24"/>
          <w:szCs w:val="24"/>
          <w:u w:val="single"/>
        </w:rPr>
      </w:pPr>
      <w:r w:rsidRPr="002859AD">
        <w:rPr>
          <w:rFonts w:ascii="Times New Roman" w:hAnsi="Times New Roman" w:cs="Times New Roman"/>
          <w:b/>
          <w:bCs/>
          <w:sz w:val="24"/>
          <w:szCs w:val="24"/>
          <w:u w:val="single"/>
        </w:rPr>
        <w:t>THE LAW AND THE FACTS</w:t>
      </w:r>
      <w:r w:rsidR="00580383" w:rsidRPr="002859AD">
        <w:rPr>
          <w:rFonts w:ascii="Times New Roman" w:hAnsi="Times New Roman" w:cs="Times New Roman"/>
          <w:b/>
          <w:bCs/>
          <w:sz w:val="24"/>
          <w:szCs w:val="24"/>
          <w:u w:val="single"/>
        </w:rPr>
        <w:t xml:space="preserve"> </w:t>
      </w:r>
    </w:p>
    <w:p w14:paraId="24E3394C" w14:textId="28DD383B" w:rsidR="00B939A0" w:rsidRPr="00197BC3" w:rsidRDefault="00580383" w:rsidP="00A03784">
      <w:pPr>
        <w:rPr>
          <w:rFonts w:ascii="Times New Roman" w:hAnsi="Times New Roman" w:cs="Times New Roman"/>
          <w:sz w:val="24"/>
          <w:szCs w:val="24"/>
        </w:rPr>
      </w:pPr>
      <w:r>
        <w:rPr>
          <w:rFonts w:ascii="Times New Roman" w:hAnsi="Times New Roman" w:cs="Times New Roman"/>
          <w:sz w:val="24"/>
          <w:szCs w:val="24"/>
        </w:rPr>
        <w:t>[</w:t>
      </w:r>
      <w:r w:rsidR="00B173B5">
        <w:rPr>
          <w:rFonts w:ascii="Times New Roman" w:hAnsi="Times New Roman" w:cs="Times New Roman"/>
          <w:sz w:val="24"/>
          <w:szCs w:val="24"/>
        </w:rPr>
        <w:t>10</w:t>
      </w:r>
      <w:r>
        <w:rPr>
          <w:rFonts w:ascii="Times New Roman" w:hAnsi="Times New Roman" w:cs="Times New Roman"/>
          <w:sz w:val="24"/>
          <w:szCs w:val="24"/>
        </w:rPr>
        <w:t>]</w:t>
      </w:r>
      <w:r w:rsidR="00F20D38">
        <w:rPr>
          <w:rFonts w:ascii="Times New Roman" w:hAnsi="Times New Roman" w:cs="Times New Roman"/>
          <w:sz w:val="24"/>
          <w:szCs w:val="24"/>
        </w:rPr>
        <w:tab/>
      </w:r>
      <w:r>
        <w:rPr>
          <w:rFonts w:ascii="Times New Roman" w:hAnsi="Times New Roman" w:cs="Times New Roman"/>
          <w:sz w:val="24"/>
          <w:szCs w:val="24"/>
        </w:rPr>
        <w:t xml:space="preserve"> </w:t>
      </w:r>
      <w:r w:rsidR="00B939A0" w:rsidRPr="00B939A0">
        <w:rPr>
          <w:rFonts w:ascii="Times New Roman" w:eastAsia="Times New Roman" w:hAnsi="Times New Roman" w:cs="Times New Roman"/>
          <w:color w:val="202020"/>
          <w:sz w:val="24"/>
          <w:szCs w:val="24"/>
          <w:lang w:eastAsia="en-ZW"/>
        </w:rPr>
        <w:t>In terms of s15 of the Prescription Act, [</w:t>
      </w:r>
      <w:r w:rsidR="00B939A0" w:rsidRPr="003A341D">
        <w:rPr>
          <w:rFonts w:ascii="Times New Roman" w:eastAsia="Times New Roman" w:hAnsi="Times New Roman" w:cs="Times New Roman"/>
          <w:color w:val="202020"/>
          <w:sz w:val="24"/>
          <w:szCs w:val="24"/>
          <w:lang w:eastAsia="en-ZW"/>
        </w:rPr>
        <w:t>C</w:t>
      </w:r>
      <w:r w:rsidR="003A341D">
        <w:rPr>
          <w:rFonts w:ascii="Times New Roman" w:eastAsia="Times New Roman" w:hAnsi="Times New Roman" w:cs="Times New Roman"/>
          <w:color w:val="202020"/>
          <w:sz w:val="24"/>
          <w:szCs w:val="24"/>
          <w:lang w:eastAsia="en-ZW"/>
        </w:rPr>
        <w:t>hapter</w:t>
      </w:r>
      <w:r w:rsidR="00B939A0" w:rsidRPr="003A341D">
        <w:rPr>
          <w:rFonts w:ascii="Times New Roman" w:eastAsia="Times New Roman" w:hAnsi="Times New Roman" w:cs="Times New Roman"/>
          <w:color w:val="202020"/>
          <w:sz w:val="24"/>
          <w:szCs w:val="24"/>
          <w:lang w:eastAsia="en-ZW"/>
        </w:rPr>
        <w:t xml:space="preserve"> 8: 11</w:t>
      </w:r>
      <w:r w:rsidR="00B939A0" w:rsidRPr="00B939A0">
        <w:rPr>
          <w:rFonts w:ascii="Times New Roman" w:eastAsia="Times New Roman" w:hAnsi="Times New Roman" w:cs="Times New Roman"/>
          <w:color w:val="202020"/>
          <w:sz w:val="24"/>
          <w:szCs w:val="24"/>
          <w:lang w:eastAsia="en-ZW"/>
        </w:rPr>
        <w:t>]</w:t>
      </w:r>
      <w:r w:rsidR="002859AD">
        <w:rPr>
          <w:rFonts w:ascii="Times New Roman" w:eastAsia="Times New Roman" w:hAnsi="Times New Roman" w:cs="Times New Roman"/>
          <w:color w:val="202020"/>
          <w:sz w:val="24"/>
          <w:szCs w:val="24"/>
          <w:lang w:eastAsia="en-ZW"/>
        </w:rPr>
        <w:t xml:space="preserve"> (“Act”)</w:t>
      </w:r>
      <w:r w:rsidR="00B939A0" w:rsidRPr="00B939A0">
        <w:rPr>
          <w:rFonts w:ascii="Times New Roman" w:eastAsia="Times New Roman" w:hAnsi="Times New Roman" w:cs="Times New Roman"/>
          <w:color w:val="202020"/>
          <w:sz w:val="24"/>
          <w:szCs w:val="24"/>
          <w:lang w:eastAsia="en-ZW"/>
        </w:rPr>
        <w:t xml:space="preserve">, a debt other than one secured by a mortgage bond, or a judgment debt, or a tax debt under an enactment or one owed to the </w:t>
      </w:r>
      <w:r w:rsidR="002859AD">
        <w:rPr>
          <w:rFonts w:ascii="Times New Roman" w:eastAsia="Times New Roman" w:hAnsi="Times New Roman" w:cs="Times New Roman"/>
          <w:color w:val="202020"/>
          <w:sz w:val="24"/>
          <w:szCs w:val="24"/>
          <w:lang w:eastAsia="en-ZW"/>
        </w:rPr>
        <w:t>S</w:t>
      </w:r>
      <w:r w:rsidR="00B939A0" w:rsidRPr="00B939A0">
        <w:rPr>
          <w:rFonts w:ascii="Times New Roman" w:eastAsia="Times New Roman" w:hAnsi="Times New Roman" w:cs="Times New Roman"/>
          <w:color w:val="202020"/>
          <w:sz w:val="24"/>
          <w:szCs w:val="24"/>
          <w:lang w:eastAsia="en-ZW"/>
        </w:rPr>
        <w:t>tate in the circumstances prescribed by that section, or a debt arising from a bill of exchange, becomes prescribed after the lapse of a period of three years.</w:t>
      </w:r>
      <w:r w:rsidR="00B939A0">
        <w:rPr>
          <w:rFonts w:ascii="Times New Roman" w:hAnsi="Times New Roman" w:cs="Times New Roman"/>
          <w:sz w:val="24"/>
          <w:szCs w:val="24"/>
        </w:rPr>
        <w:t xml:space="preserve"> </w:t>
      </w:r>
      <w:r w:rsidR="00B939A0" w:rsidRPr="00B939A0">
        <w:rPr>
          <w:rFonts w:ascii="Times New Roman" w:eastAsia="Times New Roman" w:hAnsi="Times New Roman" w:cs="Times New Roman"/>
          <w:color w:val="202020"/>
          <w:sz w:val="24"/>
          <w:szCs w:val="24"/>
          <w:lang w:eastAsia="en-ZW"/>
        </w:rPr>
        <w:t xml:space="preserve">In terms of s16 </w:t>
      </w:r>
      <w:r w:rsidR="002859AD">
        <w:rPr>
          <w:rFonts w:ascii="Times New Roman" w:eastAsia="Times New Roman" w:hAnsi="Times New Roman" w:cs="Times New Roman"/>
          <w:color w:val="202020"/>
          <w:sz w:val="24"/>
          <w:szCs w:val="24"/>
          <w:lang w:eastAsia="en-ZW"/>
        </w:rPr>
        <w:t xml:space="preserve">of the </w:t>
      </w:r>
      <w:r w:rsidR="00B939A0" w:rsidRPr="00B939A0">
        <w:rPr>
          <w:rFonts w:ascii="Times New Roman" w:eastAsia="Times New Roman" w:hAnsi="Times New Roman" w:cs="Times New Roman"/>
          <w:color w:val="202020"/>
          <w:sz w:val="24"/>
          <w:szCs w:val="24"/>
          <w:lang w:eastAsia="en-ZW"/>
        </w:rPr>
        <w:t>Act, prescription begins to run as soon as the debt is due.</w:t>
      </w:r>
      <w:r w:rsidR="00B939A0">
        <w:rPr>
          <w:rFonts w:ascii="Times New Roman" w:eastAsia="Times New Roman" w:hAnsi="Times New Roman" w:cs="Times New Roman"/>
          <w:color w:val="202020"/>
          <w:sz w:val="24"/>
          <w:szCs w:val="24"/>
          <w:lang w:eastAsia="en-ZW"/>
        </w:rPr>
        <w:t xml:space="preserve"> </w:t>
      </w:r>
      <w:r w:rsidR="00B939A0" w:rsidRPr="00197BC3">
        <w:rPr>
          <w:rFonts w:ascii="Times New Roman" w:eastAsia="Times New Roman" w:hAnsi="Times New Roman" w:cs="Times New Roman"/>
          <w:color w:val="202020"/>
          <w:sz w:val="24"/>
          <w:szCs w:val="24"/>
          <w:lang w:eastAsia="en-ZW"/>
        </w:rPr>
        <w:t xml:space="preserve">The term “debt” is defined in s 2 to include anything which may be sued for or claimed by reason of an obligation arising from statute, contract, delict or otherwise. Therefore, in </w:t>
      </w:r>
      <w:r w:rsidR="00B939A0" w:rsidRPr="008E7859">
        <w:rPr>
          <w:rFonts w:ascii="Times New Roman" w:eastAsia="Times New Roman" w:hAnsi="Times New Roman" w:cs="Times New Roman"/>
          <w:i/>
          <w:iCs/>
          <w:color w:val="202020"/>
          <w:sz w:val="24"/>
          <w:szCs w:val="24"/>
          <w:lang w:eastAsia="en-ZW"/>
        </w:rPr>
        <w:t>casu</w:t>
      </w:r>
      <w:r w:rsidR="00B939A0" w:rsidRPr="00197BC3">
        <w:rPr>
          <w:rFonts w:ascii="Times New Roman" w:eastAsia="Times New Roman" w:hAnsi="Times New Roman" w:cs="Times New Roman"/>
          <w:color w:val="202020"/>
          <w:sz w:val="24"/>
          <w:szCs w:val="24"/>
          <w:lang w:eastAsia="en-ZW"/>
        </w:rPr>
        <w:t xml:space="preserve"> the seeking of </w:t>
      </w:r>
      <w:r w:rsidR="00197BC3" w:rsidRPr="00197BC3">
        <w:rPr>
          <w:rFonts w:ascii="Times New Roman" w:eastAsia="Times New Roman" w:hAnsi="Times New Roman" w:cs="Times New Roman"/>
          <w:color w:val="202020"/>
          <w:sz w:val="24"/>
          <w:szCs w:val="24"/>
          <w:lang w:eastAsia="en-ZW"/>
        </w:rPr>
        <w:t>transfers or damages</w:t>
      </w:r>
      <w:r w:rsidR="00B939A0" w:rsidRPr="00197BC3">
        <w:rPr>
          <w:rFonts w:ascii="Times New Roman" w:eastAsia="Times New Roman" w:hAnsi="Times New Roman" w:cs="Times New Roman"/>
          <w:color w:val="202020"/>
          <w:sz w:val="24"/>
          <w:szCs w:val="24"/>
          <w:lang w:eastAsia="en-ZW"/>
        </w:rPr>
        <w:t xml:space="preserve"> </w:t>
      </w:r>
      <w:r w:rsidR="00CD4073">
        <w:rPr>
          <w:rFonts w:ascii="Times New Roman" w:eastAsia="Times New Roman" w:hAnsi="Times New Roman" w:cs="Times New Roman"/>
          <w:color w:val="202020"/>
          <w:sz w:val="24"/>
          <w:szCs w:val="24"/>
          <w:lang w:eastAsia="en-ZW"/>
        </w:rPr>
        <w:t>constitutes a debt as envisaged in s 2 of the Act.</w:t>
      </w:r>
      <w:r w:rsidR="00B939A0" w:rsidRPr="00197BC3">
        <w:rPr>
          <w:rFonts w:ascii="Times New Roman" w:eastAsia="Times New Roman" w:hAnsi="Times New Roman" w:cs="Times New Roman"/>
          <w:color w:val="202020"/>
          <w:sz w:val="24"/>
          <w:szCs w:val="24"/>
          <w:lang w:eastAsia="en-ZW"/>
        </w:rPr>
        <w:t xml:space="preserve"> </w:t>
      </w:r>
      <w:r w:rsidR="00197BC3" w:rsidRPr="00197BC3">
        <w:rPr>
          <w:rFonts w:ascii="Times New Roman" w:eastAsia="Times New Roman" w:hAnsi="Times New Roman" w:cs="Times New Roman"/>
          <w:color w:val="202020"/>
          <w:sz w:val="24"/>
          <w:szCs w:val="24"/>
          <w:lang w:eastAsia="en-ZW"/>
        </w:rPr>
        <w:t xml:space="preserve">In the circumstances, </w:t>
      </w:r>
      <w:r w:rsidR="00197BC3" w:rsidRPr="00197BC3">
        <w:rPr>
          <w:rFonts w:ascii="Times New Roman" w:hAnsi="Times New Roman" w:cs="Times New Roman"/>
          <w:sz w:val="24"/>
          <w:szCs w:val="24"/>
        </w:rPr>
        <w:t>t</w:t>
      </w:r>
      <w:r w:rsidRPr="00197BC3">
        <w:rPr>
          <w:rFonts w:ascii="Times New Roman" w:hAnsi="Times New Roman" w:cs="Times New Roman"/>
          <w:sz w:val="24"/>
          <w:szCs w:val="24"/>
        </w:rPr>
        <w:t>he ordinary period of prescription</w:t>
      </w:r>
      <w:r w:rsidR="00197BC3" w:rsidRPr="00197BC3">
        <w:rPr>
          <w:rFonts w:ascii="Times New Roman" w:hAnsi="Times New Roman" w:cs="Times New Roman"/>
          <w:sz w:val="24"/>
          <w:szCs w:val="24"/>
        </w:rPr>
        <w:t xml:space="preserve"> of three years</w:t>
      </w:r>
      <w:r w:rsidRPr="00197BC3">
        <w:rPr>
          <w:rFonts w:ascii="Times New Roman" w:hAnsi="Times New Roman" w:cs="Times New Roman"/>
          <w:sz w:val="24"/>
          <w:szCs w:val="24"/>
        </w:rPr>
        <w:t xml:space="preserve"> prescribed</w:t>
      </w:r>
      <w:r w:rsidR="00197BC3" w:rsidRPr="00197BC3">
        <w:rPr>
          <w:rFonts w:ascii="Times New Roman" w:hAnsi="Times New Roman" w:cs="Times New Roman"/>
          <w:sz w:val="24"/>
          <w:szCs w:val="24"/>
        </w:rPr>
        <w:t xml:space="preserve"> in</w:t>
      </w:r>
      <w:r w:rsidRPr="00197BC3">
        <w:rPr>
          <w:rFonts w:ascii="Times New Roman" w:hAnsi="Times New Roman" w:cs="Times New Roman"/>
          <w:sz w:val="24"/>
          <w:szCs w:val="24"/>
        </w:rPr>
        <w:t xml:space="preserve"> 15(d) </w:t>
      </w:r>
      <w:r w:rsidR="00197BC3" w:rsidRPr="00197BC3">
        <w:rPr>
          <w:rFonts w:ascii="Times New Roman" w:hAnsi="Times New Roman" w:cs="Times New Roman"/>
          <w:sz w:val="24"/>
          <w:szCs w:val="24"/>
        </w:rPr>
        <w:t>applies</w:t>
      </w:r>
      <w:r w:rsidRPr="00197BC3">
        <w:rPr>
          <w:rFonts w:ascii="Times New Roman" w:hAnsi="Times New Roman" w:cs="Times New Roman"/>
          <w:sz w:val="24"/>
          <w:szCs w:val="24"/>
        </w:rPr>
        <w:t>.</w:t>
      </w:r>
    </w:p>
    <w:p w14:paraId="6493DD92" w14:textId="49C2FA36" w:rsidR="00580383" w:rsidRDefault="00197BC3" w:rsidP="00A03784">
      <w:pPr>
        <w:rPr>
          <w:rFonts w:ascii="Times New Roman" w:hAnsi="Times New Roman" w:cs="Times New Roman"/>
          <w:sz w:val="24"/>
          <w:szCs w:val="24"/>
        </w:rPr>
      </w:pPr>
      <w:r>
        <w:rPr>
          <w:rFonts w:ascii="Times New Roman" w:hAnsi="Times New Roman" w:cs="Times New Roman"/>
          <w:sz w:val="24"/>
          <w:szCs w:val="24"/>
        </w:rPr>
        <w:t>[</w:t>
      </w:r>
      <w:r w:rsidR="0054400C">
        <w:rPr>
          <w:rFonts w:ascii="Times New Roman" w:hAnsi="Times New Roman" w:cs="Times New Roman"/>
          <w:sz w:val="24"/>
          <w:szCs w:val="24"/>
        </w:rPr>
        <w:t>1</w:t>
      </w:r>
      <w:r w:rsidR="00B173B5">
        <w:rPr>
          <w:rFonts w:ascii="Times New Roman" w:hAnsi="Times New Roman" w:cs="Times New Roman"/>
          <w:sz w:val="24"/>
          <w:szCs w:val="24"/>
        </w:rPr>
        <w:t>1</w:t>
      </w:r>
      <w:r>
        <w:rPr>
          <w:rFonts w:ascii="Times New Roman" w:hAnsi="Times New Roman" w:cs="Times New Roman"/>
          <w:sz w:val="24"/>
          <w:szCs w:val="24"/>
        </w:rPr>
        <w:t>]</w:t>
      </w:r>
      <w:r w:rsidR="00F20D38">
        <w:rPr>
          <w:rFonts w:ascii="Times New Roman" w:hAnsi="Times New Roman" w:cs="Times New Roman"/>
          <w:sz w:val="24"/>
          <w:szCs w:val="24"/>
        </w:rPr>
        <w:tab/>
      </w:r>
      <w:r>
        <w:rPr>
          <w:rFonts w:ascii="Times New Roman" w:hAnsi="Times New Roman" w:cs="Times New Roman"/>
          <w:sz w:val="24"/>
          <w:szCs w:val="24"/>
        </w:rPr>
        <w:t xml:space="preserve"> </w:t>
      </w:r>
      <w:r w:rsidR="00580383" w:rsidRPr="00580383">
        <w:rPr>
          <w:rFonts w:ascii="Times New Roman" w:hAnsi="Times New Roman" w:cs="Times New Roman"/>
          <w:sz w:val="24"/>
          <w:szCs w:val="24"/>
        </w:rPr>
        <w:t>It is</w:t>
      </w:r>
      <w:r w:rsidR="00580383">
        <w:rPr>
          <w:rFonts w:ascii="Times New Roman" w:hAnsi="Times New Roman" w:cs="Times New Roman"/>
          <w:sz w:val="24"/>
          <w:szCs w:val="24"/>
        </w:rPr>
        <w:t xml:space="preserve"> trite that the burden of proof is on the defendant to show that the claims have prescribed according to the requirements of the law, </w:t>
      </w:r>
      <w:r w:rsidR="00580383" w:rsidRPr="00CD3417">
        <w:rPr>
          <w:rFonts w:ascii="Times New Roman" w:hAnsi="Times New Roman" w:cs="Times New Roman"/>
          <w:sz w:val="24"/>
          <w:szCs w:val="24"/>
        </w:rPr>
        <w:t>but if the plaintiff alleges that prescription was interrupted or waived, the</w:t>
      </w:r>
      <w:r w:rsidR="00580383">
        <w:rPr>
          <w:rFonts w:ascii="Times New Roman" w:hAnsi="Times New Roman" w:cs="Times New Roman"/>
          <w:sz w:val="24"/>
          <w:szCs w:val="24"/>
        </w:rPr>
        <w:t xml:space="preserve"> burden of proof </w:t>
      </w:r>
      <w:r w:rsidR="00580383" w:rsidRPr="00CD3417">
        <w:rPr>
          <w:rFonts w:ascii="Times New Roman" w:hAnsi="Times New Roman" w:cs="Times New Roman"/>
          <w:sz w:val="24"/>
          <w:szCs w:val="24"/>
        </w:rPr>
        <w:t xml:space="preserve">would be on the plaintiff to show that it was so </w:t>
      </w:r>
      <w:r w:rsidR="00580383" w:rsidRPr="00CD3417">
        <w:rPr>
          <w:rFonts w:ascii="Times New Roman" w:hAnsi="Times New Roman" w:cs="Times New Roman"/>
          <w:sz w:val="24"/>
          <w:szCs w:val="24"/>
        </w:rPr>
        <w:lastRenderedPageBreak/>
        <w:t xml:space="preserve">interrupted or waived. </w:t>
      </w:r>
      <w:r w:rsidR="00580383">
        <w:rPr>
          <w:rFonts w:ascii="Times New Roman" w:hAnsi="Times New Roman" w:cs="Times New Roman"/>
          <w:sz w:val="24"/>
          <w:szCs w:val="24"/>
        </w:rPr>
        <w:t>See</w:t>
      </w:r>
      <w:r w:rsidR="00580383" w:rsidRPr="00CD3417">
        <w:rPr>
          <w:rFonts w:ascii="Times New Roman" w:hAnsi="Times New Roman" w:cs="Times New Roman"/>
          <w:sz w:val="24"/>
          <w:szCs w:val="24"/>
        </w:rPr>
        <w:t xml:space="preserve"> </w:t>
      </w:r>
      <w:r w:rsidR="00580383" w:rsidRPr="00CD3417">
        <w:rPr>
          <w:rFonts w:ascii="Times New Roman" w:hAnsi="Times New Roman" w:cs="Times New Roman"/>
          <w:i/>
          <w:sz w:val="24"/>
          <w:szCs w:val="24"/>
        </w:rPr>
        <w:t>Cassim v Kadir</w:t>
      </w:r>
      <w:r w:rsidR="00580383" w:rsidRPr="00CD3417">
        <w:rPr>
          <w:rFonts w:ascii="Times New Roman" w:hAnsi="Times New Roman" w:cs="Times New Roman"/>
          <w:sz w:val="24"/>
          <w:szCs w:val="24"/>
        </w:rPr>
        <w:t xml:space="preserve"> 1962(2) 473 (NPD), at 475H-C</w:t>
      </w:r>
      <w:r w:rsidR="00580383">
        <w:rPr>
          <w:rFonts w:ascii="Times New Roman" w:hAnsi="Times New Roman" w:cs="Times New Roman"/>
          <w:sz w:val="24"/>
          <w:szCs w:val="24"/>
        </w:rPr>
        <w:t xml:space="preserve">; </w:t>
      </w:r>
      <w:r w:rsidR="00580383">
        <w:rPr>
          <w:rFonts w:ascii="Times New Roman" w:hAnsi="Times New Roman" w:cs="Times New Roman"/>
          <w:i/>
          <w:sz w:val="24"/>
          <w:szCs w:val="24"/>
        </w:rPr>
        <w:t xml:space="preserve">Pillay v Krishma </w:t>
      </w:r>
      <w:r w:rsidR="00580383">
        <w:rPr>
          <w:rFonts w:ascii="Times New Roman" w:hAnsi="Times New Roman" w:cs="Times New Roman"/>
          <w:sz w:val="24"/>
          <w:szCs w:val="24"/>
        </w:rPr>
        <w:t xml:space="preserve">1946 AD 946 @ 952-3. To discharge the burden of proof a litigant must adduce evidence before court. </w:t>
      </w:r>
      <w:r w:rsidR="0050263D">
        <w:rPr>
          <w:rFonts w:ascii="Times New Roman" w:hAnsi="Times New Roman" w:cs="Times New Roman"/>
          <w:sz w:val="24"/>
          <w:szCs w:val="24"/>
        </w:rPr>
        <w:t xml:space="preserve">In </w:t>
      </w:r>
      <w:r w:rsidR="00580383" w:rsidRPr="006764FF">
        <w:rPr>
          <w:rFonts w:ascii="Times New Roman" w:hAnsi="Times New Roman" w:cs="Times New Roman"/>
          <w:i/>
          <w:iCs/>
          <w:sz w:val="24"/>
          <w:szCs w:val="24"/>
        </w:rPr>
        <w:t xml:space="preserve">Van Brooker v Mudhanda &amp; Another AND Pierce v Mudhanda &amp; Another </w:t>
      </w:r>
      <w:r w:rsidR="00580383">
        <w:rPr>
          <w:rFonts w:ascii="Times New Roman" w:hAnsi="Times New Roman" w:cs="Times New Roman"/>
          <w:sz w:val="24"/>
          <w:szCs w:val="24"/>
        </w:rPr>
        <w:t>SC 5 / 2018</w:t>
      </w:r>
      <w:r w:rsidR="0050263D">
        <w:rPr>
          <w:rFonts w:ascii="Times New Roman" w:hAnsi="Times New Roman" w:cs="Times New Roman"/>
          <w:sz w:val="24"/>
          <w:szCs w:val="24"/>
        </w:rPr>
        <w:t xml:space="preserve"> the court stated thus: </w:t>
      </w:r>
    </w:p>
    <w:p w14:paraId="246F5A39" w14:textId="7DA410D8" w:rsidR="0050263D" w:rsidRPr="00F20D38" w:rsidRDefault="0050263D" w:rsidP="0050263D">
      <w:pPr>
        <w:spacing w:line="276" w:lineRule="auto"/>
        <w:ind w:left="720"/>
        <w:rPr>
          <w:rFonts w:ascii="Times New Roman" w:hAnsi="Times New Roman" w:cs="Times New Roman"/>
        </w:rPr>
      </w:pPr>
      <w:r w:rsidRPr="00F20D38">
        <w:rPr>
          <w:rFonts w:ascii="Times New Roman" w:hAnsi="Times New Roman" w:cs="Times New Roman"/>
        </w:rPr>
        <w:t xml:space="preserve">“It can therefore be accepted as settled that evidence is necessary when disposing of a matter in which a special plea of prescription is raised. The rationale behind this is that where a party raises a special plea as a defence, new facts arise and because of the introduction of fresh facts which did not appear in the declaration, there is need for a court to hear the evidence of the parties where facts are disputed before making a ruling on the plea.” </w:t>
      </w:r>
    </w:p>
    <w:p w14:paraId="0B2BA541" w14:textId="77777777" w:rsidR="0050263D" w:rsidRPr="00580383" w:rsidRDefault="0050263D" w:rsidP="0050263D">
      <w:pPr>
        <w:spacing w:line="276" w:lineRule="auto"/>
      </w:pPr>
    </w:p>
    <w:p w14:paraId="79C9A185" w14:textId="3012A679" w:rsidR="00445285" w:rsidRDefault="00580383" w:rsidP="00580383">
      <w:pPr>
        <w:rPr>
          <w:rFonts w:ascii="Times New Roman" w:hAnsi="Times New Roman" w:cs="Times New Roman"/>
          <w:sz w:val="24"/>
          <w:szCs w:val="24"/>
        </w:rPr>
      </w:pPr>
      <w:r w:rsidRPr="00580383">
        <w:rPr>
          <w:rFonts w:ascii="Times New Roman" w:hAnsi="Times New Roman" w:cs="Times New Roman"/>
          <w:sz w:val="24"/>
          <w:szCs w:val="24"/>
        </w:rPr>
        <w:t>[</w:t>
      </w:r>
      <w:r w:rsidR="00B9237C">
        <w:rPr>
          <w:rFonts w:ascii="Times New Roman" w:hAnsi="Times New Roman" w:cs="Times New Roman"/>
          <w:sz w:val="24"/>
          <w:szCs w:val="24"/>
        </w:rPr>
        <w:t>1</w:t>
      </w:r>
      <w:r w:rsidR="00B173B5">
        <w:rPr>
          <w:rFonts w:ascii="Times New Roman" w:hAnsi="Times New Roman" w:cs="Times New Roman"/>
          <w:sz w:val="24"/>
          <w:szCs w:val="24"/>
        </w:rPr>
        <w:t>2</w:t>
      </w:r>
      <w:r w:rsidRPr="00580383">
        <w:rPr>
          <w:rFonts w:ascii="Times New Roman" w:hAnsi="Times New Roman" w:cs="Times New Roman"/>
          <w:sz w:val="24"/>
          <w:szCs w:val="24"/>
        </w:rPr>
        <w:t>]</w:t>
      </w:r>
      <w:r w:rsidR="00893C90">
        <w:rPr>
          <w:rFonts w:ascii="Times New Roman" w:hAnsi="Times New Roman" w:cs="Times New Roman"/>
          <w:sz w:val="24"/>
          <w:szCs w:val="24"/>
        </w:rPr>
        <w:tab/>
      </w:r>
      <w:r w:rsidRPr="00580383">
        <w:rPr>
          <w:rFonts w:ascii="Times New Roman" w:hAnsi="Times New Roman" w:cs="Times New Roman"/>
          <w:sz w:val="24"/>
          <w:szCs w:val="24"/>
        </w:rPr>
        <w:t xml:space="preserve"> </w:t>
      </w:r>
      <w:r w:rsidR="00197BC3">
        <w:rPr>
          <w:rFonts w:ascii="Times New Roman" w:hAnsi="Times New Roman" w:cs="Times New Roman"/>
          <w:sz w:val="24"/>
          <w:szCs w:val="24"/>
        </w:rPr>
        <w:t xml:space="preserve">The </w:t>
      </w:r>
      <w:r w:rsidR="003A341D">
        <w:rPr>
          <w:rFonts w:ascii="Times New Roman" w:hAnsi="Times New Roman" w:cs="Times New Roman"/>
          <w:sz w:val="24"/>
          <w:szCs w:val="24"/>
        </w:rPr>
        <w:t>‘</w:t>
      </w:r>
      <w:r w:rsidR="00197BC3">
        <w:rPr>
          <w:rFonts w:ascii="Times New Roman" w:hAnsi="Times New Roman" w:cs="Times New Roman"/>
          <w:sz w:val="24"/>
          <w:szCs w:val="24"/>
        </w:rPr>
        <w:t>debt</w:t>
      </w:r>
      <w:r w:rsidR="003A341D">
        <w:rPr>
          <w:rFonts w:ascii="Times New Roman" w:hAnsi="Times New Roman" w:cs="Times New Roman"/>
          <w:sz w:val="24"/>
          <w:szCs w:val="24"/>
        </w:rPr>
        <w:t>’</w:t>
      </w:r>
      <w:r w:rsidR="00197BC3">
        <w:rPr>
          <w:rFonts w:ascii="Times New Roman" w:hAnsi="Times New Roman" w:cs="Times New Roman"/>
          <w:sz w:val="24"/>
          <w:szCs w:val="24"/>
        </w:rPr>
        <w:t xml:space="preserve"> is this matter would be due when the cause of action arose. In is important therefore to look closely as to when the cause of </w:t>
      </w:r>
      <w:r w:rsidRPr="00580383">
        <w:rPr>
          <w:rFonts w:ascii="Times New Roman" w:hAnsi="Times New Roman" w:cs="Times New Roman"/>
          <w:sz w:val="24"/>
          <w:szCs w:val="24"/>
        </w:rPr>
        <w:t>action arose</w:t>
      </w:r>
      <w:r w:rsidR="00896423">
        <w:rPr>
          <w:rFonts w:ascii="Times New Roman" w:hAnsi="Times New Roman" w:cs="Times New Roman"/>
          <w:sz w:val="24"/>
          <w:szCs w:val="24"/>
        </w:rPr>
        <w:t>, and i</w:t>
      </w:r>
      <w:r w:rsidR="00445285">
        <w:rPr>
          <w:rFonts w:ascii="Times New Roman" w:hAnsi="Times New Roman" w:cs="Times New Roman"/>
          <w:sz w:val="24"/>
          <w:szCs w:val="24"/>
        </w:rPr>
        <w:t>mplicit in this issue is the question as to what is the plaintiff</w:t>
      </w:r>
      <w:r w:rsidR="00896423">
        <w:rPr>
          <w:rFonts w:ascii="Times New Roman" w:hAnsi="Times New Roman" w:cs="Times New Roman"/>
          <w:sz w:val="24"/>
          <w:szCs w:val="24"/>
        </w:rPr>
        <w:t>s’</w:t>
      </w:r>
      <w:r w:rsidR="00445285">
        <w:rPr>
          <w:rFonts w:ascii="Times New Roman" w:hAnsi="Times New Roman" w:cs="Times New Roman"/>
          <w:sz w:val="24"/>
          <w:szCs w:val="24"/>
        </w:rPr>
        <w:t xml:space="preserve"> cause of action. </w:t>
      </w:r>
      <w:r w:rsidR="0074130C" w:rsidRPr="00580383">
        <w:rPr>
          <w:rFonts w:ascii="Times New Roman" w:hAnsi="Times New Roman" w:cs="Times New Roman"/>
          <w:sz w:val="24"/>
          <w:szCs w:val="24"/>
        </w:rPr>
        <w:t xml:space="preserve">In </w:t>
      </w:r>
      <w:r w:rsidR="0074130C" w:rsidRPr="00580383">
        <w:rPr>
          <w:rFonts w:ascii="Times New Roman" w:hAnsi="Times New Roman" w:cs="Times New Roman"/>
          <w:i/>
          <w:iCs/>
          <w:sz w:val="24"/>
          <w:szCs w:val="24"/>
        </w:rPr>
        <w:t xml:space="preserve">Silonda v Nkomo </w:t>
      </w:r>
      <w:r w:rsidR="0074130C" w:rsidRPr="00580383">
        <w:rPr>
          <w:rFonts w:ascii="Times New Roman" w:hAnsi="Times New Roman" w:cs="Times New Roman"/>
          <w:sz w:val="24"/>
          <w:szCs w:val="24"/>
        </w:rPr>
        <w:t xml:space="preserve">SC 6/22 the court stated that </w:t>
      </w:r>
      <w:r w:rsidR="0074130C">
        <w:rPr>
          <w:rFonts w:ascii="Times New Roman" w:hAnsi="Times New Roman" w:cs="Times New Roman"/>
          <w:sz w:val="24"/>
          <w:szCs w:val="24"/>
        </w:rPr>
        <w:t>t</w:t>
      </w:r>
      <w:r w:rsidR="0074130C" w:rsidRPr="00580383">
        <w:rPr>
          <w:rFonts w:ascii="Times New Roman" w:hAnsi="Times New Roman" w:cs="Times New Roman"/>
          <w:sz w:val="24"/>
          <w:szCs w:val="24"/>
        </w:rPr>
        <w:t xml:space="preserve">he law on what constitutes a cause of action is settled. A cause of action is simply a factual conspectus, the existence of which entitles one person to obtain from the court a remedy against another person. In other words, it is an entire set of facts upon which the relief sought stands. </w:t>
      </w:r>
      <w:r w:rsidR="00445285">
        <w:rPr>
          <w:rFonts w:ascii="Times New Roman" w:hAnsi="Times New Roman" w:cs="Times New Roman"/>
          <w:sz w:val="24"/>
          <w:szCs w:val="24"/>
        </w:rPr>
        <w:t xml:space="preserve">In </w:t>
      </w:r>
      <w:r w:rsidR="00445285" w:rsidRPr="00580383">
        <w:rPr>
          <w:rFonts w:ascii="Times New Roman" w:hAnsi="Times New Roman" w:cs="Times New Roman"/>
          <w:i/>
          <w:iCs/>
          <w:sz w:val="24"/>
          <w:szCs w:val="24"/>
        </w:rPr>
        <w:t xml:space="preserve">Abrahamse &amp; Sons v SA Railways and Harbours </w:t>
      </w:r>
      <w:r w:rsidR="00445285" w:rsidRPr="00580383">
        <w:rPr>
          <w:rFonts w:ascii="Times New Roman" w:hAnsi="Times New Roman" w:cs="Times New Roman"/>
          <w:sz w:val="24"/>
          <w:szCs w:val="24"/>
        </w:rPr>
        <w:t>1933 CPD 626</w:t>
      </w:r>
      <w:r w:rsidR="00445285">
        <w:rPr>
          <w:rFonts w:ascii="Times New Roman" w:hAnsi="Times New Roman" w:cs="Times New Roman"/>
          <w:sz w:val="24"/>
          <w:szCs w:val="24"/>
        </w:rPr>
        <w:t>, the court stated at 637 that:</w:t>
      </w:r>
    </w:p>
    <w:p w14:paraId="4CC284BC" w14:textId="4C639B52" w:rsidR="00445285" w:rsidRPr="00893C90" w:rsidRDefault="00445285" w:rsidP="0074130C">
      <w:pPr>
        <w:spacing w:line="276" w:lineRule="auto"/>
        <w:ind w:left="720"/>
        <w:rPr>
          <w:rFonts w:ascii="Times New Roman" w:hAnsi="Times New Roman" w:cs="Times New Roman"/>
        </w:rPr>
      </w:pPr>
      <w:r>
        <w:rPr>
          <w:rFonts w:ascii="Times New Roman" w:hAnsi="Times New Roman" w:cs="Times New Roman"/>
          <w:sz w:val="24"/>
          <w:szCs w:val="24"/>
        </w:rPr>
        <w:t>“</w:t>
      </w:r>
      <w:r w:rsidRPr="00893C90">
        <w:rPr>
          <w:rFonts w:ascii="Times New Roman" w:hAnsi="Times New Roman" w:cs="Times New Roman"/>
        </w:rPr>
        <w:t xml:space="preserve">The proper legal meaning of the expression ‘cause of action’ is the entire set of facts which gives rise to an enforceable claim and includes every fact which is material to be proved to entitle a plaintiff to succeed in his claim. In includes all that a plaintiff must set out in his declaration in order to disclose a cause of action. Such cause of action does not ‘arise’ or ‘accrue’ until the occurrence of the last of such facts and consequently the last of such facts is something loosely spoken </w:t>
      </w:r>
      <w:r w:rsidR="0074130C" w:rsidRPr="00893C90">
        <w:rPr>
          <w:rFonts w:ascii="Times New Roman" w:hAnsi="Times New Roman" w:cs="Times New Roman"/>
        </w:rPr>
        <w:t>of as the cause of action.”</w:t>
      </w:r>
    </w:p>
    <w:p w14:paraId="7280CBAE" w14:textId="77777777" w:rsidR="00445285" w:rsidRDefault="00445285" w:rsidP="0074130C">
      <w:pPr>
        <w:spacing w:line="276" w:lineRule="auto"/>
        <w:rPr>
          <w:rFonts w:ascii="Times New Roman" w:hAnsi="Times New Roman" w:cs="Times New Roman"/>
          <w:sz w:val="24"/>
          <w:szCs w:val="24"/>
        </w:rPr>
      </w:pPr>
    </w:p>
    <w:p w14:paraId="423AA3CD" w14:textId="162734CA" w:rsidR="0074130C" w:rsidRDefault="00580383" w:rsidP="00580383">
      <w:pPr>
        <w:rPr>
          <w:rFonts w:ascii="Times New Roman" w:hAnsi="Times New Roman" w:cs="Times New Roman"/>
          <w:sz w:val="24"/>
          <w:szCs w:val="24"/>
        </w:rPr>
      </w:pPr>
      <w:r w:rsidRPr="00580383">
        <w:rPr>
          <w:rFonts w:ascii="Times New Roman" w:hAnsi="Times New Roman" w:cs="Times New Roman"/>
          <w:sz w:val="24"/>
          <w:szCs w:val="24"/>
        </w:rPr>
        <w:t xml:space="preserve">See </w:t>
      </w:r>
      <w:r w:rsidR="0074130C" w:rsidRPr="0074130C">
        <w:rPr>
          <w:rFonts w:ascii="Times New Roman" w:hAnsi="Times New Roman" w:cs="Times New Roman"/>
          <w:i/>
          <w:iCs/>
          <w:sz w:val="24"/>
          <w:szCs w:val="24"/>
        </w:rPr>
        <w:t>Matipano v Gold Driven Investments (Pvt) Ltd</w:t>
      </w:r>
      <w:r w:rsidR="0074130C">
        <w:rPr>
          <w:rFonts w:ascii="Times New Roman" w:hAnsi="Times New Roman" w:cs="Times New Roman"/>
          <w:sz w:val="24"/>
          <w:szCs w:val="24"/>
        </w:rPr>
        <w:t xml:space="preserve"> 2014 (1) 344 (S); </w:t>
      </w:r>
      <w:r w:rsidRPr="00580383">
        <w:rPr>
          <w:rFonts w:ascii="Times New Roman" w:hAnsi="Times New Roman" w:cs="Times New Roman"/>
          <w:i/>
          <w:iCs/>
          <w:sz w:val="24"/>
          <w:szCs w:val="24"/>
        </w:rPr>
        <w:t xml:space="preserve">Peebles v Dairiboard (Private) Limited </w:t>
      </w:r>
      <w:r w:rsidRPr="00580383">
        <w:rPr>
          <w:rFonts w:ascii="Times New Roman" w:hAnsi="Times New Roman" w:cs="Times New Roman"/>
          <w:sz w:val="24"/>
          <w:szCs w:val="24"/>
        </w:rPr>
        <w:t>1999 (1) ZLR 41 (H) at 54E-F</w:t>
      </w:r>
      <w:r w:rsidR="0074130C">
        <w:rPr>
          <w:rFonts w:ascii="Times New Roman" w:hAnsi="Times New Roman" w:cs="Times New Roman"/>
          <w:sz w:val="24"/>
          <w:szCs w:val="24"/>
        </w:rPr>
        <w:t>;</w:t>
      </w:r>
      <w:r w:rsidR="0074130C" w:rsidRPr="0074130C">
        <w:rPr>
          <w:rFonts w:ascii="Times New Roman" w:hAnsi="Times New Roman" w:cs="Times New Roman"/>
          <w:i/>
          <w:iCs/>
          <w:sz w:val="24"/>
          <w:szCs w:val="24"/>
        </w:rPr>
        <w:t xml:space="preserve"> Nkala v Nkala &amp; Anor</w:t>
      </w:r>
      <w:r w:rsidR="0074130C">
        <w:rPr>
          <w:rFonts w:ascii="Times New Roman" w:hAnsi="Times New Roman" w:cs="Times New Roman"/>
          <w:sz w:val="24"/>
          <w:szCs w:val="24"/>
        </w:rPr>
        <w:t xml:space="preserve"> 2020 (1) ZLR 1224 (H). </w:t>
      </w:r>
    </w:p>
    <w:p w14:paraId="07726702" w14:textId="4FB85C0A" w:rsidR="00580383" w:rsidRDefault="0074130C" w:rsidP="00580383">
      <w:pPr>
        <w:rPr>
          <w:rFonts w:ascii="Times New Roman" w:hAnsi="Times New Roman" w:cs="Times New Roman"/>
          <w:sz w:val="24"/>
          <w:szCs w:val="24"/>
        </w:rPr>
      </w:pPr>
      <w:r>
        <w:rPr>
          <w:rFonts w:ascii="Times New Roman" w:hAnsi="Times New Roman" w:cs="Times New Roman"/>
          <w:sz w:val="24"/>
          <w:szCs w:val="24"/>
        </w:rPr>
        <w:t>[1</w:t>
      </w:r>
      <w:r w:rsidR="00B173B5">
        <w:rPr>
          <w:rFonts w:ascii="Times New Roman" w:hAnsi="Times New Roman" w:cs="Times New Roman"/>
          <w:sz w:val="24"/>
          <w:szCs w:val="24"/>
        </w:rPr>
        <w:t>3</w:t>
      </w:r>
      <w:r>
        <w:rPr>
          <w:rFonts w:ascii="Times New Roman" w:hAnsi="Times New Roman" w:cs="Times New Roman"/>
          <w:sz w:val="24"/>
          <w:szCs w:val="24"/>
        </w:rPr>
        <w:t>]</w:t>
      </w:r>
      <w:r w:rsidR="00893C90">
        <w:rPr>
          <w:rFonts w:ascii="Times New Roman" w:hAnsi="Times New Roman" w:cs="Times New Roman"/>
          <w:sz w:val="24"/>
          <w:szCs w:val="24"/>
        </w:rPr>
        <w:tab/>
      </w:r>
      <w:r>
        <w:rPr>
          <w:rFonts w:ascii="Times New Roman" w:hAnsi="Times New Roman" w:cs="Times New Roman"/>
          <w:sz w:val="24"/>
          <w:szCs w:val="24"/>
        </w:rPr>
        <w:t xml:space="preserve"> </w:t>
      </w:r>
      <w:r w:rsidR="00580383" w:rsidRPr="00580383">
        <w:rPr>
          <w:rFonts w:ascii="Times New Roman" w:hAnsi="Times New Roman" w:cs="Times New Roman"/>
          <w:sz w:val="24"/>
          <w:szCs w:val="24"/>
        </w:rPr>
        <w:t xml:space="preserve">In the context of this dispute, </w:t>
      </w:r>
      <w:r w:rsidR="00580383">
        <w:rPr>
          <w:rFonts w:ascii="Times New Roman" w:hAnsi="Times New Roman" w:cs="Times New Roman"/>
          <w:sz w:val="24"/>
          <w:szCs w:val="24"/>
        </w:rPr>
        <w:t>the cause of action</w:t>
      </w:r>
      <w:r w:rsidR="00580383" w:rsidRPr="00580383">
        <w:rPr>
          <w:rFonts w:ascii="Times New Roman" w:hAnsi="Times New Roman" w:cs="Times New Roman"/>
          <w:sz w:val="24"/>
          <w:szCs w:val="24"/>
        </w:rPr>
        <w:t xml:space="preserve"> would constitute </w:t>
      </w:r>
      <w:r w:rsidR="00896423">
        <w:rPr>
          <w:rFonts w:ascii="Times New Roman" w:hAnsi="Times New Roman" w:cs="Times New Roman"/>
          <w:sz w:val="24"/>
          <w:szCs w:val="24"/>
        </w:rPr>
        <w:t>‘</w:t>
      </w:r>
      <w:r w:rsidR="00580383" w:rsidRPr="00580383">
        <w:rPr>
          <w:rFonts w:ascii="Times New Roman" w:hAnsi="Times New Roman" w:cs="Times New Roman"/>
          <w:sz w:val="24"/>
          <w:szCs w:val="24"/>
        </w:rPr>
        <w:t>the right to have</w:t>
      </w:r>
      <w:r w:rsidR="009A5A27">
        <w:rPr>
          <w:rFonts w:ascii="Times New Roman" w:hAnsi="Times New Roman" w:cs="Times New Roman"/>
          <w:sz w:val="24"/>
          <w:szCs w:val="24"/>
        </w:rPr>
        <w:t xml:space="preserve"> the </w:t>
      </w:r>
      <w:r w:rsidR="00537816">
        <w:rPr>
          <w:rFonts w:ascii="Times New Roman" w:hAnsi="Times New Roman" w:cs="Times New Roman"/>
          <w:sz w:val="24"/>
          <w:szCs w:val="24"/>
        </w:rPr>
        <w:t>stands</w:t>
      </w:r>
      <w:r w:rsidR="00896423">
        <w:rPr>
          <w:rFonts w:ascii="Times New Roman" w:hAnsi="Times New Roman" w:cs="Times New Roman"/>
          <w:sz w:val="24"/>
          <w:szCs w:val="24"/>
        </w:rPr>
        <w:t xml:space="preserve"> </w:t>
      </w:r>
      <w:r w:rsidR="00580383" w:rsidRPr="00580383">
        <w:rPr>
          <w:rFonts w:ascii="Times New Roman" w:hAnsi="Times New Roman" w:cs="Times New Roman"/>
          <w:sz w:val="24"/>
          <w:szCs w:val="24"/>
        </w:rPr>
        <w:t>transfer</w:t>
      </w:r>
      <w:r w:rsidR="00896423">
        <w:rPr>
          <w:rFonts w:ascii="Times New Roman" w:hAnsi="Times New Roman" w:cs="Times New Roman"/>
          <w:sz w:val="24"/>
          <w:szCs w:val="24"/>
        </w:rPr>
        <w:t>red’</w:t>
      </w:r>
      <w:r w:rsidR="00580383" w:rsidRPr="00580383">
        <w:rPr>
          <w:rFonts w:ascii="Times New Roman" w:hAnsi="Times New Roman" w:cs="Times New Roman"/>
          <w:sz w:val="24"/>
          <w:szCs w:val="24"/>
        </w:rPr>
        <w:t xml:space="preserve"> into the </w:t>
      </w:r>
      <w:r w:rsidR="00580383">
        <w:rPr>
          <w:rFonts w:ascii="Times New Roman" w:hAnsi="Times New Roman" w:cs="Times New Roman"/>
          <w:sz w:val="24"/>
          <w:szCs w:val="24"/>
        </w:rPr>
        <w:t>plaintiffs’</w:t>
      </w:r>
      <w:r w:rsidR="00580383" w:rsidRPr="00580383">
        <w:rPr>
          <w:rFonts w:ascii="Times New Roman" w:hAnsi="Times New Roman" w:cs="Times New Roman"/>
          <w:sz w:val="24"/>
          <w:szCs w:val="24"/>
        </w:rPr>
        <w:t xml:space="preserve"> name</w:t>
      </w:r>
      <w:r w:rsidR="00580383">
        <w:rPr>
          <w:rFonts w:ascii="Times New Roman" w:hAnsi="Times New Roman" w:cs="Times New Roman"/>
          <w:sz w:val="24"/>
          <w:szCs w:val="24"/>
        </w:rPr>
        <w:t>s</w:t>
      </w:r>
      <w:r w:rsidR="00580383" w:rsidRPr="00580383">
        <w:rPr>
          <w:rFonts w:ascii="Times New Roman" w:hAnsi="Times New Roman" w:cs="Times New Roman"/>
          <w:sz w:val="24"/>
          <w:szCs w:val="24"/>
        </w:rPr>
        <w:t xml:space="preserve">. </w:t>
      </w:r>
      <w:r w:rsidR="009A5A27">
        <w:rPr>
          <w:rFonts w:ascii="Times New Roman" w:hAnsi="Times New Roman" w:cs="Times New Roman"/>
          <w:sz w:val="24"/>
          <w:szCs w:val="24"/>
        </w:rPr>
        <w:t xml:space="preserve">In other </w:t>
      </w:r>
      <w:r w:rsidR="00537816">
        <w:rPr>
          <w:rFonts w:ascii="Times New Roman" w:hAnsi="Times New Roman" w:cs="Times New Roman"/>
          <w:sz w:val="24"/>
          <w:szCs w:val="24"/>
        </w:rPr>
        <w:t>words,</w:t>
      </w:r>
      <w:r w:rsidR="009A5A27">
        <w:rPr>
          <w:rFonts w:ascii="Times New Roman" w:hAnsi="Times New Roman" w:cs="Times New Roman"/>
          <w:sz w:val="24"/>
          <w:szCs w:val="24"/>
        </w:rPr>
        <w:t xml:space="preserve"> the running of prescription </w:t>
      </w:r>
      <w:r w:rsidR="00896423">
        <w:rPr>
          <w:rFonts w:ascii="Times New Roman" w:hAnsi="Times New Roman" w:cs="Times New Roman"/>
          <w:sz w:val="24"/>
          <w:szCs w:val="24"/>
        </w:rPr>
        <w:t>would be triggered ‘</w:t>
      </w:r>
      <w:r w:rsidR="009A5A27">
        <w:rPr>
          <w:rFonts w:ascii="Times New Roman" w:hAnsi="Times New Roman" w:cs="Times New Roman"/>
          <w:sz w:val="24"/>
          <w:szCs w:val="24"/>
        </w:rPr>
        <w:t>a</w:t>
      </w:r>
      <w:r w:rsidR="003A341D">
        <w:rPr>
          <w:rFonts w:ascii="Times New Roman" w:hAnsi="Times New Roman" w:cs="Times New Roman"/>
          <w:sz w:val="24"/>
          <w:szCs w:val="24"/>
        </w:rPr>
        <w:t>t the</w:t>
      </w:r>
      <w:r w:rsidR="009A5A27">
        <w:rPr>
          <w:rFonts w:ascii="Times New Roman" w:hAnsi="Times New Roman" w:cs="Times New Roman"/>
          <w:sz w:val="24"/>
          <w:szCs w:val="24"/>
        </w:rPr>
        <w:t xml:space="preserve"> </w:t>
      </w:r>
      <w:r w:rsidR="00537816">
        <w:rPr>
          <w:rFonts w:ascii="Times New Roman" w:hAnsi="Times New Roman" w:cs="Times New Roman"/>
          <w:sz w:val="24"/>
          <w:szCs w:val="24"/>
        </w:rPr>
        <w:t>time</w:t>
      </w:r>
      <w:r w:rsidR="009A5A27">
        <w:rPr>
          <w:rFonts w:ascii="Times New Roman" w:hAnsi="Times New Roman" w:cs="Times New Roman"/>
          <w:sz w:val="24"/>
          <w:szCs w:val="24"/>
        </w:rPr>
        <w:t xml:space="preserve"> the plaintiffs could </w:t>
      </w:r>
      <w:r w:rsidR="008E7859">
        <w:rPr>
          <w:rFonts w:ascii="Times New Roman" w:hAnsi="Times New Roman" w:cs="Times New Roman"/>
          <w:sz w:val="24"/>
          <w:szCs w:val="24"/>
        </w:rPr>
        <w:t xml:space="preserve">lawfully </w:t>
      </w:r>
      <w:r w:rsidR="009A5A27">
        <w:rPr>
          <w:rFonts w:ascii="Times New Roman" w:hAnsi="Times New Roman" w:cs="Times New Roman"/>
          <w:sz w:val="24"/>
          <w:szCs w:val="24"/>
        </w:rPr>
        <w:t>seek transfer</w:t>
      </w:r>
      <w:r w:rsidR="00537816">
        <w:rPr>
          <w:rFonts w:ascii="Times New Roman" w:hAnsi="Times New Roman" w:cs="Times New Roman"/>
          <w:sz w:val="24"/>
          <w:szCs w:val="24"/>
        </w:rPr>
        <w:t xml:space="preserve">’ </w:t>
      </w:r>
      <w:r w:rsidR="009A5A27">
        <w:rPr>
          <w:rFonts w:ascii="Times New Roman" w:hAnsi="Times New Roman" w:cs="Times New Roman"/>
          <w:sz w:val="24"/>
          <w:szCs w:val="24"/>
        </w:rPr>
        <w:t xml:space="preserve">of the stands into their names. </w:t>
      </w:r>
      <w:r w:rsidR="008E7859">
        <w:rPr>
          <w:rFonts w:ascii="Times New Roman" w:hAnsi="Times New Roman" w:cs="Times New Roman"/>
          <w:sz w:val="24"/>
          <w:szCs w:val="24"/>
        </w:rPr>
        <w:t xml:space="preserve">In the reading of s 16 of the Act, that is when the </w:t>
      </w:r>
      <w:r w:rsidR="00D06307">
        <w:rPr>
          <w:rFonts w:ascii="Times New Roman" w:hAnsi="Times New Roman" w:cs="Times New Roman"/>
          <w:sz w:val="24"/>
          <w:szCs w:val="24"/>
        </w:rPr>
        <w:t>‘</w:t>
      </w:r>
      <w:r w:rsidR="008E7859">
        <w:rPr>
          <w:rFonts w:ascii="Times New Roman" w:hAnsi="Times New Roman" w:cs="Times New Roman"/>
          <w:sz w:val="24"/>
          <w:szCs w:val="24"/>
        </w:rPr>
        <w:t>debt</w:t>
      </w:r>
      <w:r w:rsidR="00D06307">
        <w:rPr>
          <w:rFonts w:ascii="Times New Roman" w:hAnsi="Times New Roman" w:cs="Times New Roman"/>
          <w:sz w:val="24"/>
          <w:szCs w:val="24"/>
        </w:rPr>
        <w:t>’</w:t>
      </w:r>
      <w:r w:rsidR="008E7859">
        <w:rPr>
          <w:rFonts w:ascii="Times New Roman" w:hAnsi="Times New Roman" w:cs="Times New Roman"/>
          <w:sz w:val="24"/>
          <w:szCs w:val="24"/>
        </w:rPr>
        <w:t xml:space="preserve"> </w:t>
      </w:r>
      <w:r w:rsidR="003A341D">
        <w:rPr>
          <w:rFonts w:ascii="Times New Roman" w:hAnsi="Times New Roman" w:cs="Times New Roman"/>
          <w:sz w:val="24"/>
          <w:szCs w:val="24"/>
        </w:rPr>
        <w:t xml:space="preserve">would </w:t>
      </w:r>
      <w:r w:rsidR="00D06307">
        <w:rPr>
          <w:rFonts w:ascii="Times New Roman" w:hAnsi="Times New Roman" w:cs="Times New Roman"/>
          <w:sz w:val="24"/>
          <w:szCs w:val="24"/>
        </w:rPr>
        <w:t xml:space="preserve">have </w:t>
      </w:r>
      <w:r w:rsidR="003A341D">
        <w:rPr>
          <w:rFonts w:ascii="Times New Roman" w:hAnsi="Times New Roman" w:cs="Times New Roman"/>
          <w:sz w:val="24"/>
          <w:szCs w:val="24"/>
        </w:rPr>
        <w:t>become</w:t>
      </w:r>
      <w:r w:rsidR="008E7859">
        <w:rPr>
          <w:rFonts w:ascii="Times New Roman" w:hAnsi="Times New Roman" w:cs="Times New Roman"/>
          <w:sz w:val="24"/>
          <w:szCs w:val="24"/>
        </w:rPr>
        <w:t xml:space="preserve"> due. </w:t>
      </w:r>
    </w:p>
    <w:p w14:paraId="6CF31F84" w14:textId="6EAFBA74" w:rsidR="00580383" w:rsidRDefault="00580383" w:rsidP="00580383">
      <w:pPr>
        <w:rPr>
          <w:rFonts w:ascii="Times New Roman" w:hAnsi="Times New Roman" w:cs="Times New Roman"/>
          <w:sz w:val="24"/>
          <w:szCs w:val="24"/>
        </w:rPr>
      </w:pPr>
      <w:r>
        <w:rPr>
          <w:rFonts w:ascii="Times New Roman" w:hAnsi="Times New Roman" w:cs="Times New Roman"/>
          <w:sz w:val="24"/>
          <w:szCs w:val="24"/>
        </w:rPr>
        <w:t>[</w:t>
      </w:r>
      <w:r w:rsidR="00B173B5">
        <w:rPr>
          <w:rFonts w:ascii="Times New Roman" w:hAnsi="Times New Roman" w:cs="Times New Roman"/>
          <w:sz w:val="24"/>
          <w:szCs w:val="24"/>
        </w:rPr>
        <w:t>14</w:t>
      </w:r>
      <w:r>
        <w:rPr>
          <w:rFonts w:ascii="Times New Roman" w:hAnsi="Times New Roman" w:cs="Times New Roman"/>
          <w:sz w:val="24"/>
          <w:szCs w:val="24"/>
        </w:rPr>
        <w:t>]</w:t>
      </w:r>
      <w:r w:rsidR="00893C90">
        <w:rPr>
          <w:rFonts w:ascii="Times New Roman" w:hAnsi="Times New Roman" w:cs="Times New Roman"/>
          <w:sz w:val="24"/>
          <w:szCs w:val="24"/>
        </w:rPr>
        <w:tab/>
      </w:r>
      <w:r>
        <w:rPr>
          <w:rFonts w:ascii="Times New Roman" w:hAnsi="Times New Roman" w:cs="Times New Roman"/>
          <w:sz w:val="24"/>
          <w:szCs w:val="24"/>
        </w:rPr>
        <w:t xml:space="preserve"> In determining the point </w:t>
      </w:r>
      <w:r w:rsidR="0050263D">
        <w:rPr>
          <w:rFonts w:ascii="Times New Roman" w:hAnsi="Times New Roman" w:cs="Times New Roman"/>
          <w:sz w:val="24"/>
          <w:szCs w:val="24"/>
        </w:rPr>
        <w:t xml:space="preserve">as to </w:t>
      </w:r>
      <w:r>
        <w:rPr>
          <w:rFonts w:ascii="Times New Roman" w:hAnsi="Times New Roman" w:cs="Times New Roman"/>
          <w:sz w:val="24"/>
          <w:szCs w:val="24"/>
        </w:rPr>
        <w:t xml:space="preserve">when the cause of action arose, </w:t>
      </w:r>
      <w:r w:rsidR="00D06307">
        <w:rPr>
          <w:rFonts w:ascii="Times New Roman" w:hAnsi="Times New Roman" w:cs="Times New Roman"/>
          <w:sz w:val="24"/>
          <w:szCs w:val="24"/>
        </w:rPr>
        <w:t xml:space="preserve">in other words when the ‘debt’ became due </w:t>
      </w:r>
      <w:r>
        <w:rPr>
          <w:rFonts w:ascii="Times New Roman" w:hAnsi="Times New Roman" w:cs="Times New Roman"/>
          <w:sz w:val="24"/>
          <w:szCs w:val="24"/>
        </w:rPr>
        <w:t xml:space="preserve">the point </w:t>
      </w:r>
      <w:r w:rsidR="000C487F">
        <w:rPr>
          <w:rFonts w:ascii="Times New Roman" w:hAnsi="Times New Roman" w:cs="Times New Roman"/>
          <w:sz w:val="24"/>
          <w:szCs w:val="24"/>
        </w:rPr>
        <w:t xml:space="preserve">of departure </w:t>
      </w:r>
      <w:r>
        <w:rPr>
          <w:rFonts w:ascii="Times New Roman" w:hAnsi="Times New Roman" w:cs="Times New Roman"/>
          <w:sz w:val="24"/>
          <w:szCs w:val="24"/>
        </w:rPr>
        <w:t xml:space="preserve">is </w:t>
      </w:r>
      <w:r w:rsidR="002E70FA">
        <w:rPr>
          <w:rFonts w:ascii="Times New Roman" w:hAnsi="Times New Roman" w:cs="Times New Roman"/>
          <w:sz w:val="24"/>
          <w:szCs w:val="24"/>
        </w:rPr>
        <w:t>Paragraph</w:t>
      </w:r>
      <w:r>
        <w:rPr>
          <w:rFonts w:ascii="Times New Roman" w:hAnsi="Times New Roman" w:cs="Times New Roman"/>
          <w:sz w:val="24"/>
          <w:szCs w:val="24"/>
        </w:rPr>
        <w:t xml:space="preserve"> 5.1. of the Agreements. It states thus: </w:t>
      </w:r>
    </w:p>
    <w:p w14:paraId="6B9221D2" w14:textId="5328EB9A" w:rsidR="00580383" w:rsidRPr="00893C90" w:rsidRDefault="00580383" w:rsidP="00580383">
      <w:pPr>
        <w:spacing w:line="276" w:lineRule="auto"/>
        <w:ind w:left="720"/>
        <w:rPr>
          <w:rFonts w:ascii="Times New Roman" w:hAnsi="Times New Roman" w:cs="Times New Roman"/>
        </w:rPr>
      </w:pPr>
      <w:r w:rsidRPr="00893C90">
        <w:rPr>
          <w:rFonts w:ascii="Times New Roman" w:hAnsi="Times New Roman" w:cs="Times New Roman"/>
        </w:rPr>
        <w:t>“The seller will not be required to tender transfer of the stand to the purchaser until all payments have been received from the purchaser in respect of the purchase price and the City of Harare as (</w:t>
      </w:r>
      <w:r w:rsidRPr="00893C90">
        <w:rPr>
          <w:rFonts w:ascii="Times New Roman" w:hAnsi="Times New Roman" w:cs="Times New Roman"/>
          <w:i/>
          <w:iCs/>
        </w:rPr>
        <w:t>sic</w:t>
      </w:r>
      <w:r w:rsidRPr="00893C90">
        <w:rPr>
          <w:rFonts w:ascii="Times New Roman" w:hAnsi="Times New Roman" w:cs="Times New Roman"/>
        </w:rPr>
        <w:t xml:space="preserve">) issued all the certificates referred to in paragraph 6a below.” </w:t>
      </w:r>
    </w:p>
    <w:p w14:paraId="44A3EB80" w14:textId="4AE67338" w:rsidR="00580383" w:rsidRPr="00893C90" w:rsidRDefault="00580383" w:rsidP="00580383">
      <w:pPr>
        <w:spacing w:line="276" w:lineRule="auto"/>
        <w:rPr>
          <w:rFonts w:ascii="Times New Roman" w:hAnsi="Times New Roman" w:cs="Times New Roman"/>
        </w:rPr>
      </w:pPr>
    </w:p>
    <w:p w14:paraId="5AEB86F6" w14:textId="18A55F11" w:rsidR="00580383" w:rsidRPr="00893C90" w:rsidRDefault="00580383" w:rsidP="00A03784">
      <w:pPr>
        <w:rPr>
          <w:rFonts w:ascii="Times New Roman" w:hAnsi="Times New Roman" w:cs="Times New Roman"/>
        </w:rPr>
      </w:pPr>
      <w:r w:rsidRPr="00893C90">
        <w:rPr>
          <w:rFonts w:ascii="Times New Roman" w:hAnsi="Times New Roman" w:cs="Times New Roman"/>
        </w:rPr>
        <w:t xml:space="preserve">[1] Paragraph 6a of the Agreement says: </w:t>
      </w:r>
    </w:p>
    <w:p w14:paraId="1367B64D" w14:textId="1DF8888D" w:rsidR="00580383" w:rsidRPr="00893C90" w:rsidRDefault="00580383" w:rsidP="00580383">
      <w:pPr>
        <w:spacing w:line="276" w:lineRule="auto"/>
        <w:ind w:left="720"/>
        <w:rPr>
          <w:rFonts w:ascii="Times New Roman" w:hAnsi="Times New Roman" w:cs="Times New Roman"/>
        </w:rPr>
      </w:pPr>
      <w:r w:rsidRPr="00893C90">
        <w:rPr>
          <w:rFonts w:ascii="Times New Roman" w:hAnsi="Times New Roman" w:cs="Times New Roman"/>
        </w:rPr>
        <w:t xml:space="preserve">“The seller hereby agrees and undertakes to service the stand to the satisfaction of the Director of Works of the City of Harare, in terms of the Town Planning Permit and to obtain a Certificate of Compliance from the City Engineer and a Dispensation Certificate from the Surveyor General prior to tendering transfer. </w:t>
      </w:r>
    </w:p>
    <w:p w14:paraId="79A522FD" w14:textId="6A559E93" w:rsidR="00580383" w:rsidRPr="00893C90" w:rsidRDefault="00580383" w:rsidP="00580383">
      <w:pPr>
        <w:spacing w:line="276" w:lineRule="auto"/>
        <w:ind w:left="720"/>
        <w:rPr>
          <w:rFonts w:ascii="Times New Roman" w:hAnsi="Times New Roman" w:cs="Times New Roman"/>
        </w:rPr>
      </w:pPr>
      <w:r w:rsidRPr="00893C90">
        <w:rPr>
          <w:rFonts w:ascii="Times New Roman" w:hAnsi="Times New Roman" w:cs="Times New Roman"/>
        </w:rPr>
        <w:t>However, should any damage to the roads or other services be caused by the purchaser or his agents, contractors or employees in the course of the purchaser developing the stand, making improvements, erecting buildings or otherwise, then the cost of repairing or making good any such damage to such roads or other services shall be for the account of the purchaser for as long as the seller is responsible for such services to the City of Harare.”</w:t>
      </w:r>
    </w:p>
    <w:p w14:paraId="3EC6A4FB" w14:textId="77777777" w:rsidR="00580383" w:rsidRDefault="00580383" w:rsidP="00A03784">
      <w:pPr>
        <w:rPr>
          <w:rFonts w:ascii="Times New Roman" w:hAnsi="Times New Roman" w:cs="Times New Roman"/>
          <w:sz w:val="24"/>
          <w:szCs w:val="24"/>
        </w:rPr>
      </w:pPr>
    </w:p>
    <w:p w14:paraId="118C5FBA" w14:textId="52FDDBDF" w:rsidR="00580383" w:rsidRDefault="00580383" w:rsidP="00A03784">
      <w:pPr>
        <w:rPr>
          <w:rFonts w:ascii="Times New Roman" w:hAnsi="Times New Roman" w:cs="Times New Roman"/>
          <w:sz w:val="24"/>
          <w:szCs w:val="24"/>
        </w:rPr>
      </w:pPr>
      <w:r>
        <w:rPr>
          <w:rFonts w:ascii="Times New Roman" w:hAnsi="Times New Roman" w:cs="Times New Roman"/>
          <w:sz w:val="24"/>
          <w:szCs w:val="24"/>
        </w:rPr>
        <w:t>[1</w:t>
      </w:r>
      <w:r w:rsidR="00B173B5">
        <w:rPr>
          <w:rFonts w:ascii="Times New Roman" w:hAnsi="Times New Roman" w:cs="Times New Roman"/>
          <w:sz w:val="24"/>
          <w:szCs w:val="24"/>
        </w:rPr>
        <w:t>5</w:t>
      </w:r>
      <w:r>
        <w:rPr>
          <w:rFonts w:ascii="Times New Roman" w:hAnsi="Times New Roman" w:cs="Times New Roman"/>
          <w:sz w:val="24"/>
          <w:szCs w:val="24"/>
        </w:rPr>
        <w:t>]</w:t>
      </w:r>
      <w:r w:rsidR="00893C90">
        <w:rPr>
          <w:rFonts w:ascii="Times New Roman" w:hAnsi="Times New Roman" w:cs="Times New Roman"/>
          <w:sz w:val="24"/>
          <w:szCs w:val="24"/>
        </w:rPr>
        <w:tab/>
      </w:r>
      <w:r>
        <w:rPr>
          <w:rFonts w:ascii="Times New Roman" w:hAnsi="Times New Roman" w:cs="Times New Roman"/>
          <w:sz w:val="24"/>
          <w:szCs w:val="24"/>
        </w:rPr>
        <w:t xml:space="preserve"> The conditions precedent to transfer are stated in clear and unambiguous language in </w:t>
      </w:r>
      <w:r w:rsidR="0098050C">
        <w:rPr>
          <w:rFonts w:ascii="Times New Roman" w:hAnsi="Times New Roman" w:cs="Times New Roman"/>
          <w:sz w:val="24"/>
          <w:szCs w:val="24"/>
        </w:rPr>
        <w:t>Paragraph</w:t>
      </w:r>
      <w:r>
        <w:rPr>
          <w:rFonts w:ascii="Times New Roman" w:hAnsi="Times New Roman" w:cs="Times New Roman"/>
          <w:sz w:val="24"/>
          <w:szCs w:val="24"/>
        </w:rPr>
        <w:t xml:space="preserve"> 5.1 of the Agreement. </w:t>
      </w:r>
      <w:r w:rsidR="000C487F">
        <w:rPr>
          <w:rFonts w:ascii="Times New Roman" w:hAnsi="Times New Roman" w:cs="Times New Roman"/>
          <w:sz w:val="24"/>
          <w:szCs w:val="24"/>
        </w:rPr>
        <w:t>The f</w:t>
      </w:r>
      <w:r>
        <w:rPr>
          <w:rFonts w:ascii="Times New Roman" w:hAnsi="Times New Roman" w:cs="Times New Roman"/>
          <w:sz w:val="24"/>
          <w:szCs w:val="24"/>
        </w:rPr>
        <w:t>irst</w:t>
      </w:r>
      <w:r w:rsidR="000C487F">
        <w:rPr>
          <w:rFonts w:ascii="Times New Roman" w:hAnsi="Times New Roman" w:cs="Times New Roman"/>
          <w:sz w:val="24"/>
          <w:szCs w:val="24"/>
        </w:rPr>
        <w:t xml:space="preserve"> is that the</w:t>
      </w:r>
      <w:r>
        <w:rPr>
          <w:rFonts w:ascii="Times New Roman" w:hAnsi="Times New Roman" w:cs="Times New Roman"/>
          <w:sz w:val="24"/>
          <w:szCs w:val="24"/>
        </w:rPr>
        <w:t xml:space="preserve"> purchase price must be paid in full, and </w:t>
      </w:r>
      <w:r w:rsidR="000C487F">
        <w:rPr>
          <w:rFonts w:ascii="Times New Roman" w:hAnsi="Times New Roman" w:cs="Times New Roman"/>
          <w:sz w:val="24"/>
          <w:szCs w:val="24"/>
        </w:rPr>
        <w:t xml:space="preserve">the </w:t>
      </w:r>
      <w:r>
        <w:rPr>
          <w:rFonts w:ascii="Times New Roman" w:hAnsi="Times New Roman" w:cs="Times New Roman"/>
          <w:sz w:val="24"/>
          <w:szCs w:val="24"/>
        </w:rPr>
        <w:t xml:space="preserve">second </w:t>
      </w:r>
      <w:r w:rsidR="0050263D">
        <w:rPr>
          <w:rFonts w:ascii="Times New Roman" w:hAnsi="Times New Roman" w:cs="Times New Roman"/>
          <w:sz w:val="24"/>
          <w:szCs w:val="24"/>
        </w:rPr>
        <w:t xml:space="preserve">is that </w:t>
      </w:r>
      <w:r>
        <w:rPr>
          <w:rFonts w:ascii="Times New Roman" w:hAnsi="Times New Roman" w:cs="Times New Roman"/>
          <w:sz w:val="24"/>
          <w:szCs w:val="24"/>
        </w:rPr>
        <w:t xml:space="preserve">the seller must </w:t>
      </w:r>
      <w:r w:rsidR="00E0473C">
        <w:rPr>
          <w:rFonts w:ascii="Times New Roman" w:hAnsi="Times New Roman" w:cs="Times New Roman"/>
          <w:sz w:val="24"/>
          <w:szCs w:val="24"/>
        </w:rPr>
        <w:t xml:space="preserve">have </w:t>
      </w:r>
      <w:r>
        <w:rPr>
          <w:rFonts w:ascii="Times New Roman" w:hAnsi="Times New Roman" w:cs="Times New Roman"/>
          <w:sz w:val="24"/>
          <w:szCs w:val="24"/>
        </w:rPr>
        <w:t>service</w:t>
      </w:r>
      <w:r w:rsidR="00E0473C">
        <w:rPr>
          <w:rFonts w:ascii="Times New Roman" w:hAnsi="Times New Roman" w:cs="Times New Roman"/>
          <w:sz w:val="24"/>
          <w:szCs w:val="24"/>
        </w:rPr>
        <w:t>d</w:t>
      </w:r>
      <w:r>
        <w:rPr>
          <w:rFonts w:ascii="Times New Roman" w:hAnsi="Times New Roman" w:cs="Times New Roman"/>
          <w:sz w:val="24"/>
          <w:szCs w:val="24"/>
        </w:rPr>
        <w:t xml:space="preserve"> the stands to the satisfaction of the Director of </w:t>
      </w:r>
      <w:r w:rsidR="00D06307">
        <w:rPr>
          <w:rFonts w:ascii="Times New Roman" w:hAnsi="Times New Roman" w:cs="Times New Roman"/>
          <w:sz w:val="24"/>
          <w:szCs w:val="24"/>
        </w:rPr>
        <w:t>W</w:t>
      </w:r>
      <w:r>
        <w:rPr>
          <w:rFonts w:ascii="Times New Roman" w:hAnsi="Times New Roman" w:cs="Times New Roman"/>
          <w:sz w:val="24"/>
          <w:szCs w:val="24"/>
        </w:rPr>
        <w:t xml:space="preserve">orks of the City of Harare, and the seller must have </w:t>
      </w:r>
      <w:r w:rsidR="00E0473C">
        <w:rPr>
          <w:rFonts w:ascii="Times New Roman" w:hAnsi="Times New Roman" w:cs="Times New Roman"/>
          <w:sz w:val="24"/>
          <w:szCs w:val="24"/>
        </w:rPr>
        <w:t>obtained</w:t>
      </w:r>
      <w:r>
        <w:rPr>
          <w:rFonts w:ascii="Times New Roman" w:hAnsi="Times New Roman" w:cs="Times New Roman"/>
          <w:sz w:val="24"/>
          <w:szCs w:val="24"/>
        </w:rPr>
        <w:t xml:space="preserve"> all the certificates referred to in </w:t>
      </w:r>
      <w:r w:rsidR="0098050C">
        <w:rPr>
          <w:rFonts w:ascii="Times New Roman" w:hAnsi="Times New Roman" w:cs="Times New Roman"/>
          <w:sz w:val="24"/>
          <w:szCs w:val="24"/>
        </w:rPr>
        <w:t>P</w:t>
      </w:r>
      <w:r>
        <w:rPr>
          <w:rFonts w:ascii="Times New Roman" w:hAnsi="Times New Roman" w:cs="Times New Roman"/>
          <w:sz w:val="24"/>
          <w:szCs w:val="24"/>
        </w:rPr>
        <w:t xml:space="preserve">aragraph 6a. The certificates referred in </w:t>
      </w:r>
      <w:r w:rsidR="0098050C">
        <w:rPr>
          <w:rFonts w:ascii="Times New Roman" w:hAnsi="Times New Roman" w:cs="Times New Roman"/>
          <w:sz w:val="24"/>
          <w:szCs w:val="24"/>
        </w:rPr>
        <w:t>Paragraph</w:t>
      </w:r>
      <w:r>
        <w:rPr>
          <w:rFonts w:ascii="Times New Roman" w:hAnsi="Times New Roman" w:cs="Times New Roman"/>
          <w:sz w:val="24"/>
          <w:szCs w:val="24"/>
        </w:rPr>
        <w:t xml:space="preserve"> 6a are these: a Certificate of Compliance from the City Engineer and a Dispensation Certificate from the Surveyor General. </w:t>
      </w:r>
    </w:p>
    <w:p w14:paraId="1E4E06D7" w14:textId="6FE8CE3B" w:rsidR="005D3754" w:rsidRDefault="00580383" w:rsidP="00896230">
      <w:pPr>
        <w:rPr>
          <w:rFonts w:ascii="Times New Roman" w:hAnsi="Times New Roman" w:cs="Times New Roman"/>
          <w:sz w:val="24"/>
          <w:szCs w:val="24"/>
        </w:rPr>
      </w:pPr>
      <w:r>
        <w:rPr>
          <w:rFonts w:ascii="Times New Roman" w:hAnsi="Times New Roman" w:cs="Times New Roman"/>
          <w:sz w:val="24"/>
          <w:szCs w:val="24"/>
        </w:rPr>
        <w:t xml:space="preserve"> [1</w:t>
      </w:r>
      <w:r w:rsidR="00B173B5">
        <w:rPr>
          <w:rFonts w:ascii="Times New Roman" w:hAnsi="Times New Roman" w:cs="Times New Roman"/>
          <w:sz w:val="24"/>
          <w:szCs w:val="24"/>
        </w:rPr>
        <w:t>6</w:t>
      </w:r>
      <w:r>
        <w:rPr>
          <w:rFonts w:ascii="Times New Roman" w:hAnsi="Times New Roman" w:cs="Times New Roman"/>
          <w:sz w:val="24"/>
          <w:szCs w:val="24"/>
        </w:rPr>
        <w:t>]</w:t>
      </w:r>
      <w:r w:rsidR="00893C90">
        <w:rPr>
          <w:rFonts w:ascii="Times New Roman" w:hAnsi="Times New Roman" w:cs="Times New Roman"/>
          <w:sz w:val="24"/>
          <w:szCs w:val="24"/>
        </w:rPr>
        <w:tab/>
      </w:r>
      <w:r>
        <w:rPr>
          <w:rFonts w:ascii="Times New Roman" w:hAnsi="Times New Roman" w:cs="Times New Roman"/>
          <w:sz w:val="24"/>
          <w:szCs w:val="24"/>
        </w:rPr>
        <w:t xml:space="preserve"> </w:t>
      </w:r>
      <w:r w:rsidR="003A341D">
        <w:rPr>
          <w:rFonts w:ascii="Times New Roman" w:hAnsi="Times New Roman" w:cs="Times New Roman"/>
          <w:sz w:val="24"/>
          <w:szCs w:val="24"/>
        </w:rPr>
        <w:t xml:space="preserve">To prove its case </w:t>
      </w:r>
      <w:r w:rsidR="00F37490">
        <w:rPr>
          <w:rFonts w:ascii="Times New Roman" w:hAnsi="Times New Roman" w:cs="Times New Roman"/>
          <w:sz w:val="24"/>
          <w:szCs w:val="24"/>
        </w:rPr>
        <w:t xml:space="preserve">it </w:t>
      </w:r>
      <w:r w:rsidR="003A341D">
        <w:rPr>
          <w:rFonts w:ascii="Times New Roman" w:hAnsi="Times New Roman" w:cs="Times New Roman"/>
          <w:sz w:val="24"/>
          <w:szCs w:val="24"/>
        </w:rPr>
        <w:t xml:space="preserve">was for the defendant to adduce evidence that indeed the plaintiffs’ claims have prescribed. </w:t>
      </w:r>
      <w:r w:rsidR="00E0473C">
        <w:rPr>
          <w:rFonts w:ascii="Times New Roman" w:hAnsi="Times New Roman" w:cs="Times New Roman"/>
          <w:sz w:val="24"/>
          <w:szCs w:val="24"/>
        </w:rPr>
        <w:t xml:space="preserve">In general, </w:t>
      </w:r>
      <w:r w:rsidR="00F37490">
        <w:rPr>
          <w:rFonts w:ascii="Times New Roman" w:hAnsi="Times New Roman" w:cs="Times New Roman"/>
          <w:sz w:val="24"/>
          <w:szCs w:val="24"/>
        </w:rPr>
        <w:t xml:space="preserve">civil </w:t>
      </w:r>
      <w:r w:rsidR="0054400C">
        <w:rPr>
          <w:rFonts w:ascii="Times New Roman" w:hAnsi="Times New Roman" w:cs="Times New Roman"/>
          <w:sz w:val="24"/>
          <w:szCs w:val="24"/>
        </w:rPr>
        <w:t>litigation is</w:t>
      </w:r>
      <w:r w:rsidR="00F37490">
        <w:rPr>
          <w:rFonts w:ascii="Times New Roman" w:hAnsi="Times New Roman" w:cs="Times New Roman"/>
          <w:sz w:val="24"/>
          <w:szCs w:val="24"/>
        </w:rPr>
        <w:t xml:space="preserve"> litigant driven, it was </w:t>
      </w:r>
      <w:r w:rsidR="0054400C">
        <w:rPr>
          <w:rFonts w:ascii="Times New Roman" w:hAnsi="Times New Roman" w:cs="Times New Roman"/>
          <w:sz w:val="24"/>
          <w:szCs w:val="24"/>
        </w:rPr>
        <w:t xml:space="preserve">therefore </w:t>
      </w:r>
      <w:r w:rsidR="00F37490">
        <w:rPr>
          <w:rFonts w:ascii="Times New Roman" w:hAnsi="Times New Roman" w:cs="Times New Roman"/>
          <w:sz w:val="24"/>
          <w:szCs w:val="24"/>
        </w:rPr>
        <w:t>for the defendan</w:t>
      </w:r>
      <w:r w:rsidR="00A4588F">
        <w:rPr>
          <w:rFonts w:ascii="Times New Roman" w:hAnsi="Times New Roman" w:cs="Times New Roman"/>
          <w:sz w:val="24"/>
          <w:szCs w:val="24"/>
        </w:rPr>
        <w:t>t</w:t>
      </w:r>
      <w:r w:rsidR="00F37490">
        <w:rPr>
          <w:rFonts w:ascii="Times New Roman" w:hAnsi="Times New Roman" w:cs="Times New Roman"/>
          <w:sz w:val="24"/>
          <w:szCs w:val="24"/>
        </w:rPr>
        <w:t xml:space="preserve"> to adduce evidence before court, i.e., whether by affidavits or by</w:t>
      </w:r>
      <w:r w:rsidR="00E0473C">
        <w:rPr>
          <w:rFonts w:ascii="Times New Roman" w:hAnsi="Times New Roman" w:cs="Times New Roman"/>
          <w:sz w:val="24"/>
          <w:szCs w:val="24"/>
        </w:rPr>
        <w:t xml:space="preserve"> </w:t>
      </w:r>
      <w:r w:rsidR="00F37490">
        <w:rPr>
          <w:rFonts w:ascii="Times New Roman" w:hAnsi="Times New Roman" w:cs="Times New Roman"/>
          <w:sz w:val="24"/>
          <w:szCs w:val="24"/>
        </w:rPr>
        <w:t xml:space="preserve">a mini trial to show that the </w:t>
      </w:r>
      <w:r w:rsidR="0054400C">
        <w:rPr>
          <w:rFonts w:ascii="Times New Roman" w:hAnsi="Times New Roman" w:cs="Times New Roman"/>
          <w:sz w:val="24"/>
          <w:szCs w:val="24"/>
        </w:rPr>
        <w:t xml:space="preserve">plaintiffs’ </w:t>
      </w:r>
      <w:r w:rsidR="00F37490">
        <w:rPr>
          <w:rFonts w:ascii="Times New Roman" w:hAnsi="Times New Roman" w:cs="Times New Roman"/>
          <w:sz w:val="24"/>
          <w:szCs w:val="24"/>
        </w:rPr>
        <w:t xml:space="preserve">claims have prescribed. See </w:t>
      </w:r>
      <w:r w:rsidR="00F37490" w:rsidRPr="00F37490">
        <w:rPr>
          <w:rFonts w:ascii="Times New Roman" w:hAnsi="Times New Roman" w:cs="Times New Roman"/>
          <w:i/>
          <w:iCs/>
          <w:sz w:val="24"/>
          <w:szCs w:val="24"/>
        </w:rPr>
        <w:t xml:space="preserve">Mabhena v Chipwanyira &amp; Ors </w:t>
      </w:r>
      <w:r w:rsidR="00F37490">
        <w:rPr>
          <w:rFonts w:ascii="Times New Roman" w:hAnsi="Times New Roman" w:cs="Times New Roman"/>
          <w:sz w:val="24"/>
          <w:szCs w:val="24"/>
        </w:rPr>
        <w:t xml:space="preserve">HH 159/24. No evidence was adduced. </w:t>
      </w:r>
    </w:p>
    <w:p w14:paraId="26FC6909" w14:textId="513C8D91" w:rsidR="00B33C6C" w:rsidRDefault="005D3754" w:rsidP="00896230">
      <w:pPr>
        <w:rPr>
          <w:rFonts w:ascii="Times New Roman" w:hAnsi="Times New Roman" w:cs="Times New Roman"/>
          <w:sz w:val="24"/>
          <w:szCs w:val="24"/>
        </w:rPr>
      </w:pPr>
      <w:r>
        <w:rPr>
          <w:rFonts w:ascii="Times New Roman" w:hAnsi="Times New Roman" w:cs="Times New Roman"/>
          <w:sz w:val="24"/>
          <w:szCs w:val="24"/>
        </w:rPr>
        <w:t>[1</w:t>
      </w:r>
      <w:r w:rsidR="00B173B5">
        <w:rPr>
          <w:rFonts w:ascii="Times New Roman" w:hAnsi="Times New Roman" w:cs="Times New Roman"/>
          <w:sz w:val="24"/>
          <w:szCs w:val="24"/>
        </w:rPr>
        <w:t>7</w:t>
      </w:r>
      <w:r>
        <w:rPr>
          <w:rFonts w:ascii="Times New Roman" w:hAnsi="Times New Roman" w:cs="Times New Roman"/>
          <w:sz w:val="24"/>
          <w:szCs w:val="24"/>
        </w:rPr>
        <w:t>]</w:t>
      </w:r>
      <w:r w:rsidR="00893C90">
        <w:rPr>
          <w:rFonts w:ascii="Times New Roman" w:hAnsi="Times New Roman" w:cs="Times New Roman"/>
          <w:sz w:val="24"/>
          <w:szCs w:val="24"/>
        </w:rPr>
        <w:tab/>
      </w:r>
      <w:r>
        <w:rPr>
          <w:rFonts w:ascii="Times New Roman" w:hAnsi="Times New Roman" w:cs="Times New Roman"/>
          <w:sz w:val="24"/>
          <w:szCs w:val="24"/>
        </w:rPr>
        <w:t xml:space="preserve"> </w:t>
      </w:r>
      <w:r w:rsidR="00E0473C">
        <w:rPr>
          <w:rFonts w:ascii="Times New Roman" w:hAnsi="Times New Roman" w:cs="Times New Roman"/>
          <w:sz w:val="24"/>
          <w:szCs w:val="24"/>
        </w:rPr>
        <w:t xml:space="preserve">In </w:t>
      </w:r>
      <w:r w:rsidR="00E0473C" w:rsidRPr="00E0473C">
        <w:rPr>
          <w:rFonts w:ascii="Times New Roman" w:hAnsi="Times New Roman" w:cs="Times New Roman"/>
          <w:i/>
          <w:iCs/>
          <w:sz w:val="24"/>
          <w:szCs w:val="24"/>
        </w:rPr>
        <w:t>casu</w:t>
      </w:r>
      <w:r w:rsidR="00E0473C">
        <w:rPr>
          <w:rFonts w:ascii="Times New Roman" w:hAnsi="Times New Roman" w:cs="Times New Roman"/>
          <w:sz w:val="24"/>
          <w:szCs w:val="24"/>
        </w:rPr>
        <w:t xml:space="preserve"> the</w:t>
      </w:r>
      <w:r w:rsidR="00F37490">
        <w:rPr>
          <w:rFonts w:ascii="Times New Roman" w:hAnsi="Times New Roman" w:cs="Times New Roman"/>
          <w:sz w:val="24"/>
          <w:szCs w:val="24"/>
        </w:rPr>
        <w:t xml:space="preserve"> issue of</w:t>
      </w:r>
      <w:r w:rsidR="00DB2713">
        <w:rPr>
          <w:rFonts w:ascii="Times New Roman" w:hAnsi="Times New Roman" w:cs="Times New Roman"/>
          <w:sz w:val="24"/>
          <w:szCs w:val="24"/>
        </w:rPr>
        <w:t xml:space="preserve"> payment of the purchase price as per </w:t>
      </w:r>
      <w:r w:rsidR="0098050C">
        <w:rPr>
          <w:rFonts w:ascii="Times New Roman" w:hAnsi="Times New Roman" w:cs="Times New Roman"/>
          <w:sz w:val="24"/>
          <w:szCs w:val="24"/>
        </w:rPr>
        <w:t>Paragraph</w:t>
      </w:r>
      <w:r w:rsidR="00DB2713">
        <w:rPr>
          <w:rFonts w:ascii="Times New Roman" w:hAnsi="Times New Roman" w:cs="Times New Roman"/>
          <w:sz w:val="24"/>
          <w:szCs w:val="24"/>
        </w:rPr>
        <w:t xml:space="preserve"> 5.1 </w:t>
      </w:r>
      <w:r w:rsidR="00F37490">
        <w:rPr>
          <w:rFonts w:ascii="Times New Roman" w:hAnsi="Times New Roman" w:cs="Times New Roman"/>
          <w:sz w:val="24"/>
          <w:szCs w:val="24"/>
        </w:rPr>
        <w:t>does not present any challenge</w:t>
      </w:r>
      <w:r w:rsidR="00B33C6C">
        <w:rPr>
          <w:rFonts w:ascii="Times New Roman" w:hAnsi="Times New Roman" w:cs="Times New Roman"/>
          <w:sz w:val="24"/>
          <w:szCs w:val="24"/>
        </w:rPr>
        <w:t>s</w:t>
      </w:r>
      <w:r w:rsidR="00F37490">
        <w:rPr>
          <w:rFonts w:ascii="Times New Roman" w:hAnsi="Times New Roman" w:cs="Times New Roman"/>
          <w:sz w:val="24"/>
          <w:szCs w:val="24"/>
        </w:rPr>
        <w:t xml:space="preserve"> </w:t>
      </w:r>
      <w:r w:rsidR="00E0473C">
        <w:rPr>
          <w:rFonts w:ascii="Times New Roman" w:hAnsi="Times New Roman" w:cs="Times New Roman"/>
          <w:sz w:val="24"/>
          <w:szCs w:val="24"/>
        </w:rPr>
        <w:t>for</w:t>
      </w:r>
      <w:r w:rsidR="00F37490">
        <w:rPr>
          <w:rFonts w:ascii="Times New Roman" w:hAnsi="Times New Roman" w:cs="Times New Roman"/>
          <w:sz w:val="24"/>
          <w:szCs w:val="24"/>
        </w:rPr>
        <w:t xml:space="preserve"> the defendant. I say so because it is the </w:t>
      </w:r>
      <w:r w:rsidR="00B33C6C">
        <w:rPr>
          <w:rFonts w:ascii="Times New Roman" w:hAnsi="Times New Roman" w:cs="Times New Roman"/>
          <w:sz w:val="24"/>
          <w:szCs w:val="24"/>
        </w:rPr>
        <w:t>plaintiffs’</w:t>
      </w:r>
      <w:r w:rsidR="00F37490">
        <w:rPr>
          <w:rFonts w:ascii="Times New Roman" w:hAnsi="Times New Roman" w:cs="Times New Roman"/>
          <w:sz w:val="24"/>
          <w:szCs w:val="24"/>
        </w:rPr>
        <w:t xml:space="preserve"> case that full </w:t>
      </w:r>
      <w:r w:rsidR="00DB2713">
        <w:rPr>
          <w:rFonts w:ascii="Times New Roman" w:hAnsi="Times New Roman" w:cs="Times New Roman"/>
          <w:sz w:val="24"/>
          <w:szCs w:val="24"/>
        </w:rPr>
        <w:t>purchase price was made in terms of the</w:t>
      </w:r>
      <w:r w:rsidR="00F37490">
        <w:rPr>
          <w:rFonts w:ascii="Times New Roman" w:hAnsi="Times New Roman" w:cs="Times New Roman"/>
          <w:sz w:val="24"/>
          <w:szCs w:val="24"/>
        </w:rPr>
        <w:t xml:space="preserve"> agreement</w:t>
      </w:r>
      <w:r w:rsidR="00DB2713">
        <w:rPr>
          <w:rFonts w:ascii="Times New Roman" w:hAnsi="Times New Roman" w:cs="Times New Roman"/>
          <w:sz w:val="24"/>
          <w:szCs w:val="24"/>
        </w:rPr>
        <w:t>s</w:t>
      </w:r>
      <w:r w:rsidR="00F37490">
        <w:rPr>
          <w:rFonts w:ascii="Times New Roman" w:hAnsi="Times New Roman" w:cs="Times New Roman"/>
          <w:sz w:val="24"/>
          <w:szCs w:val="24"/>
        </w:rPr>
        <w:t xml:space="preserve"> of sale. </w:t>
      </w:r>
      <w:r w:rsidR="00DB2713">
        <w:rPr>
          <w:rFonts w:ascii="Times New Roman" w:hAnsi="Times New Roman" w:cs="Times New Roman"/>
          <w:sz w:val="24"/>
          <w:szCs w:val="24"/>
        </w:rPr>
        <w:t xml:space="preserve">It is clear </w:t>
      </w:r>
      <w:r w:rsidR="0054400C">
        <w:rPr>
          <w:rFonts w:ascii="Times New Roman" w:hAnsi="Times New Roman" w:cs="Times New Roman"/>
          <w:sz w:val="24"/>
          <w:szCs w:val="24"/>
        </w:rPr>
        <w:t xml:space="preserve">that in both cases </w:t>
      </w:r>
      <w:r w:rsidR="00DB2713">
        <w:rPr>
          <w:rFonts w:ascii="Times New Roman" w:hAnsi="Times New Roman" w:cs="Times New Roman"/>
          <w:sz w:val="24"/>
          <w:szCs w:val="24"/>
        </w:rPr>
        <w:t xml:space="preserve">the purchase price was paid in full in 2002. </w:t>
      </w:r>
      <w:r w:rsidR="00EC2D5C">
        <w:rPr>
          <w:rFonts w:ascii="Times New Roman" w:hAnsi="Times New Roman" w:cs="Times New Roman"/>
          <w:sz w:val="24"/>
          <w:szCs w:val="24"/>
        </w:rPr>
        <w:t>The</w:t>
      </w:r>
      <w:r w:rsidR="00E0473C">
        <w:rPr>
          <w:rFonts w:ascii="Times New Roman" w:hAnsi="Times New Roman" w:cs="Times New Roman"/>
          <w:sz w:val="24"/>
          <w:szCs w:val="24"/>
        </w:rPr>
        <w:t xml:space="preserve"> admission o</w:t>
      </w:r>
      <w:r w:rsidR="0054400C">
        <w:rPr>
          <w:rFonts w:ascii="Times New Roman" w:hAnsi="Times New Roman" w:cs="Times New Roman"/>
          <w:sz w:val="24"/>
          <w:szCs w:val="24"/>
        </w:rPr>
        <w:t>f</w:t>
      </w:r>
      <w:r w:rsidR="00E0473C">
        <w:rPr>
          <w:rFonts w:ascii="Times New Roman" w:hAnsi="Times New Roman" w:cs="Times New Roman"/>
          <w:sz w:val="24"/>
          <w:szCs w:val="24"/>
        </w:rPr>
        <w:t xml:space="preserve"> payment of the purchase price</w:t>
      </w:r>
      <w:r w:rsidR="00B33C6C">
        <w:rPr>
          <w:rFonts w:ascii="Times New Roman" w:hAnsi="Times New Roman" w:cs="Times New Roman"/>
          <w:sz w:val="24"/>
          <w:szCs w:val="24"/>
        </w:rPr>
        <w:t xml:space="preserve"> relieved the defendant of the necessity of proving that the </w:t>
      </w:r>
      <w:r w:rsidR="00A4588F">
        <w:rPr>
          <w:rFonts w:ascii="Times New Roman" w:hAnsi="Times New Roman" w:cs="Times New Roman"/>
          <w:sz w:val="24"/>
          <w:szCs w:val="24"/>
        </w:rPr>
        <w:t xml:space="preserve">first </w:t>
      </w:r>
      <w:r w:rsidR="00B33C6C">
        <w:rPr>
          <w:rFonts w:ascii="Times New Roman" w:hAnsi="Times New Roman" w:cs="Times New Roman"/>
          <w:sz w:val="24"/>
          <w:szCs w:val="24"/>
        </w:rPr>
        <w:t>condition precedent</w:t>
      </w:r>
      <w:r w:rsidR="00A4588F">
        <w:rPr>
          <w:rFonts w:ascii="Times New Roman" w:hAnsi="Times New Roman" w:cs="Times New Roman"/>
          <w:sz w:val="24"/>
          <w:szCs w:val="24"/>
        </w:rPr>
        <w:t xml:space="preserve"> in </w:t>
      </w:r>
      <w:r w:rsidR="0098050C">
        <w:rPr>
          <w:rFonts w:ascii="Times New Roman" w:hAnsi="Times New Roman" w:cs="Times New Roman"/>
          <w:sz w:val="24"/>
          <w:szCs w:val="24"/>
        </w:rPr>
        <w:t xml:space="preserve">Paragraph </w:t>
      </w:r>
      <w:r w:rsidR="00A4588F">
        <w:rPr>
          <w:rFonts w:ascii="Times New Roman" w:hAnsi="Times New Roman" w:cs="Times New Roman"/>
          <w:sz w:val="24"/>
          <w:szCs w:val="24"/>
        </w:rPr>
        <w:t xml:space="preserve">5.1 had been met. </w:t>
      </w:r>
    </w:p>
    <w:p w14:paraId="54DDEE8B" w14:textId="1B0FCF51" w:rsidR="00580383" w:rsidRDefault="00B33C6C" w:rsidP="00896230">
      <w:pPr>
        <w:rPr>
          <w:rFonts w:ascii="Times New Roman" w:hAnsi="Times New Roman" w:cs="Times New Roman"/>
          <w:sz w:val="24"/>
          <w:szCs w:val="24"/>
        </w:rPr>
      </w:pPr>
      <w:r>
        <w:rPr>
          <w:rFonts w:ascii="Times New Roman" w:hAnsi="Times New Roman" w:cs="Times New Roman"/>
          <w:sz w:val="24"/>
          <w:szCs w:val="24"/>
        </w:rPr>
        <w:t>[1</w:t>
      </w:r>
      <w:r w:rsidR="00B173B5">
        <w:rPr>
          <w:rFonts w:ascii="Times New Roman" w:hAnsi="Times New Roman" w:cs="Times New Roman"/>
          <w:sz w:val="24"/>
          <w:szCs w:val="24"/>
        </w:rPr>
        <w:t>8</w:t>
      </w:r>
      <w:r>
        <w:rPr>
          <w:rFonts w:ascii="Times New Roman" w:hAnsi="Times New Roman" w:cs="Times New Roman"/>
          <w:sz w:val="24"/>
          <w:szCs w:val="24"/>
        </w:rPr>
        <w:t>]</w:t>
      </w:r>
      <w:r w:rsidR="00893C90">
        <w:rPr>
          <w:rFonts w:ascii="Times New Roman" w:hAnsi="Times New Roman" w:cs="Times New Roman"/>
          <w:sz w:val="24"/>
          <w:szCs w:val="24"/>
        </w:rPr>
        <w:tab/>
      </w:r>
      <w:r>
        <w:rPr>
          <w:rFonts w:ascii="Times New Roman" w:hAnsi="Times New Roman" w:cs="Times New Roman"/>
          <w:sz w:val="24"/>
          <w:szCs w:val="24"/>
        </w:rPr>
        <w:t xml:space="preserve"> </w:t>
      </w:r>
      <w:r w:rsidR="00A4588F">
        <w:rPr>
          <w:rFonts w:ascii="Times New Roman" w:hAnsi="Times New Roman" w:cs="Times New Roman"/>
          <w:sz w:val="24"/>
          <w:szCs w:val="24"/>
        </w:rPr>
        <w:t xml:space="preserve">It is the second condition precedent in </w:t>
      </w:r>
      <w:r w:rsidR="0098050C">
        <w:rPr>
          <w:rFonts w:ascii="Times New Roman" w:hAnsi="Times New Roman" w:cs="Times New Roman"/>
          <w:sz w:val="24"/>
          <w:szCs w:val="24"/>
        </w:rPr>
        <w:t>Paragraph</w:t>
      </w:r>
      <w:r w:rsidR="00A4588F">
        <w:rPr>
          <w:rFonts w:ascii="Times New Roman" w:hAnsi="Times New Roman" w:cs="Times New Roman"/>
          <w:sz w:val="24"/>
          <w:szCs w:val="24"/>
        </w:rPr>
        <w:t xml:space="preserve"> 5.1 that</w:t>
      </w:r>
      <w:r w:rsidR="002E70FA">
        <w:rPr>
          <w:rFonts w:ascii="Times New Roman" w:hAnsi="Times New Roman" w:cs="Times New Roman"/>
          <w:sz w:val="24"/>
          <w:szCs w:val="24"/>
        </w:rPr>
        <w:t xml:space="preserve"> I now turn,</w:t>
      </w:r>
      <w:r w:rsidR="00B9237C">
        <w:rPr>
          <w:rFonts w:ascii="Times New Roman" w:hAnsi="Times New Roman" w:cs="Times New Roman"/>
          <w:sz w:val="24"/>
          <w:szCs w:val="24"/>
        </w:rPr>
        <w:t xml:space="preserve"> </w:t>
      </w:r>
      <w:r w:rsidR="0098050C">
        <w:rPr>
          <w:rFonts w:ascii="Times New Roman" w:hAnsi="Times New Roman" w:cs="Times New Roman"/>
          <w:sz w:val="24"/>
          <w:szCs w:val="24"/>
        </w:rPr>
        <w:t xml:space="preserve">i.e., </w:t>
      </w:r>
      <w:r w:rsidR="00B9237C">
        <w:rPr>
          <w:rFonts w:ascii="Times New Roman" w:hAnsi="Times New Roman" w:cs="Times New Roman"/>
          <w:sz w:val="24"/>
          <w:szCs w:val="24"/>
        </w:rPr>
        <w:t xml:space="preserve">whether the </w:t>
      </w:r>
      <w:r>
        <w:rPr>
          <w:rFonts w:ascii="Times New Roman" w:hAnsi="Times New Roman" w:cs="Times New Roman"/>
          <w:sz w:val="24"/>
          <w:szCs w:val="24"/>
        </w:rPr>
        <w:t xml:space="preserve">City of Harare issued all the certificates referred to in </w:t>
      </w:r>
      <w:r w:rsidR="0098050C">
        <w:rPr>
          <w:rFonts w:ascii="Times New Roman" w:hAnsi="Times New Roman" w:cs="Times New Roman"/>
          <w:sz w:val="24"/>
          <w:szCs w:val="24"/>
        </w:rPr>
        <w:t>P</w:t>
      </w:r>
      <w:r>
        <w:rPr>
          <w:rFonts w:ascii="Times New Roman" w:hAnsi="Times New Roman" w:cs="Times New Roman"/>
          <w:sz w:val="24"/>
          <w:szCs w:val="24"/>
        </w:rPr>
        <w:t xml:space="preserve">aragraph </w:t>
      </w:r>
      <w:r w:rsidR="00B9237C">
        <w:rPr>
          <w:rFonts w:ascii="Times New Roman" w:hAnsi="Times New Roman" w:cs="Times New Roman"/>
          <w:sz w:val="24"/>
          <w:szCs w:val="24"/>
        </w:rPr>
        <w:t>6a o</w:t>
      </w:r>
      <w:r w:rsidR="002E70FA">
        <w:rPr>
          <w:rFonts w:ascii="Times New Roman" w:hAnsi="Times New Roman" w:cs="Times New Roman"/>
          <w:sz w:val="24"/>
          <w:szCs w:val="24"/>
        </w:rPr>
        <w:t>f</w:t>
      </w:r>
      <w:r w:rsidR="00B9237C">
        <w:rPr>
          <w:rFonts w:ascii="Times New Roman" w:hAnsi="Times New Roman" w:cs="Times New Roman"/>
          <w:sz w:val="24"/>
          <w:szCs w:val="24"/>
        </w:rPr>
        <w:t xml:space="preserve"> the agreements. In this regard </w:t>
      </w:r>
      <w:r w:rsidR="00580383">
        <w:rPr>
          <w:rFonts w:ascii="Times New Roman" w:hAnsi="Times New Roman" w:cs="Times New Roman"/>
          <w:sz w:val="24"/>
          <w:szCs w:val="24"/>
        </w:rPr>
        <w:t>there is no aorta of evidence that the seller has serviced the stands to the satisfaction of the Director of Works of the City of Harare. There is no evidence that a Certificate of Compliance from the City Engineer and a Dispensation Certificate from the Surveyor General have been issued. Therefore, it is incorrect and not support</w:t>
      </w:r>
      <w:r w:rsidR="00F87DE8">
        <w:rPr>
          <w:rFonts w:ascii="Times New Roman" w:hAnsi="Times New Roman" w:cs="Times New Roman"/>
          <w:sz w:val="24"/>
          <w:szCs w:val="24"/>
        </w:rPr>
        <w:t>ed</w:t>
      </w:r>
      <w:r w:rsidR="00580383">
        <w:rPr>
          <w:rFonts w:ascii="Times New Roman" w:hAnsi="Times New Roman" w:cs="Times New Roman"/>
          <w:sz w:val="24"/>
          <w:szCs w:val="24"/>
        </w:rPr>
        <w:t xml:space="preserve"> by </w:t>
      </w:r>
      <w:r w:rsidR="0098050C">
        <w:rPr>
          <w:rFonts w:ascii="Times New Roman" w:hAnsi="Times New Roman" w:cs="Times New Roman"/>
          <w:sz w:val="24"/>
          <w:szCs w:val="24"/>
        </w:rPr>
        <w:t xml:space="preserve">any </w:t>
      </w:r>
      <w:r w:rsidR="00580383">
        <w:rPr>
          <w:rFonts w:ascii="Times New Roman" w:hAnsi="Times New Roman" w:cs="Times New Roman"/>
          <w:sz w:val="24"/>
          <w:szCs w:val="24"/>
        </w:rPr>
        <w:t>evidence that the cause of action</w:t>
      </w:r>
      <w:r w:rsidR="00F87DE8">
        <w:rPr>
          <w:rFonts w:ascii="Times New Roman" w:hAnsi="Times New Roman" w:cs="Times New Roman"/>
          <w:sz w:val="24"/>
          <w:szCs w:val="24"/>
        </w:rPr>
        <w:t xml:space="preserve">, i.e., the entire set of facts which the plaintiffs required to enforce their claims </w:t>
      </w:r>
      <w:r w:rsidR="00580383">
        <w:rPr>
          <w:rFonts w:ascii="Times New Roman" w:hAnsi="Times New Roman" w:cs="Times New Roman"/>
          <w:sz w:val="24"/>
          <w:szCs w:val="24"/>
        </w:rPr>
        <w:t xml:space="preserve">arose in </w:t>
      </w:r>
      <w:r w:rsidR="00580383">
        <w:rPr>
          <w:rFonts w:ascii="Times New Roman" w:hAnsi="Times New Roman" w:cs="Times New Roman"/>
          <w:sz w:val="24"/>
          <w:szCs w:val="24"/>
        </w:rPr>
        <w:lastRenderedPageBreak/>
        <w:t xml:space="preserve">2002. </w:t>
      </w:r>
      <w:r w:rsidR="00734B27">
        <w:rPr>
          <w:rFonts w:ascii="Times New Roman" w:hAnsi="Times New Roman" w:cs="Times New Roman"/>
          <w:sz w:val="24"/>
          <w:szCs w:val="24"/>
        </w:rPr>
        <w:t xml:space="preserve">See </w:t>
      </w:r>
      <w:r w:rsidR="00734B27" w:rsidRPr="00734B27">
        <w:rPr>
          <w:rFonts w:ascii="Times New Roman" w:hAnsi="Times New Roman" w:cs="Times New Roman"/>
          <w:i/>
          <w:iCs/>
          <w:sz w:val="24"/>
          <w:szCs w:val="24"/>
        </w:rPr>
        <w:t xml:space="preserve">Chirinda v Van der Merwe &amp; Anor </w:t>
      </w:r>
      <w:r w:rsidR="00734B27">
        <w:rPr>
          <w:rFonts w:ascii="Times New Roman" w:hAnsi="Times New Roman" w:cs="Times New Roman"/>
          <w:sz w:val="24"/>
          <w:szCs w:val="24"/>
        </w:rPr>
        <w:t xml:space="preserve">HH 51/13. </w:t>
      </w:r>
      <w:r w:rsidR="00580383">
        <w:rPr>
          <w:rFonts w:ascii="Times New Roman" w:hAnsi="Times New Roman" w:cs="Times New Roman"/>
          <w:sz w:val="24"/>
          <w:szCs w:val="24"/>
        </w:rPr>
        <w:t>In the circumstances, at the time the summonses were issued on 14 May 2021, the plaintiffs’ claims had not prescribed</w:t>
      </w:r>
      <w:r w:rsidR="004D4DE6">
        <w:rPr>
          <w:rFonts w:ascii="Times New Roman" w:hAnsi="Times New Roman" w:cs="Times New Roman"/>
          <w:sz w:val="24"/>
          <w:szCs w:val="24"/>
        </w:rPr>
        <w:t xml:space="preserve"> in terms of the law. </w:t>
      </w:r>
      <w:r w:rsidR="00580383">
        <w:rPr>
          <w:rFonts w:ascii="Times New Roman" w:hAnsi="Times New Roman" w:cs="Times New Roman"/>
          <w:sz w:val="24"/>
          <w:szCs w:val="24"/>
        </w:rPr>
        <w:t xml:space="preserve"> </w:t>
      </w:r>
    </w:p>
    <w:p w14:paraId="2F07C9C7" w14:textId="48910F85" w:rsidR="004D4DE6" w:rsidRDefault="00580383" w:rsidP="00896230">
      <w:pPr>
        <w:rPr>
          <w:rFonts w:ascii="Times New Roman" w:hAnsi="Times New Roman" w:cs="Times New Roman"/>
          <w:sz w:val="24"/>
          <w:szCs w:val="24"/>
        </w:rPr>
      </w:pPr>
      <w:r w:rsidRPr="00580383">
        <w:rPr>
          <w:rFonts w:ascii="Times New Roman" w:hAnsi="Times New Roman" w:cs="Times New Roman"/>
          <w:sz w:val="24"/>
          <w:szCs w:val="24"/>
        </w:rPr>
        <w:t>[1</w:t>
      </w:r>
      <w:r w:rsidR="00B173B5">
        <w:rPr>
          <w:rFonts w:ascii="Times New Roman" w:hAnsi="Times New Roman" w:cs="Times New Roman"/>
          <w:sz w:val="24"/>
          <w:szCs w:val="24"/>
        </w:rPr>
        <w:t>9</w:t>
      </w:r>
      <w:r w:rsidRPr="00580383">
        <w:rPr>
          <w:rFonts w:ascii="Times New Roman" w:hAnsi="Times New Roman" w:cs="Times New Roman"/>
          <w:sz w:val="24"/>
          <w:szCs w:val="24"/>
        </w:rPr>
        <w:t>]</w:t>
      </w:r>
      <w:r w:rsidR="00893C90">
        <w:rPr>
          <w:rFonts w:ascii="Times New Roman" w:hAnsi="Times New Roman" w:cs="Times New Roman"/>
          <w:sz w:val="24"/>
          <w:szCs w:val="24"/>
        </w:rPr>
        <w:tab/>
      </w:r>
      <w:r w:rsidRPr="00580383">
        <w:rPr>
          <w:rFonts w:ascii="Times New Roman" w:hAnsi="Times New Roman" w:cs="Times New Roman"/>
          <w:sz w:val="24"/>
          <w:szCs w:val="24"/>
        </w:rPr>
        <w:t xml:space="preserve"> </w:t>
      </w:r>
      <w:r>
        <w:rPr>
          <w:rFonts w:ascii="Times New Roman" w:hAnsi="Times New Roman" w:cs="Times New Roman"/>
          <w:sz w:val="24"/>
          <w:szCs w:val="24"/>
        </w:rPr>
        <w:t>In addition, there is no aorta of evidence that the</w:t>
      </w:r>
      <w:r w:rsidRPr="00580383">
        <w:rPr>
          <w:rFonts w:ascii="Times New Roman" w:hAnsi="Times New Roman" w:cs="Times New Roman"/>
          <w:sz w:val="24"/>
          <w:szCs w:val="24"/>
        </w:rPr>
        <w:t xml:space="preserve"> defendant was specified in 2004 under the Prevention of Corruption Act [</w:t>
      </w:r>
      <w:r w:rsidRPr="00893C90">
        <w:rPr>
          <w:rFonts w:ascii="Times New Roman" w:hAnsi="Times New Roman" w:cs="Times New Roman"/>
          <w:i/>
          <w:sz w:val="24"/>
          <w:szCs w:val="24"/>
        </w:rPr>
        <w:t>Chapter</w:t>
      </w:r>
      <w:r w:rsidRPr="00580383">
        <w:rPr>
          <w:rFonts w:ascii="Times New Roman" w:hAnsi="Times New Roman" w:cs="Times New Roman"/>
          <w:sz w:val="24"/>
          <w:szCs w:val="24"/>
        </w:rPr>
        <w:t xml:space="preserve"> 9:16].</w:t>
      </w:r>
      <w:r>
        <w:rPr>
          <w:rFonts w:ascii="Times New Roman" w:hAnsi="Times New Roman" w:cs="Times New Roman"/>
          <w:sz w:val="24"/>
          <w:szCs w:val="24"/>
        </w:rPr>
        <w:t xml:space="preserve"> </w:t>
      </w:r>
      <w:r w:rsidRPr="00580383">
        <w:rPr>
          <w:rFonts w:ascii="Times New Roman" w:hAnsi="Times New Roman" w:cs="Times New Roman"/>
          <w:sz w:val="24"/>
          <w:szCs w:val="24"/>
        </w:rPr>
        <w:t xml:space="preserve"> </w:t>
      </w:r>
      <w:r w:rsidR="00BA101B">
        <w:rPr>
          <w:rFonts w:ascii="Times New Roman" w:hAnsi="Times New Roman" w:cs="Times New Roman"/>
          <w:sz w:val="24"/>
          <w:szCs w:val="24"/>
        </w:rPr>
        <w:t xml:space="preserve">No affidavit, no oral evidence, no documentation, absolutely nothing </w:t>
      </w:r>
      <w:r w:rsidR="00D06307">
        <w:rPr>
          <w:rFonts w:ascii="Times New Roman" w:hAnsi="Times New Roman" w:cs="Times New Roman"/>
          <w:sz w:val="24"/>
          <w:szCs w:val="24"/>
        </w:rPr>
        <w:t xml:space="preserve">was placed before court </w:t>
      </w:r>
      <w:r w:rsidR="00BA101B">
        <w:rPr>
          <w:rFonts w:ascii="Times New Roman" w:hAnsi="Times New Roman" w:cs="Times New Roman"/>
          <w:sz w:val="24"/>
          <w:szCs w:val="24"/>
        </w:rPr>
        <w:t xml:space="preserve">to show that the defendant was specified. </w:t>
      </w:r>
      <w:r w:rsidR="004D4DE6">
        <w:rPr>
          <w:rFonts w:ascii="Times New Roman" w:hAnsi="Times New Roman" w:cs="Times New Roman"/>
          <w:sz w:val="24"/>
          <w:szCs w:val="24"/>
        </w:rPr>
        <w:t xml:space="preserve">In fact, Mr </w:t>
      </w:r>
      <w:r w:rsidR="004D4DE6" w:rsidRPr="004D4DE6">
        <w:rPr>
          <w:rFonts w:ascii="Times New Roman" w:hAnsi="Times New Roman" w:cs="Times New Roman"/>
          <w:i/>
          <w:iCs/>
          <w:sz w:val="24"/>
          <w:szCs w:val="24"/>
        </w:rPr>
        <w:t>Chiromo</w:t>
      </w:r>
      <w:r w:rsidR="004D4DE6">
        <w:rPr>
          <w:rFonts w:ascii="Times New Roman" w:hAnsi="Times New Roman" w:cs="Times New Roman"/>
          <w:sz w:val="24"/>
          <w:szCs w:val="24"/>
        </w:rPr>
        <w:t xml:space="preserve"> counsel for the defendant conceded that there was no such evidence</w:t>
      </w:r>
      <w:r w:rsidR="00BA101B">
        <w:rPr>
          <w:rFonts w:ascii="Times New Roman" w:hAnsi="Times New Roman" w:cs="Times New Roman"/>
          <w:sz w:val="24"/>
          <w:szCs w:val="24"/>
        </w:rPr>
        <w:t xml:space="preserve"> to prove specification,</w:t>
      </w:r>
      <w:r w:rsidR="004D4DE6">
        <w:rPr>
          <w:rFonts w:ascii="Times New Roman" w:hAnsi="Times New Roman" w:cs="Times New Roman"/>
          <w:sz w:val="24"/>
          <w:szCs w:val="24"/>
        </w:rPr>
        <w:t xml:space="preserve"> but merely persisted with the contention </w:t>
      </w:r>
      <w:r w:rsidR="00D91F7E">
        <w:rPr>
          <w:rFonts w:ascii="Times New Roman" w:hAnsi="Times New Roman" w:cs="Times New Roman"/>
          <w:sz w:val="24"/>
          <w:szCs w:val="24"/>
        </w:rPr>
        <w:t>for no good measure. Without evidence, th</w:t>
      </w:r>
      <w:r w:rsidR="00BA101B">
        <w:rPr>
          <w:rFonts w:ascii="Times New Roman" w:hAnsi="Times New Roman" w:cs="Times New Roman"/>
          <w:sz w:val="24"/>
          <w:szCs w:val="24"/>
        </w:rPr>
        <w:t>e court cannot even start to engage with the issue whether the plaintiffs’ claims are prescribed by virtue of failure to claim from the curator within the prescribed time</w:t>
      </w:r>
      <w:r w:rsidR="00D06307">
        <w:rPr>
          <w:rFonts w:ascii="Times New Roman" w:hAnsi="Times New Roman" w:cs="Times New Roman"/>
          <w:sz w:val="24"/>
          <w:szCs w:val="24"/>
        </w:rPr>
        <w:t>-</w:t>
      </w:r>
      <w:r w:rsidR="00BA101B">
        <w:rPr>
          <w:rFonts w:ascii="Times New Roman" w:hAnsi="Times New Roman" w:cs="Times New Roman"/>
          <w:sz w:val="24"/>
          <w:szCs w:val="24"/>
        </w:rPr>
        <w:t xml:space="preserve">line.  </w:t>
      </w:r>
    </w:p>
    <w:p w14:paraId="044E3757" w14:textId="000D4AE5" w:rsidR="00580383" w:rsidRDefault="00BA101B" w:rsidP="00896230">
      <w:pPr>
        <w:rPr>
          <w:rFonts w:ascii="Times New Roman" w:hAnsi="Times New Roman" w:cs="Times New Roman"/>
          <w:sz w:val="24"/>
          <w:szCs w:val="24"/>
        </w:rPr>
      </w:pPr>
      <w:r>
        <w:rPr>
          <w:rFonts w:ascii="Times New Roman" w:hAnsi="Times New Roman" w:cs="Times New Roman"/>
          <w:sz w:val="24"/>
          <w:szCs w:val="24"/>
        </w:rPr>
        <w:t>[</w:t>
      </w:r>
      <w:r w:rsidR="00B173B5">
        <w:rPr>
          <w:rFonts w:ascii="Times New Roman" w:hAnsi="Times New Roman" w:cs="Times New Roman"/>
          <w:sz w:val="24"/>
          <w:szCs w:val="24"/>
        </w:rPr>
        <w:t>20</w:t>
      </w:r>
      <w:r>
        <w:rPr>
          <w:rFonts w:ascii="Times New Roman" w:hAnsi="Times New Roman" w:cs="Times New Roman"/>
          <w:sz w:val="24"/>
          <w:szCs w:val="24"/>
        </w:rPr>
        <w:t>]</w:t>
      </w:r>
      <w:r w:rsidR="00893C90">
        <w:rPr>
          <w:rFonts w:ascii="Times New Roman" w:hAnsi="Times New Roman" w:cs="Times New Roman"/>
          <w:sz w:val="24"/>
          <w:szCs w:val="24"/>
        </w:rPr>
        <w:tab/>
      </w:r>
      <w:r>
        <w:rPr>
          <w:rFonts w:ascii="Times New Roman" w:hAnsi="Times New Roman" w:cs="Times New Roman"/>
          <w:sz w:val="24"/>
          <w:szCs w:val="24"/>
        </w:rPr>
        <w:t xml:space="preserve"> The jurisprudence is clear that a litigant intending to defeat another party’s claim on the basis of prescription must adduce evidence to prove </w:t>
      </w:r>
      <w:r w:rsidR="00E72517">
        <w:rPr>
          <w:rFonts w:ascii="Times New Roman" w:hAnsi="Times New Roman" w:cs="Times New Roman"/>
          <w:sz w:val="24"/>
          <w:szCs w:val="24"/>
        </w:rPr>
        <w:t xml:space="preserve">that the claim has prescribed. See </w:t>
      </w:r>
      <w:r w:rsidR="00E72517" w:rsidRPr="006764FF">
        <w:rPr>
          <w:rFonts w:ascii="Times New Roman" w:hAnsi="Times New Roman" w:cs="Times New Roman"/>
          <w:i/>
          <w:iCs/>
          <w:sz w:val="24"/>
          <w:szCs w:val="24"/>
        </w:rPr>
        <w:t xml:space="preserve">Van Brooker v Mudhanda &amp; Another AND Pierce v Mudhanda &amp; Another </w:t>
      </w:r>
      <w:r w:rsidR="00E72517">
        <w:rPr>
          <w:rFonts w:ascii="Times New Roman" w:hAnsi="Times New Roman" w:cs="Times New Roman"/>
          <w:sz w:val="24"/>
          <w:szCs w:val="24"/>
        </w:rPr>
        <w:t xml:space="preserve">SC 5 / 2018; </w:t>
      </w:r>
      <w:r w:rsidR="00E72517" w:rsidRPr="00F37490">
        <w:rPr>
          <w:rFonts w:ascii="Times New Roman" w:hAnsi="Times New Roman" w:cs="Times New Roman"/>
          <w:i/>
          <w:iCs/>
          <w:sz w:val="24"/>
          <w:szCs w:val="24"/>
        </w:rPr>
        <w:t xml:space="preserve">Mabhena v Chipwanyira &amp; Ors </w:t>
      </w:r>
      <w:r w:rsidR="00E72517">
        <w:rPr>
          <w:rFonts w:ascii="Times New Roman" w:hAnsi="Times New Roman" w:cs="Times New Roman"/>
          <w:sz w:val="24"/>
          <w:szCs w:val="24"/>
        </w:rPr>
        <w:t xml:space="preserve">HH 159/24; </w:t>
      </w:r>
      <w:r w:rsidR="00E72517" w:rsidRPr="00E72517">
        <w:rPr>
          <w:rFonts w:ascii="Times New Roman" w:hAnsi="Times New Roman" w:cs="Times New Roman"/>
          <w:i/>
          <w:iCs/>
          <w:sz w:val="24"/>
          <w:szCs w:val="24"/>
        </w:rPr>
        <w:t xml:space="preserve">Norris Trust v Muzondiwa </w:t>
      </w:r>
      <w:r w:rsidR="00E72517">
        <w:rPr>
          <w:rFonts w:ascii="Times New Roman" w:hAnsi="Times New Roman" w:cs="Times New Roman"/>
          <w:sz w:val="24"/>
          <w:szCs w:val="24"/>
        </w:rPr>
        <w:t xml:space="preserve">HB 166/24. In </w:t>
      </w:r>
      <w:r w:rsidR="00E72517" w:rsidRPr="00E72517">
        <w:rPr>
          <w:rFonts w:ascii="Times New Roman" w:hAnsi="Times New Roman" w:cs="Times New Roman"/>
          <w:i/>
          <w:iCs/>
          <w:sz w:val="24"/>
          <w:szCs w:val="24"/>
        </w:rPr>
        <w:t>casu</w:t>
      </w:r>
      <w:r w:rsidR="00E72517">
        <w:rPr>
          <w:rFonts w:ascii="Times New Roman" w:hAnsi="Times New Roman" w:cs="Times New Roman"/>
          <w:sz w:val="24"/>
          <w:szCs w:val="24"/>
        </w:rPr>
        <w:t xml:space="preserve"> no aorta of evidence was adduced to prove prescription. It is for these reasons that the special plea of prescription cannot succeed. </w:t>
      </w:r>
      <w:r w:rsidR="00580383" w:rsidRPr="00580383">
        <w:rPr>
          <w:rFonts w:ascii="Times New Roman" w:hAnsi="Times New Roman" w:cs="Times New Roman"/>
          <w:sz w:val="24"/>
          <w:szCs w:val="24"/>
        </w:rPr>
        <w:t xml:space="preserve">In the light of the conclusion that I have reached, it is unnecessary to consider the argument i.e., whether the letter of 28 May 2018 interrupted prescription.  </w:t>
      </w:r>
    </w:p>
    <w:p w14:paraId="18F40BB7" w14:textId="29169B33" w:rsidR="00D06307" w:rsidRPr="00D06307" w:rsidRDefault="00D06307" w:rsidP="00896230">
      <w:pPr>
        <w:rPr>
          <w:rFonts w:ascii="Times New Roman" w:hAnsi="Times New Roman" w:cs="Times New Roman"/>
          <w:b/>
          <w:bCs/>
          <w:sz w:val="24"/>
          <w:szCs w:val="24"/>
          <w:u w:val="single"/>
        </w:rPr>
      </w:pPr>
      <w:r w:rsidRPr="00D06307">
        <w:rPr>
          <w:rFonts w:ascii="Times New Roman" w:hAnsi="Times New Roman" w:cs="Times New Roman"/>
          <w:b/>
          <w:bCs/>
          <w:sz w:val="24"/>
          <w:szCs w:val="24"/>
          <w:u w:val="single"/>
        </w:rPr>
        <w:t>EXCEPTION</w:t>
      </w:r>
    </w:p>
    <w:p w14:paraId="1D7E746E" w14:textId="18FEE40C" w:rsidR="00EC1579" w:rsidRDefault="00B173B5" w:rsidP="00B173B5">
      <w:pPr>
        <w:rPr>
          <w:rFonts w:ascii="Times New Roman" w:hAnsi="Times New Roman" w:cs="Times New Roman"/>
          <w:sz w:val="24"/>
          <w:szCs w:val="24"/>
        </w:rPr>
      </w:pPr>
      <w:r>
        <w:rPr>
          <w:rFonts w:ascii="Times New Roman" w:hAnsi="Times New Roman" w:cs="Times New Roman"/>
          <w:sz w:val="24"/>
          <w:szCs w:val="24"/>
        </w:rPr>
        <w:t>[21]</w:t>
      </w:r>
      <w:r w:rsidR="00893C90">
        <w:rPr>
          <w:rFonts w:ascii="Times New Roman" w:hAnsi="Times New Roman" w:cs="Times New Roman"/>
          <w:sz w:val="24"/>
          <w:szCs w:val="24"/>
        </w:rPr>
        <w:tab/>
      </w:r>
      <w:r>
        <w:rPr>
          <w:rFonts w:ascii="Times New Roman" w:hAnsi="Times New Roman" w:cs="Times New Roman"/>
          <w:sz w:val="24"/>
          <w:szCs w:val="24"/>
        </w:rPr>
        <w:t xml:space="preserve"> For completeness, </w:t>
      </w:r>
      <w:r w:rsidR="00734B27">
        <w:rPr>
          <w:rFonts w:ascii="Times New Roman" w:hAnsi="Times New Roman" w:cs="Times New Roman"/>
          <w:sz w:val="24"/>
          <w:szCs w:val="24"/>
        </w:rPr>
        <w:t xml:space="preserve">I have to deal with the exception raised by the defendant </w:t>
      </w:r>
      <w:r>
        <w:rPr>
          <w:rFonts w:ascii="Times New Roman" w:hAnsi="Times New Roman" w:cs="Times New Roman"/>
          <w:sz w:val="24"/>
          <w:szCs w:val="24"/>
        </w:rPr>
        <w:t>i</w:t>
      </w:r>
      <w:r w:rsidRPr="00792D79">
        <w:rPr>
          <w:rFonts w:ascii="Times New Roman" w:hAnsi="Times New Roman" w:cs="Times New Roman"/>
          <w:sz w:val="24"/>
          <w:szCs w:val="24"/>
        </w:rPr>
        <w:t>n its heads of argument</w:t>
      </w:r>
      <w:r w:rsidR="00734B27">
        <w:rPr>
          <w:rFonts w:ascii="Times New Roman" w:hAnsi="Times New Roman" w:cs="Times New Roman"/>
          <w:sz w:val="24"/>
          <w:szCs w:val="24"/>
        </w:rPr>
        <w:t xml:space="preserve">. </w:t>
      </w:r>
      <w:r w:rsidRPr="00792D79">
        <w:rPr>
          <w:rFonts w:ascii="Times New Roman" w:hAnsi="Times New Roman" w:cs="Times New Roman"/>
          <w:sz w:val="24"/>
          <w:szCs w:val="24"/>
        </w:rPr>
        <w:t xml:space="preserve"> </w:t>
      </w:r>
      <w:r w:rsidR="00734B27">
        <w:rPr>
          <w:rFonts w:ascii="Times New Roman" w:hAnsi="Times New Roman" w:cs="Times New Roman"/>
          <w:sz w:val="24"/>
          <w:szCs w:val="24"/>
        </w:rPr>
        <w:t xml:space="preserve">It was argued </w:t>
      </w:r>
      <w:r>
        <w:rPr>
          <w:rFonts w:ascii="Times New Roman" w:hAnsi="Times New Roman" w:cs="Times New Roman"/>
          <w:sz w:val="24"/>
          <w:szCs w:val="24"/>
        </w:rPr>
        <w:t>that</w:t>
      </w:r>
      <w:r w:rsidRPr="00792D79">
        <w:rPr>
          <w:rFonts w:ascii="Times New Roman" w:hAnsi="Times New Roman" w:cs="Times New Roman"/>
          <w:sz w:val="24"/>
          <w:szCs w:val="24"/>
        </w:rPr>
        <w:t xml:space="preserve"> </w:t>
      </w:r>
      <w:r w:rsidR="00734B27">
        <w:rPr>
          <w:rFonts w:ascii="Times New Roman" w:hAnsi="Times New Roman" w:cs="Times New Roman"/>
          <w:sz w:val="24"/>
          <w:szCs w:val="24"/>
        </w:rPr>
        <w:t xml:space="preserve">the </w:t>
      </w:r>
      <w:r w:rsidRPr="00792D79">
        <w:rPr>
          <w:rFonts w:ascii="Times New Roman" w:hAnsi="Times New Roman" w:cs="Times New Roman"/>
          <w:sz w:val="24"/>
          <w:szCs w:val="24"/>
        </w:rPr>
        <w:t xml:space="preserve">plaintiffs’ claims are vague and embarrassing. </w:t>
      </w:r>
      <w:r>
        <w:rPr>
          <w:rFonts w:ascii="Times New Roman" w:hAnsi="Times New Roman" w:cs="Times New Roman"/>
          <w:sz w:val="24"/>
          <w:szCs w:val="24"/>
        </w:rPr>
        <w:t xml:space="preserve">This amounts to an objection to the pleadings. </w:t>
      </w:r>
      <w:r w:rsidRPr="00275857">
        <w:rPr>
          <w:rFonts w:ascii="Times New Roman" w:hAnsi="Times New Roman" w:cs="Times New Roman"/>
          <w:sz w:val="24"/>
          <w:szCs w:val="24"/>
        </w:rPr>
        <w:t>It is a contention that the pleading</w:t>
      </w:r>
      <w:r>
        <w:rPr>
          <w:rFonts w:ascii="Times New Roman" w:hAnsi="Times New Roman" w:cs="Times New Roman"/>
          <w:sz w:val="24"/>
          <w:szCs w:val="24"/>
        </w:rPr>
        <w:t>s</w:t>
      </w:r>
      <w:r w:rsidRPr="00275857">
        <w:rPr>
          <w:rFonts w:ascii="Times New Roman" w:hAnsi="Times New Roman" w:cs="Times New Roman"/>
          <w:sz w:val="24"/>
          <w:szCs w:val="24"/>
        </w:rPr>
        <w:t xml:space="preserve"> do not disclose a cause of action.</w:t>
      </w:r>
      <w:r w:rsidRPr="00792D79">
        <w:rPr>
          <w:rFonts w:ascii="Times New Roman" w:hAnsi="Times New Roman" w:cs="Times New Roman"/>
          <w:sz w:val="24"/>
          <w:szCs w:val="24"/>
        </w:rPr>
        <w:t xml:space="preserve"> It is trite that an exception may only be taken when the defect in the pleadings appears </w:t>
      </w:r>
      <w:r w:rsidRPr="00792D79">
        <w:rPr>
          <w:rFonts w:ascii="Times New Roman" w:hAnsi="Times New Roman" w:cs="Times New Roman"/>
          <w:i/>
          <w:sz w:val="24"/>
          <w:szCs w:val="24"/>
        </w:rPr>
        <w:t>ex facie</w:t>
      </w:r>
      <w:r w:rsidRPr="00792D79">
        <w:rPr>
          <w:rFonts w:ascii="Times New Roman" w:hAnsi="Times New Roman" w:cs="Times New Roman"/>
          <w:sz w:val="24"/>
          <w:szCs w:val="24"/>
        </w:rPr>
        <w:t xml:space="preserve"> the pleading, since no facts may be adduced to show that the pleading is excipiable.  </w:t>
      </w:r>
      <w:r w:rsidR="00EC1579">
        <w:rPr>
          <w:rFonts w:ascii="Times New Roman" w:hAnsi="Times New Roman" w:cs="Times New Roman"/>
          <w:sz w:val="24"/>
          <w:szCs w:val="24"/>
        </w:rPr>
        <w:t xml:space="preserve">In other words, in determining whether a pleading is exceptionable the court looks to that pleading alone. See </w:t>
      </w:r>
      <w:r w:rsidR="00EC1579" w:rsidRPr="00EC1579">
        <w:rPr>
          <w:rFonts w:ascii="Times New Roman" w:hAnsi="Times New Roman" w:cs="Times New Roman"/>
          <w:i/>
          <w:iCs/>
          <w:sz w:val="24"/>
          <w:szCs w:val="24"/>
        </w:rPr>
        <w:t xml:space="preserve">Hickey v DMC Holdings (Pvt) Ltd and Others </w:t>
      </w:r>
      <w:r w:rsidR="00EC1579">
        <w:rPr>
          <w:rFonts w:ascii="Times New Roman" w:hAnsi="Times New Roman" w:cs="Times New Roman"/>
          <w:sz w:val="24"/>
          <w:szCs w:val="24"/>
        </w:rPr>
        <w:t xml:space="preserve">HH-137-17. In </w:t>
      </w:r>
      <w:r w:rsidR="00EC1579" w:rsidRPr="00CE01D5">
        <w:rPr>
          <w:rFonts w:ascii="Times New Roman" w:hAnsi="Times New Roman" w:cs="Times New Roman"/>
          <w:i/>
          <w:iCs/>
          <w:sz w:val="24"/>
          <w:szCs w:val="24"/>
        </w:rPr>
        <w:t>Streak v Mukuhlani</w:t>
      </w:r>
      <w:r w:rsidR="00EC1579">
        <w:rPr>
          <w:rFonts w:ascii="Times New Roman" w:hAnsi="Times New Roman" w:cs="Times New Roman"/>
          <w:sz w:val="24"/>
          <w:szCs w:val="24"/>
        </w:rPr>
        <w:t xml:space="preserve"> 2018 (2) ZLR 628 (H) </w:t>
      </w:r>
      <w:r w:rsidR="00CE01D5">
        <w:rPr>
          <w:rFonts w:ascii="Times New Roman" w:hAnsi="Times New Roman" w:cs="Times New Roman"/>
          <w:sz w:val="24"/>
          <w:szCs w:val="24"/>
        </w:rPr>
        <w:t xml:space="preserve">the court said in dealing with matters of exception, if evidence can be led which could disclose a cause of action alleged in the pleadings, that particular pleading is not excipiable. A pleading is only excipiable on the basis that no possible evidence led on the pleading can disclose a cause of action. </w:t>
      </w:r>
    </w:p>
    <w:p w14:paraId="4ADD7D90" w14:textId="057F6453" w:rsidR="00B173B5" w:rsidRDefault="00CE01D5" w:rsidP="00B173B5">
      <w:pPr>
        <w:rPr>
          <w:rFonts w:ascii="Times New Roman" w:hAnsi="Times New Roman" w:cs="Times New Roman"/>
          <w:sz w:val="24"/>
          <w:szCs w:val="24"/>
        </w:rPr>
      </w:pPr>
      <w:r>
        <w:rPr>
          <w:rFonts w:ascii="Times New Roman" w:hAnsi="Times New Roman" w:cs="Times New Roman"/>
          <w:sz w:val="24"/>
          <w:szCs w:val="24"/>
        </w:rPr>
        <w:t>[22]</w:t>
      </w:r>
      <w:r w:rsidR="00893C90">
        <w:rPr>
          <w:rFonts w:ascii="Times New Roman" w:hAnsi="Times New Roman" w:cs="Times New Roman"/>
          <w:sz w:val="24"/>
          <w:szCs w:val="24"/>
        </w:rPr>
        <w:tab/>
      </w:r>
      <w:r>
        <w:rPr>
          <w:rFonts w:ascii="Times New Roman" w:hAnsi="Times New Roman" w:cs="Times New Roman"/>
          <w:sz w:val="24"/>
          <w:szCs w:val="24"/>
        </w:rPr>
        <w:t xml:space="preserve"> </w:t>
      </w:r>
      <w:r w:rsidR="00B173B5">
        <w:rPr>
          <w:rFonts w:ascii="Times New Roman" w:hAnsi="Times New Roman" w:cs="Times New Roman"/>
          <w:sz w:val="24"/>
          <w:szCs w:val="24"/>
        </w:rPr>
        <w:t xml:space="preserve">In </w:t>
      </w:r>
      <w:r w:rsidR="00B173B5" w:rsidRPr="00B173B5">
        <w:rPr>
          <w:rFonts w:ascii="Times New Roman" w:hAnsi="Times New Roman" w:cs="Times New Roman"/>
          <w:i/>
          <w:iCs/>
          <w:sz w:val="24"/>
          <w:szCs w:val="24"/>
        </w:rPr>
        <w:t>casu</w:t>
      </w:r>
      <w:r w:rsidR="00D06307">
        <w:rPr>
          <w:rFonts w:ascii="Times New Roman" w:hAnsi="Times New Roman" w:cs="Times New Roman"/>
          <w:i/>
          <w:iCs/>
          <w:sz w:val="24"/>
          <w:szCs w:val="24"/>
        </w:rPr>
        <w:t>,</w:t>
      </w:r>
      <w:r w:rsidR="00B173B5">
        <w:rPr>
          <w:rFonts w:ascii="Times New Roman" w:hAnsi="Times New Roman" w:cs="Times New Roman"/>
          <w:sz w:val="24"/>
          <w:szCs w:val="24"/>
        </w:rPr>
        <w:t xml:space="preserve"> the basis of the exception is that no basis has been laid out for the United States dollars </w:t>
      </w:r>
      <w:r w:rsidR="00D06307">
        <w:rPr>
          <w:rFonts w:ascii="Times New Roman" w:hAnsi="Times New Roman" w:cs="Times New Roman"/>
          <w:sz w:val="24"/>
          <w:szCs w:val="24"/>
        </w:rPr>
        <w:t xml:space="preserve">damages </w:t>
      </w:r>
      <w:r w:rsidR="00B173B5">
        <w:rPr>
          <w:rFonts w:ascii="Times New Roman" w:hAnsi="Times New Roman" w:cs="Times New Roman"/>
          <w:sz w:val="24"/>
          <w:szCs w:val="24"/>
        </w:rPr>
        <w:t>of US</w:t>
      </w:r>
      <w:r w:rsidR="00483CED">
        <w:rPr>
          <w:rFonts w:ascii="Times New Roman" w:hAnsi="Times New Roman" w:cs="Times New Roman"/>
          <w:sz w:val="24"/>
          <w:szCs w:val="24"/>
        </w:rPr>
        <w:t>$</w:t>
      </w:r>
      <w:r w:rsidR="00B173B5">
        <w:rPr>
          <w:rFonts w:ascii="Times New Roman" w:hAnsi="Times New Roman" w:cs="Times New Roman"/>
          <w:sz w:val="24"/>
          <w:szCs w:val="24"/>
        </w:rPr>
        <w:t xml:space="preserve">25 000.00 in respect of a debased and non-existent currency that was used in 2002 when the parties entered into the sale agreements. This exception has no merit </w:t>
      </w:r>
      <w:r w:rsidR="00B173B5">
        <w:rPr>
          <w:rFonts w:ascii="Times New Roman" w:hAnsi="Times New Roman" w:cs="Times New Roman"/>
          <w:sz w:val="24"/>
          <w:szCs w:val="24"/>
        </w:rPr>
        <w:lastRenderedPageBreak/>
        <w:t>because it cannot defeat the main claim which is for specific performance, i.e., transfer of the stands into the name of the plaintiffs. In respect of the alternative claim for damages, the currency used in the agreements of sale is of no relevancy. The plaintiffs are contending that they suffered loss in the amounts of the values of the stands, which is USD$25 000.00</w:t>
      </w:r>
      <w:r w:rsidR="00483CED">
        <w:rPr>
          <w:rFonts w:ascii="Times New Roman" w:hAnsi="Times New Roman" w:cs="Times New Roman"/>
          <w:sz w:val="24"/>
          <w:szCs w:val="24"/>
        </w:rPr>
        <w:t xml:space="preserve">, </w:t>
      </w:r>
      <w:r w:rsidR="00B173B5">
        <w:rPr>
          <w:rFonts w:ascii="Times New Roman" w:hAnsi="Times New Roman" w:cs="Times New Roman"/>
          <w:sz w:val="24"/>
          <w:szCs w:val="24"/>
        </w:rPr>
        <w:t xml:space="preserve">it cannot be said that the claim for damages is vague and embarrassing. </w:t>
      </w:r>
      <w:r>
        <w:rPr>
          <w:rFonts w:ascii="Times New Roman" w:hAnsi="Times New Roman" w:cs="Times New Roman"/>
          <w:sz w:val="24"/>
          <w:szCs w:val="24"/>
        </w:rPr>
        <w:t xml:space="preserve">They will adduce evidence to prove their damages. </w:t>
      </w:r>
      <w:r w:rsidR="00B173B5">
        <w:rPr>
          <w:rFonts w:ascii="Times New Roman" w:hAnsi="Times New Roman" w:cs="Times New Roman"/>
          <w:sz w:val="24"/>
          <w:szCs w:val="24"/>
        </w:rPr>
        <w:t xml:space="preserve">This exception cannot succeed. </w:t>
      </w:r>
      <w:r>
        <w:rPr>
          <w:rFonts w:ascii="Times New Roman" w:hAnsi="Times New Roman" w:cs="Times New Roman"/>
          <w:sz w:val="24"/>
          <w:szCs w:val="24"/>
        </w:rPr>
        <w:t xml:space="preserve">See </w:t>
      </w:r>
      <w:r w:rsidRPr="00CE01D5">
        <w:rPr>
          <w:rFonts w:ascii="Times New Roman" w:hAnsi="Times New Roman" w:cs="Times New Roman"/>
          <w:i/>
          <w:iCs/>
          <w:sz w:val="24"/>
          <w:szCs w:val="24"/>
        </w:rPr>
        <w:t xml:space="preserve">Kahn v Stuart &amp; Ors </w:t>
      </w:r>
      <w:r>
        <w:rPr>
          <w:rFonts w:ascii="Times New Roman" w:hAnsi="Times New Roman" w:cs="Times New Roman"/>
          <w:sz w:val="24"/>
          <w:szCs w:val="24"/>
        </w:rPr>
        <w:t xml:space="preserve">1942 CPD 386 at 391-392. </w:t>
      </w:r>
    </w:p>
    <w:p w14:paraId="75919B6D" w14:textId="78BD8836" w:rsidR="00CE01D5" w:rsidRPr="00CE01D5" w:rsidRDefault="00CE01D5" w:rsidP="00B173B5">
      <w:pPr>
        <w:rPr>
          <w:rFonts w:ascii="Times New Roman" w:hAnsi="Times New Roman" w:cs="Times New Roman"/>
          <w:b/>
          <w:bCs/>
          <w:sz w:val="24"/>
          <w:szCs w:val="24"/>
          <w:u w:val="single"/>
        </w:rPr>
      </w:pPr>
      <w:r w:rsidRPr="00CE01D5">
        <w:rPr>
          <w:rFonts w:ascii="Times New Roman" w:hAnsi="Times New Roman" w:cs="Times New Roman"/>
          <w:b/>
          <w:bCs/>
          <w:sz w:val="24"/>
          <w:szCs w:val="24"/>
          <w:u w:val="single"/>
        </w:rPr>
        <w:t>COSTS</w:t>
      </w:r>
    </w:p>
    <w:p w14:paraId="1CCCD040" w14:textId="03387B9F" w:rsidR="00896230" w:rsidRDefault="00580383" w:rsidP="00896230">
      <w:pPr>
        <w:rPr>
          <w:rFonts w:ascii="Times New Roman" w:hAnsi="Times New Roman" w:cs="Times New Roman"/>
          <w:sz w:val="24"/>
          <w:szCs w:val="24"/>
        </w:rPr>
      </w:pPr>
      <w:r w:rsidRPr="00580383">
        <w:rPr>
          <w:rFonts w:ascii="Times New Roman" w:hAnsi="Times New Roman" w:cs="Times New Roman"/>
          <w:sz w:val="24"/>
          <w:szCs w:val="24"/>
        </w:rPr>
        <w:t>[</w:t>
      </w:r>
      <w:r w:rsidR="00E72517">
        <w:rPr>
          <w:rFonts w:ascii="Times New Roman" w:hAnsi="Times New Roman" w:cs="Times New Roman"/>
          <w:sz w:val="24"/>
          <w:szCs w:val="24"/>
        </w:rPr>
        <w:t>2</w:t>
      </w:r>
      <w:r w:rsidR="00CE01D5">
        <w:rPr>
          <w:rFonts w:ascii="Times New Roman" w:hAnsi="Times New Roman" w:cs="Times New Roman"/>
          <w:sz w:val="24"/>
          <w:szCs w:val="24"/>
        </w:rPr>
        <w:t>3</w:t>
      </w:r>
      <w:r w:rsidRPr="00580383">
        <w:rPr>
          <w:rFonts w:ascii="Times New Roman" w:hAnsi="Times New Roman" w:cs="Times New Roman"/>
          <w:sz w:val="24"/>
          <w:szCs w:val="24"/>
        </w:rPr>
        <w:t>]</w:t>
      </w:r>
      <w:r w:rsidR="00893C90">
        <w:rPr>
          <w:rFonts w:ascii="Times New Roman" w:hAnsi="Times New Roman" w:cs="Times New Roman"/>
          <w:sz w:val="24"/>
          <w:szCs w:val="24"/>
        </w:rPr>
        <w:tab/>
      </w:r>
      <w:r w:rsidRPr="00580383">
        <w:rPr>
          <w:rFonts w:ascii="Times New Roman" w:hAnsi="Times New Roman" w:cs="Times New Roman"/>
          <w:sz w:val="24"/>
          <w:szCs w:val="24"/>
        </w:rPr>
        <w:t xml:space="preserve"> </w:t>
      </w:r>
      <w:r w:rsidR="00896230" w:rsidRPr="00580383">
        <w:rPr>
          <w:rFonts w:ascii="Times New Roman" w:hAnsi="Times New Roman" w:cs="Times New Roman"/>
          <w:sz w:val="24"/>
          <w:szCs w:val="24"/>
        </w:rPr>
        <w:t>The general rule in matters of costs is that the successful party should be given its costs, and this rule should not be departed from except where there are good grounds for doing so. I can think of no reason why I should deviate from this general rule. Plaintiff sought costs on a legal practitioner and client scale. No case has been made for such an order of costs.</w:t>
      </w:r>
      <w:r>
        <w:rPr>
          <w:rFonts w:ascii="Times New Roman" w:hAnsi="Times New Roman" w:cs="Times New Roman"/>
          <w:sz w:val="24"/>
          <w:szCs w:val="24"/>
        </w:rPr>
        <w:t xml:space="preserve"> See </w:t>
      </w:r>
      <w:r w:rsidR="00CC2DB0" w:rsidRPr="00CC2DB0">
        <w:rPr>
          <w:rFonts w:ascii="Times New Roman" w:hAnsi="Times New Roman" w:cs="Times New Roman"/>
          <w:i/>
          <w:iCs/>
          <w:sz w:val="24"/>
          <w:szCs w:val="24"/>
        </w:rPr>
        <w:t>Kangai v Netone Cellular (Pvt) L</w:t>
      </w:r>
      <w:r w:rsidR="00CC2DB0">
        <w:rPr>
          <w:rFonts w:ascii="Times New Roman" w:hAnsi="Times New Roman" w:cs="Times New Roman"/>
          <w:i/>
          <w:iCs/>
          <w:sz w:val="24"/>
          <w:szCs w:val="24"/>
        </w:rPr>
        <w:t>td</w:t>
      </w:r>
      <w:r w:rsidR="00CC2DB0" w:rsidRPr="00CC2DB0">
        <w:rPr>
          <w:rFonts w:ascii="Times New Roman" w:hAnsi="Times New Roman" w:cs="Times New Roman"/>
          <w:i/>
          <w:iCs/>
          <w:sz w:val="24"/>
          <w:szCs w:val="24"/>
        </w:rPr>
        <w:t xml:space="preserve"> </w:t>
      </w:r>
      <w:r w:rsidR="00CC2DB0">
        <w:rPr>
          <w:rFonts w:ascii="Times New Roman" w:hAnsi="Times New Roman" w:cs="Times New Roman"/>
          <w:sz w:val="24"/>
          <w:szCs w:val="24"/>
        </w:rPr>
        <w:t xml:space="preserve">2020 (1) ZLR 660 (H). </w:t>
      </w:r>
      <w:r>
        <w:rPr>
          <w:rFonts w:ascii="Times New Roman" w:hAnsi="Times New Roman" w:cs="Times New Roman"/>
          <w:sz w:val="24"/>
          <w:szCs w:val="24"/>
        </w:rPr>
        <w:t xml:space="preserve"> </w:t>
      </w:r>
      <w:r w:rsidR="00896230" w:rsidRPr="00580383">
        <w:rPr>
          <w:rFonts w:ascii="Times New Roman" w:hAnsi="Times New Roman" w:cs="Times New Roman"/>
          <w:sz w:val="24"/>
          <w:szCs w:val="24"/>
        </w:rPr>
        <w:t>I therefore intend awarding costs against the defendant</w:t>
      </w:r>
      <w:r>
        <w:rPr>
          <w:rFonts w:ascii="Times New Roman" w:hAnsi="Times New Roman" w:cs="Times New Roman"/>
          <w:sz w:val="24"/>
          <w:szCs w:val="24"/>
        </w:rPr>
        <w:t xml:space="preserve"> </w:t>
      </w:r>
      <w:r w:rsidR="00896230" w:rsidRPr="00580383">
        <w:rPr>
          <w:rFonts w:ascii="Times New Roman" w:hAnsi="Times New Roman" w:cs="Times New Roman"/>
          <w:sz w:val="24"/>
          <w:szCs w:val="24"/>
        </w:rPr>
        <w:t xml:space="preserve">on a party and party scale. </w:t>
      </w:r>
    </w:p>
    <w:p w14:paraId="1AF24132" w14:textId="77777777" w:rsidR="00580383" w:rsidRPr="00580383" w:rsidRDefault="00580383" w:rsidP="00896230">
      <w:pPr>
        <w:rPr>
          <w:rFonts w:ascii="Times New Roman" w:hAnsi="Times New Roman" w:cs="Times New Roman"/>
          <w:sz w:val="24"/>
          <w:szCs w:val="24"/>
        </w:rPr>
      </w:pPr>
    </w:p>
    <w:p w14:paraId="5C0137DF" w14:textId="3AAE92CD" w:rsidR="00896230" w:rsidRDefault="00896230" w:rsidP="00896230">
      <w:pPr>
        <w:rPr>
          <w:rFonts w:ascii="Times New Roman" w:hAnsi="Times New Roman" w:cs="Times New Roman"/>
          <w:sz w:val="24"/>
          <w:szCs w:val="24"/>
        </w:rPr>
      </w:pPr>
      <w:r w:rsidRPr="00893C90">
        <w:rPr>
          <w:rFonts w:ascii="Times New Roman" w:hAnsi="Times New Roman" w:cs="Times New Roman"/>
          <w:b/>
          <w:sz w:val="24"/>
          <w:szCs w:val="24"/>
        </w:rPr>
        <w:t>In the result</w:t>
      </w:r>
      <w:r w:rsidR="009A5A27">
        <w:rPr>
          <w:rFonts w:ascii="Times New Roman" w:hAnsi="Times New Roman" w:cs="Times New Roman"/>
          <w:sz w:val="24"/>
          <w:szCs w:val="24"/>
        </w:rPr>
        <w:t>,</w:t>
      </w:r>
      <w:r w:rsidRPr="00580383">
        <w:rPr>
          <w:rFonts w:ascii="Times New Roman" w:hAnsi="Times New Roman" w:cs="Times New Roman"/>
          <w:sz w:val="24"/>
          <w:szCs w:val="24"/>
        </w:rPr>
        <w:t xml:space="preserve"> the </w:t>
      </w:r>
      <w:r w:rsidR="00DE7C00">
        <w:rPr>
          <w:rFonts w:ascii="Times New Roman" w:hAnsi="Times New Roman" w:cs="Times New Roman"/>
          <w:sz w:val="24"/>
          <w:szCs w:val="24"/>
        </w:rPr>
        <w:t xml:space="preserve">special </w:t>
      </w:r>
      <w:r w:rsidRPr="00580383">
        <w:rPr>
          <w:rFonts w:ascii="Times New Roman" w:hAnsi="Times New Roman" w:cs="Times New Roman"/>
          <w:sz w:val="24"/>
          <w:szCs w:val="24"/>
        </w:rPr>
        <w:t>pl</w:t>
      </w:r>
      <w:r w:rsidR="00580383">
        <w:rPr>
          <w:rFonts w:ascii="Times New Roman" w:hAnsi="Times New Roman" w:cs="Times New Roman"/>
          <w:sz w:val="24"/>
          <w:szCs w:val="24"/>
        </w:rPr>
        <w:t xml:space="preserve">ea of prescription </w:t>
      </w:r>
      <w:r w:rsidR="00483CED">
        <w:rPr>
          <w:rFonts w:ascii="Times New Roman" w:hAnsi="Times New Roman" w:cs="Times New Roman"/>
          <w:sz w:val="24"/>
          <w:szCs w:val="24"/>
        </w:rPr>
        <w:t>and the exception are</w:t>
      </w:r>
      <w:r w:rsidRPr="00580383">
        <w:rPr>
          <w:rFonts w:ascii="Times New Roman" w:hAnsi="Times New Roman" w:cs="Times New Roman"/>
          <w:sz w:val="24"/>
          <w:szCs w:val="24"/>
        </w:rPr>
        <w:t xml:space="preserve"> dismissed with costs on a party and party scale.</w:t>
      </w:r>
    </w:p>
    <w:p w14:paraId="0B0CAEE8" w14:textId="77777777" w:rsidR="00580383" w:rsidRDefault="00580383" w:rsidP="00896230">
      <w:pPr>
        <w:rPr>
          <w:rFonts w:ascii="Times New Roman" w:hAnsi="Times New Roman" w:cs="Times New Roman"/>
          <w:sz w:val="24"/>
          <w:szCs w:val="24"/>
        </w:rPr>
      </w:pPr>
    </w:p>
    <w:p w14:paraId="6C70628C" w14:textId="77777777" w:rsidR="00565BD1" w:rsidRDefault="00565BD1" w:rsidP="00896230">
      <w:pPr>
        <w:rPr>
          <w:rFonts w:ascii="Times New Roman" w:hAnsi="Times New Roman" w:cs="Times New Roman"/>
          <w:sz w:val="24"/>
          <w:szCs w:val="24"/>
        </w:rPr>
      </w:pPr>
    </w:p>
    <w:p w14:paraId="397D3860" w14:textId="77777777" w:rsidR="00565BD1" w:rsidRDefault="00565BD1" w:rsidP="00896230">
      <w:pPr>
        <w:rPr>
          <w:rFonts w:ascii="Times New Roman" w:hAnsi="Times New Roman" w:cs="Times New Roman"/>
          <w:sz w:val="24"/>
          <w:szCs w:val="24"/>
        </w:rPr>
      </w:pPr>
    </w:p>
    <w:p w14:paraId="61DBC464" w14:textId="46ED69C4" w:rsidR="00580383" w:rsidRDefault="00580383" w:rsidP="00580383">
      <w:pPr>
        <w:spacing w:line="276" w:lineRule="auto"/>
        <w:rPr>
          <w:rFonts w:ascii="Times New Roman" w:hAnsi="Times New Roman" w:cs="Times New Roman"/>
          <w:sz w:val="24"/>
          <w:szCs w:val="24"/>
        </w:rPr>
      </w:pPr>
      <w:r w:rsidRPr="00580383">
        <w:rPr>
          <w:rFonts w:ascii="Times New Roman" w:hAnsi="Times New Roman" w:cs="Times New Roman"/>
          <w:i/>
          <w:iCs/>
          <w:sz w:val="24"/>
          <w:szCs w:val="24"/>
        </w:rPr>
        <w:t>Kwenda and Chagwiza,</w:t>
      </w:r>
      <w:r>
        <w:rPr>
          <w:rFonts w:ascii="Times New Roman" w:hAnsi="Times New Roman" w:cs="Times New Roman"/>
          <w:sz w:val="24"/>
          <w:szCs w:val="24"/>
        </w:rPr>
        <w:t xml:space="preserve"> plaintiffs’ legal practitioners </w:t>
      </w:r>
    </w:p>
    <w:p w14:paraId="5D096783" w14:textId="5D77DB09" w:rsidR="00580383" w:rsidRDefault="00580383" w:rsidP="00580383">
      <w:pPr>
        <w:spacing w:line="276" w:lineRule="auto"/>
        <w:rPr>
          <w:rFonts w:ascii="Times New Roman" w:hAnsi="Times New Roman" w:cs="Times New Roman"/>
          <w:sz w:val="24"/>
          <w:szCs w:val="24"/>
        </w:rPr>
      </w:pPr>
      <w:r w:rsidRPr="00580383">
        <w:rPr>
          <w:rFonts w:ascii="Times New Roman" w:hAnsi="Times New Roman" w:cs="Times New Roman"/>
          <w:i/>
          <w:iCs/>
          <w:sz w:val="24"/>
          <w:szCs w:val="24"/>
        </w:rPr>
        <w:t>Mapaya and Partners</w:t>
      </w:r>
      <w:r>
        <w:rPr>
          <w:rFonts w:ascii="Times New Roman" w:hAnsi="Times New Roman" w:cs="Times New Roman"/>
          <w:sz w:val="24"/>
          <w:szCs w:val="24"/>
        </w:rPr>
        <w:t xml:space="preserve">, defendant’s legal practitioners </w:t>
      </w:r>
    </w:p>
    <w:p w14:paraId="0E964BBA" w14:textId="77777777" w:rsidR="00580383" w:rsidRPr="00580383" w:rsidRDefault="00580383" w:rsidP="00580383">
      <w:pPr>
        <w:spacing w:line="276" w:lineRule="auto"/>
        <w:rPr>
          <w:rFonts w:ascii="Times New Roman" w:hAnsi="Times New Roman" w:cs="Times New Roman"/>
          <w:sz w:val="24"/>
          <w:szCs w:val="24"/>
          <w:lang w:val="en-US"/>
        </w:rPr>
      </w:pPr>
    </w:p>
    <w:sectPr w:rsidR="00580383" w:rsidRPr="0058038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4CE06" w14:textId="77777777" w:rsidR="006F641A" w:rsidRDefault="006F641A" w:rsidP="00A97759">
      <w:pPr>
        <w:spacing w:line="240" w:lineRule="auto"/>
      </w:pPr>
      <w:r>
        <w:separator/>
      </w:r>
    </w:p>
  </w:endnote>
  <w:endnote w:type="continuationSeparator" w:id="0">
    <w:p w14:paraId="263D3C26" w14:textId="77777777" w:rsidR="006F641A" w:rsidRDefault="006F641A" w:rsidP="00A977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1672E" w14:textId="77777777" w:rsidR="006F641A" w:rsidRDefault="006F641A" w:rsidP="00A97759">
      <w:pPr>
        <w:spacing w:line="240" w:lineRule="auto"/>
      </w:pPr>
      <w:r>
        <w:separator/>
      </w:r>
    </w:p>
  </w:footnote>
  <w:footnote w:type="continuationSeparator" w:id="0">
    <w:p w14:paraId="23C2D9E9" w14:textId="77777777" w:rsidR="006F641A" w:rsidRDefault="006F641A" w:rsidP="00A977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2EDFF" w14:textId="2F5E0C71" w:rsidR="00F20D38" w:rsidRDefault="00F20D38">
    <w:pPr>
      <w:pStyle w:val="Header"/>
    </w:pPr>
    <w:r>
      <w:tab/>
    </w:r>
    <w:r>
      <w:tab/>
    </w:r>
    <w:sdt>
      <w:sdtPr>
        <w:id w:val="-199895004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20BB7">
          <w:rPr>
            <w:noProof/>
          </w:rPr>
          <w:t>1</w:t>
        </w:r>
        <w:r>
          <w:rPr>
            <w:noProof/>
          </w:rPr>
          <w:fldChar w:fldCharType="end"/>
        </w:r>
      </w:sdtContent>
    </w:sdt>
  </w:p>
  <w:p w14:paraId="14F435AC" w14:textId="26ED0443" w:rsidR="00F96227" w:rsidRDefault="00F96227">
    <w:pPr>
      <w:pStyle w:val="Header"/>
    </w:pPr>
    <w:r>
      <w:tab/>
    </w:r>
    <w:r>
      <w:tab/>
    </w:r>
    <w:r w:rsidR="00BA7475">
      <w:t>HH 558</w:t>
    </w:r>
    <w:r>
      <w:t>-24</w:t>
    </w:r>
  </w:p>
  <w:p w14:paraId="0A069EF4" w14:textId="4280A25D" w:rsidR="00F20D38" w:rsidRDefault="00F96227">
    <w:pPr>
      <w:pStyle w:val="Header"/>
    </w:pPr>
    <w:r>
      <w:tab/>
    </w:r>
    <w:r>
      <w:tab/>
    </w:r>
    <w:r w:rsidR="00F20D38">
      <w:t>HCH 2265/21</w:t>
    </w:r>
  </w:p>
  <w:p w14:paraId="5109BBFC" w14:textId="7F01FAC8" w:rsidR="009872DD" w:rsidRDefault="009872DD">
    <w:pPr>
      <w:pStyle w:val="Header"/>
    </w:pPr>
    <w:r>
      <w:t xml:space="preserve">                                                                                                                                                             HCH 5759/20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53DA"/>
    <w:multiLevelType w:val="hybridMultilevel"/>
    <w:tmpl w:val="AB36B774"/>
    <w:lvl w:ilvl="0" w:tplc="09FC8C5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50D4ECA"/>
    <w:multiLevelType w:val="hybridMultilevel"/>
    <w:tmpl w:val="0F081298"/>
    <w:lvl w:ilvl="0" w:tplc="FFFFFFFF">
      <w:start w:val="1"/>
      <w:numFmt w:val="low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 w15:restartNumberingAfterBreak="0">
    <w:nsid w:val="5E036499"/>
    <w:multiLevelType w:val="hybridMultilevel"/>
    <w:tmpl w:val="0F081298"/>
    <w:lvl w:ilvl="0" w:tplc="3009001B">
      <w:start w:val="1"/>
      <w:numFmt w:val="lowerRoman"/>
      <w:lvlText w:val="%1."/>
      <w:lvlJc w:val="righ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3" w15:restartNumberingAfterBreak="0">
    <w:nsid w:val="69245592"/>
    <w:multiLevelType w:val="hybridMultilevel"/>
    <w:tmpl w:val="3EFA6850"/>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446"/>
    <w:rsid w:val="000C1D19"/>
    <w:rsid w:val="000C487F"/>
    <w:rsid w:val="000E3DF0"/>
    <w:rsid w:val="00190F8A"/>
    <w:rsid w:val="00197BC3"/>
    <w:rsid w:val="00274446"/>
    <w:rsid w:val="00275857"/>
    <w:rsid w:val="00280941"/>
    <w:rsid w:val="002859AD"/>
    <w:rsid w:val="002E70FA"/>
    <w:rsid w:val="00375E85"/>
    <w:rsid w:val="003A341D"/>
    <w:rsid w:val="00445285"/>
    <w:rsid w:val="00483CED"/>
    <w:rsid w:val="004D4DE6"/>
    <w:rsid w:val="0050263D"/>
    <w:rsid w:val="00537816"/>
    <w:rsid w:val="0054400C"/>
    <w:rsid w:val="00565BD1"/>
    <w:rsid w:val="00580383"/>
    <w:rsid w:val="005D3754"/>
    <w:rsid w:val="006E2DAC"/>
    <w:rsid w:val="006F641A"/>
    <w:rsid w:val="0070336A"/>
    <w:rsid w:val="00734B27"/>
    <w:rsid w:val="0074130C"/>
    <w:rsid w:val="00792D79"/>
    <w:rsid w:val="00795C3F"/>
    <w:rsid w:val="00893C90"/>
    <w:rsid w:val="00893E83"/>
    <w:rsid w:val="00896230"/>
    <w:rsid w:val="00896423"/>
    <w:rsid w:val="008E7859"/>
    <w:rsid w:val="009007ED"/>
    <w:rsid w:val="00903540"/>
    <w:rsid w:val="009728C4"/>
    <w:rsid w:val="00975E28"/>
    <w:rsid w:val="0098050C"/>
    <w:rsid w:val="009872DD"/>
    <w:rsid w:val="009A2F3B"/>
    <w:rsid w:val="009A5A27"/>
    <w:rsid w:val="009F0CE3"/>
    <w:rsid w:val="00A03784"/>
    <w:rsid w:val="00A20BB7"/>
    <w:rsid w:val="00A4588F"/>
    <w:rsid w:val="00A832B0"/>
    <w:rsid w:val="00A97759"/>
    <w:rsid w:val="00AF7F8E"/>
    <w:rsid w:val="00B173B5"/>
    <w:rsid w:val="00B33C6C"/>
    <w:rsid w:val="00B46B28"/>
    <w:rsid w:val="00B9237C"/>
    <w:rsid w:val="00B939A0"/>
    <w:rsid w:val="00BA101B"/>
    <w:rsid w:val="00BA7475"/>
    <w:rsid w:val="00CC2DB0"/>
    <w:rsid w:val="00CD4073"/>
    <w:rsid w:val="00CE01D5"/>
    <w:rsid w:val="00D06307"/>
    <w:rsid w:val="00D81E9C"/>
    <w:rsid w:val="00D91F7E"/>
    <w:rsid w:val="00DB2713"/>
    <w:rsid w:val="00DC0DBC"/>
    <w:rsid w:val="00DE7C00"/>
    <w:rsid w:val="00E0473C"/>
    <w:rsid w:val="00E163DC"/>
    <w:rsid w:val="00E21146"/>
    <w:rsid w:val="00E72517"/>
    <w:rsid w:val="00E85DFF"/>
    <w:rsid w:val="00EC1579"/>
    <w:rsid w:val="00EC2D5C"/>
    <w:rsid w:val="00EE4CCB"/>
    <w:rsid w:val="00F20D38"/>
    <w:rsid w:val="00F32564"/>
    <w:rsid w:val="00F35BF2"/>
    <w:rsid w:val="00F37490"/>
    <w:rsid w:val="00F87DE8"/>
    <w:rsid w:val="00F96227"/>
    <w:rsid w:val="00FD7FB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39D2"/>
  <w15:chartTrackingRefBased/>
  <w15:docId w15:val="{8271313A-E724-4641-B71F-33FF0721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383"/>
    <w:pPr>
      <w:ind w:left="720"/>
      <w:contextualSpacing/>
    </w:pPr>
  </w:style>
  <w:style w:type="paragraph" w:styleId="NoSpacing">
    <w:name w:val="No Spacing"/>
    <w:uiPriority w:val="1"/>
    <w:qFormat/>
    <w:rsid w:val="00580383"/>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FootnoteText">
    <w:name w:val="footnote text"/>
    <w:basedOn w:val="Normal"/>
    <w:link w:val="FootnoteTextChar"/>
    <w:uiPriority w:val="99"/>
    <w:semiHidden/>
    <w:unhideWhenUsed/>
    <w:rsid w:val="00A97759"/>
    <w:pPr>
      <w:spacing w:line="240" w:lineRule="auto"/>
      <w:jc w:val="left"/>
    </w:pPr>
    <w:rPr>
      <w:rFonts w:eastAsia="Times New Roman" w:cs="Times New Roman"/>
      <w:kern w:val="0"/>
      <w:sz w:val="20"/>
      <w:szCs w:val="20"/>
      <w:lang w:val="en-ZA"/>
      <w14:ligatures w14:val="none"/>
    </w:rPr>
  </w:style>
  <w:style w:type="character" w:customStyle="1" w:styleId="FootnoteTextChar">
    <w:name w:val="Footnote Text Char"/>
    <w:basedOn w:val="DefaultParagraphFont"/>
    <w:link w:val="FootnoteText"/>
    <w:uiPriority w:val="99"/>
    <w:semiHidden/>
    <w:rsid w:val="00A97759"/>
    <w:rPr>
      <w:rFonts w:eastAsia="Times New Roman" w:cs="Times New Roman"/>
      <w:kern w:val="0"/>
      <w:sz w:val="20"/>
      <w:szCs w:val="20"/>
      <w:lang w:val="en-ZA"/>
      <w14:ligatures w14:val="none"/>
    </w:rPr>
  </w:style>
  <w:style w:type="character" w:styleId="FootnoteReference">
    <w:name w:val="footnote reference"/>
    <w:basedOn w:val="DefaultParagraphFont"/>
    <w:uiPriority w:val="99"/>
    <w:semiHidden/>
    <w:unhideWhenUsed/>
    <w:rsid w:val="00A97759"/>
    <w:rPr>
      <w:rFonts w:cs="Times New Roman"/>
      <w:vertAlign w:val="superscript"/>
    </w:rPr>
  </w:style>
  <w:style w:type="paragraph" w:styleId="Header">
    <w:name w:val="header"/>
    <w:basedOn w:val="Normal"/>
    <w:link w:val="HeaderChar"/>
    <w:uiPriority w:val="99"/>
    <w:unhideWhenUsed/>
    <w:rsid w:val="00F20D38"/>
    <w:pPr>
      <w:tabs>
        <w:tab w:val="center" w:pos="4680"/>
        <w:tab w:val="right" w:pos="9360"/>
      </w:tabs>
      <w:spacing w:line="240" w:lineRule="auto"/>
    </w:pPr>
  </w:style>
  <w:style w:type="character" w:customStyle="1" w:styleId="HeaderChar">
    <w:name w:val="Header Char"/>
    <w:basedOn w:val="DefaultParagraphFont"/>
    <w:link w:val="Header"/>
    <w:uiPriority w:val="99"/>
    <w:rsid w:val="00F20D38"/>
  </w:style>
  <w:style w:type="paragraph" w:styleId="Footer">
    <w:name w:val="footer"/>
    <w:basedOn w:val="Normal"/>
    <w:link w:val="FooterChar"/>
    <w:uiPriority w:val="99"/>
    <w:unhideWhenUsed/>
    <w:rsid w:val="00F20D38"/>
    <w:pPr>
      <w:tabs>
        <w:tab w:val="center" w:pos="4680"/>
        <w:tab w:val="right" w:pos="9360"/>
      </w:tabs>
      <w:spacing w:line="240" w:lineRule="auto"/>
    </w:pPr>
  </w:style>
  <w:style w:type="character" w:customStyle="1" w:styleId="FooterChar">
    <w:name w:val="Footer Char"/>
    <w:basedOn w:val="DefaultParagraphFont"/>
    <w:link w:val="Footer"/>
    <w:uiPriority w:val="99"/>
    <w:rsid w:val="00F20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dcterms:created xsi:type="dcterms:W3CDTF">2024-11-29T10:18:00Z</dcterms:created>
  <dcterms:modified xsi:type="dcterms:W3CDTF">2024-11-29T10:18:00Z</dcterms:modified>
</cp:coreProperties>
</file>