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7B2C52" w:rsidRDefault="007C7DBF" w:rsidP="007B2C52">
      <w:pPr>
        <w:pStyle w:val="NoSpacing"/>
        <w:jc w:val="both"/>
        <w:rPr>
          <w:b/>
          <w:szCs w:val="24"/>
        </w:rPr>
      </w:pPr>
      <w:r w:rsidRPr="007B2C52">
        <w:rPr>
          <w:b/>
          <w:szCs w:val="24"/>
        </w:rPr>
        <w:t>VILLAGE PROPERTIES (PVT) LTD</w:t>
      </w:r>
    </w:p>
    <w:p w:rsidR="007C7DBF" w:rsidRPr="007B2C52" w:rsidRDefault="007C7DBF" w:rsidP="007B2C52">
      <w:pPr>
        <w:pStyle w:val="NoSpacing"/>
        <w:jc w:val="both"/>
        <w:rPr>
          <w:b/>
          <w:szCs w:val="24"/>
        </w:rPr>
      </w:pPr>
    </w:p>
    <w:p w:rsidR="007C7DBF" w:rsidRPr="007B2C52" w:rsidRDefault="007C7DBF" w:rsidP="007B2C52">
      <w:pPr>
        <w:pStyle w:val="NoSpacing"/>
        <w:jc w:val="both"/>
        <w:rPr>
          <w:b/>
          <w:szCs w:val="24"/>
        </w:rPr>
      </w:pPr>
      <w:r w:rsidRPr="007B2C52">
        <w:rPr>
          <w:b/>
          <w:szCs w:val="24"/>
        </w:rPr>
        <w:t>Versus</w:t>
      </w:r>
    </w:p>
    <w:p w:rsidR="007C7DBF" w:rsidRPr="007B2C52" w:rsidRDefault="007C7DBF" w:rsidP="007B2C52">
      <w:pPr>
        <w:pStyle w:val="NoSpacing"/>
        <w:jc w:val="both"/>
        <w:rPr>
          <w:b/>
          <w:szCs w:val="24"/>
        </w:rPr>
      </w:pPr>
    </w:p>
    <w:p w:rsidR="007C7DBF" w:rsidRPr="007B2C52" w:rsidRDefault="007C7DBF" w:rsidP="007B2C52">
      <w:pPr>
        <w:pStyle w:val="NoSpacing"/>
        <w:jc w:val="both"/>
        <w:rPr>
          <w:b/>
          <w:szCs w:val="24"/>
        </w:rPr>
      </w:pPr>
      <w:r w:rsidRPr="007B2C52">
        <w:rPr>
          <w:b/>
          <w:szCs w:val="24"/>
        </w:rPr>
        <w:t>REGGIE FRANCIS SARUCHERA</w:t>
      </w:r>
    </w:p>
    <w:p w:rsidR="007C7DBF" w:rsidRPr="007B2C52" w:rsidRDefault="007C7DBF" w:rsidP="007B2C52">
      <w:pPr>
        <w:pStyle w:val="NoSpacing"/>
        <w:jc w:val="both"/>
        <w:rPr>
          <w:b/>
          <w:szCs w:val="24"/>
        </w:rPr>
      </w:pPr>
      <w:r w:rsidRPr="007B2C52">
        <w:rPr>
          <w:b/>
          <w:szCs w:val="24"/>
        </w:rPr>
        <w:t>(in his capacity as the Liquidator of the respondent)</w:t>
      </w:r>
    </w:p>
    <w:p w:rsidR="007C7DBF" w:rsidRPr="007B2C52" w:rsidRDefault="007C7DBF" w:rsidP="007B2C52">
      <w:pPr>
        <w:pStyle w:val="NoSpacing"/>
        <w:jc w:val="both"/>
        <w:rPr>
          <w:b/>
          <w:szCs w:val="24"/>
        </w:rPr>
      </w:pPr>
    </w:p>
    <w:p w:rsidR="007C7DBF" w:rsidRPr="007B2C52" w:rsidRDefault="007C7DBF" w:rsidP="007B2C52">
      <w:pPr>
        <w:pStyle w:val="NoSpacing"/>
        <w:jc w:val="both"/>
        <w:rPr>
          <w:b/>
          <w:szCs w:val="24"/>
        </w:rPr>
      </w:pPr>
      <w:r w:rsidRPr="007B2C52">
        <w:rPr>
          <w:b/>
          <w:szCs w:val="24"/>
        </w:rPr>
        <w:t>And</w:t>
      </w:r>
    </w:p>
    <w:p w:rsidR="007C7DBF" w:rsidRPr="007B2C52" w:rsidRDefault="007C7DBF" w:rsidP="007B2C52">
      <w:pPr>
        <w:pStyle w:val="NoSpacing"/>
        <w:jc w:val="both"/>
        <w:rPr>
          <w:b/>
          <w:szCs w:val="24"/>
        </w:rPr>
      </w:pPr>
    </w:p>
    <w:p w:rsidR="007C7DBF" w:rsidRPr="007B2C52" w:rsidRDefault="007C7DBF" w:rsidP="007B2C52">
      <w:pPr>
        <w:pStyle w:val="NoSpacing"/>
        <w:jc w:val="both"/>
        <w:rPr>
          <w:b/>
          <w:szCs w:val="24"/>
        </w:rPr>
      </w:pPr>
      <w:r w:rsidRPr="007B2C52">
        <w:rPr>
          <w:b/>
          <w:szCs w:val="24"/>
        </w:rPr>
        <w:t>J W JAGGERS WHOLESALERS (PVT) LTD (in liquidation)</w:t>
      </w:r>
    </w:p>
    <w:p w:rsidR="007C7DBF" w:rsidRPr="007B2C52" w:rsidRDefault="007C7DBF" w:rsidP="007B2C52">
      <w:pPr>
        <w:pStyle w:val="NoSpacing"/>
        <w:jc w:val="both"/>
        <w:rPr>
          <w:b/>
          <w:szCs w:val="24"/>
        </w:rPr>
      </w:pPr>
    </w:p>
    <w:p w:rsidR="007C7DBF" w:rsidRPr="007B2C52" w:rsidRDefault="007C7DBF" w:rsidP="007B2C52">
      <w:pPr>
        <w:pStyle w:val="NoSpacing"/>
        <w:jc w:val="both"/>
        <w:rPr>
          <w:szCs w:val="24"/>
        </w:rPr>
      </w:pPr>
      <w:r w:rsidRPr="007B2C52">
        <w:rPr>
          <w:szCs w:val="24"/>
        </w:rPr>
        <w:t>IN THE HIGH COURT OF ZIMBABWE</w:t>
      </w:r>
    </w:p>
    <w:p w:rsidR="007C7DBF" w:rsidRPr="007B2C52" w:rsidRDefault="007C7DBF" w:rsidP="007B2C52">
      <w:pPr>
        <w:pStyle w:val="NoSpacing"/>
        <w:jc w:val="both"/>
        <w:rPr>
          <w:szCs w:val="24"/>
        </w:rPr>
      </w:pPr>
      <w:r w:rsidRPr="007B2C52">
        <w:rPr>
          <w:szCs w:val="24"/>
        </w:rPr>
        <w:t>BERE J</w:t>
      </w:r>
    </w:p>
    <w:p w:rsidR="007C7DBF" w:rsidRPr="007B2C52" w:rsidRDefault="007C7DBF" w:rsidP="007B2C52">
      <w:pPr>
        <w:pStyle w:val="NoSpacing"/>
        <w:jc w:val="both"/>
        <w:rPr>
          <w:szCs w:val="24"/>
        </w:rPr>
      </w:pPr>
      <w:r w:rsidRPr="007B2C52">
        <w:rPr>
          <w:szCs w:val="24"/>
        </w:rPr>
        <w:t xml:space="preserve">BULAWAYO 27 JANUARY 2017 &amp; </w:t>
      </w:r>
      <w:r w:rsidR="00571F9A">
        <w:rPr>
          <w:szCs w:val="24"/>
        </w:rPr>
        <w:t>9</w:t>
      </w:r>
      <w:r w:rsidRPr="007B2C52">
        <w:rPr>
          <w:szCs w:val="24"/>
        </w:rPr>
        <w:t xml:space="preserve"> JANUARY 2020</w:t>
      </w:r>
    </w:p>
    <w:p w:rsidR="007C7DBF" w:rsidRPr="007B2C52" w:rsidRDefault="007C7DBF" w:rsidP="007B2C52">
      <w:pPr>
        <w:pStyle w:val="NoSpacing"/>
        <w:jc w:val="both"/>
        <w:rPr>
          <w:szCs w:val="24"/>
        </w:rPr>
      </w:pPr>
    </w:p>
    <w:p w:rsidR="007C7DBF" w:rsidRPr="007B2C52" w:rsidRDefault="007C7DBF" w:rsidP="007B2C52">
      <w:pPr>
        <w:pStyle w:val="NoSpacing"/>
        <w:jc w:val="both"/>
        <w:rPr>
          <w:b/>
          <w:szCs w:val="24"/>
        </w:rPr>
      </w:pPr>
      <w:r w:rsidRPr="007B2C52">
        <w:rPr>
          <w:b/>
          <w:szCs w:val="24"/>
        </w:rPr>
        <w:t>Opposed Application</w:t>
      </w:r>
    </w:p>
    <w:p w:rsidR="007C7DBF" w:rsidRPr="007B2C52" w:rsidRDefault="007C7DBF" w:rsidP="007B2C52">
      <w:pPr>
        <w:pStyle w:val="NoSpacing"/>
        <w:jc w:val="both"/>
        <w:rPr>
          <w:b/>
          <w:szCs w:val="24"/>
        </w:rPr>
      </w:pPr>
    </w:p>
    <w:p w:rsidR="007C7DBF" w:rsidRPr="007B2C52" w:rsidRDefault="007C7DBF" w:rsidP="007B2C52">
      <w:pPr>
        <w:pStyle w:val="NoSpacing"/>
        <w:jc w:val="both"/>
        <w:rPr>
          <w:szCs w:val="24"/>
        </w:rPr>
      </w:pPr>
      <w:r w:rsidRPr="007B2C52">
        <w:rPr>
          <w:i/>
          <w:szCs w:val="24"/>
        </w:rPr>
        <w:t>K. I. Phulu</w:t>
      </w:r>
      <w:r w:rsidRPr="007B2C52">
        <w:rPr>
          <w:szCs w:val="24"/>
        </w:rPr>
        <w:t xml:space="preserve"> for the applicant</w:t>
      </w:r>
    </w:p>
    <w:p w:rsidR="007C7DBF" w:rsidRPr="007B2C52" w:rsidRDefault="00644C39" w:rsidP="007B2C52">
      <w:pPr>
        <w:pStyle w:val="NoSpacing"/>
        <w:jc w:val="both"/>
        <w:rPr>
          <w:szCs w:val="24"/>
        </w:rPr>
      </w:pPr>
      <w:r w:rsidRPr="00644C39">
        <w:rPr>
          <w:i/>
          <w:szCs w:val="24"/>
        </w:rPr>
        <w:t>C. Nhe</w:t>
      </w:r>
      <w:r w:rsidR="007C7DBF" w:rsidRPr="00644C39">
        <w:rPr>
          <w:i/>
          <w:szCs w:val="24"/>
        </w:rPr>
        <w:t xml:space="preserve">mwa </w:t>
      </w:r>
      <w:r w:rsidR="007C7DBF" w:rsidRPr="007B2C52">
        <w:rPr>
          <w:szCs w:val="24"/>
        </w:rPr>
        <w:t>for the respondent</w:t>
      </w:r>
    </w:p>
    <w:p w:rsidR="007C7DBF" w:rsidRPr="007B2C52" w:rsidRDefault="007C7DBF" w:rsidP="007B2C52">
      <w:pPr>
        <w:jc w:val="both"/>
        <w:rPr>
          <w:szCs w:val="24"/>
        </w:rPr>
      </w:pPr>
      <w:r w:rsidRPr="007B2C52">
        <w:rPr>
          <w:b/>
          <w:szCs w:val="24"/>
        </w:rPr>
        <w:tab/>
        <w:t>BERE J:</w:t>
      </w:r>
      <w:r w:rsidRPr="007B2C52">
        <w:rPr>
          <w:b/>
          <w:szCs w:val="24"/>
        </w:rPr>
        <w:tab/>
      </w:r>
      <w:r w:rsidRPr="007B2C52">
        <w:rPr>
          <w:szCs w:val="24"/>
        </w:rPr>
        <w:t>This is an application for leave to sue a company in liquidation brought under section 213 of the Companies Act [Chapter 24:03] by the applicant agains</w:t>
      </w:r>
      <w:r w:rsidR="0063023B" w:rsidRPr="007B2C52">
        <w:rPr>
          <w:szCs w:val="24"/>
        </w:rPr>
        <w:t>t</w:t>
      </w:r>
      <w:r w:rsidRPr="007B2C52">
        <w:rPr>
          <w:szCs w:val="24"/>
        </w:rPr>
        <w:t xml:space="preserve"> the respondents.</w:t>
      </w:r>
    </w:p>
    <w:p w:rsidR="007C7DBF" w:rsidRPr="007B2C52" w:rsidRDefault="007C7DBF" w:rsidP="007B2C52">
      <w:pPr>
        <w:jc w:val="both"/>
        <w:rPr>
          <w:szCs w:val="24"/>
        </w:rPr>
      </w:pPr>
      <w:r w:rsidRPr="007B2C52">
        <w:rPr>
          <w:szCs w:val="24"/>
        </w:rPr>
        <w:tab/>
        <w:t>The applicant is a company duly incorporated and registered in terms of the laws of Zimbabwe.</w:t>
      </w:r>
    </w:p>
    <w:p w:rsidR="007C7DBF" w:rsidRPr="007B2C52" w:rsidRDefault="007C7DBF" w:rsidP="007B2C52">
      <w:pPr>
        <w:jc w:val="both"/>
        <w:rPr>
          <w:szCs w:val="24"/>
        </w:rPr>
      </w:pPr>
      <w:r w:rsidRPr="007B2C52">
        <w:rPr>
          <w:szCs w:val="24"/>
        </w:rPr>
        <w:tab/>
        <w:t>The first respondent is cited as the provisional liquidator of the second respondent.</w:t>
      </w:r>
    </w:p>
    <w:p w:rsidR="007C7DBF" w:rsidRPr="007B2C52" w:rsidRDefault="007C7DBF" w:rsidP="007B2C52">
      <w:pPr>
        <w:jc w:val="both"/>
        <w:rPr>
          <w:szCs w:val="24"/>
        </w:rPr>
      </w:pPr>
      <w:r w:rsidRPr="007B2C52">
        <w:rPr>
          <w:szCs w:val="24"/>
        </w:rPr>
        <w:tab/>
        <w:t>The second respondent is a duly incorporated company which is currently under liquidation with the first respondent as the liquidator as a result of the order of this court of 1 November 2012.</w:t>
      </w:r>
    </w:p>
    <w:p w:rsidR="007C7DBF" w:rsidRPr="007B2C52" w:rsidRDefault="007C7DBF" w:rsidP="007B2C52">
      <w:pPr>
        <w:jc w:val="both"/>
        <w:rPr>
          <w:szCs w:val="24"/>
        </w:rPr>
      </w:pPr>
      <w:r w:rsidRPr="007B2C52">
        <w:rPr>
          <w:szCs w:val="24"/>
        </w:rPr>
        <w:tab/>
        <w:t xml:space="preserve">The detailed background to this case </w:t>
      </w:r>
      <w:r w:rsidR="003110CE">
        <w:rPr>
          <w:szCs w:val="24"/>
        </w:rPr>
        <w:t>is</w:t>
      </w:r>
      <w:r w:rsidRPr="007B2C52">
        <w:rPr>
          <w:szCs w:val="24"/>
        </w:rPr>
        <w:t xml:space="preserve"> stated hereunder.</w:t>
      </w:r>
    </w:p>
    <w:p w:rsidR="007C7DBF" w:rsidRPr="007B2C52" w:rsidRDefault="007C7DBF" w:rsidP="007B2C52">
      <w:pPr>
        <w:jc w:val="both"/>
        <w:rPr>
          <w:szCs w:val="24"/>
        </w:rPr>
      </w:pPr>
      <w:r w:rsidRPr="007B2C52">
        <w:rPr>
          <w:szCs w:val="24"/>
        </w:rPr>
        <w:lastRenderedPageBreak/>
        <w:tab/>
        <w:t>In or about January 2009, the applicant and the second respondent entered into a lease agreement where</w:t>
      </w:r>
      <w:r w:rsidR="0063023B" w:rsidRPr="007B2C52">
        <w:rPr>
          <w:szCs w:val="24"/>
        </w:rPr>
        <w:t xml:space="preserve"> </w:t>
      </w:r>
      <w:r w:rsidRPr="007B2C52">
        <w:rPr>
          <w:szCs w:val="24"/>
        </w:rPr>
        <w:t xml:space="preserve">under the second respondent took on lease premises situate on stand number 16386 and </w:t>
      </w:r>
      <w:r w:rsidR="00EC446C" w:rsidRPr="007B2C52">
        <w:rPr>
          <w:szCs w:val="24"/>
        </w:rPr>
        <w:t>16387, Belmont, Bulawayo on a fixed and stated rental.</w:t>
      </w:r>
    </w:p>
    <w:p w:rsidR="00EC446C" w:rsidRPr="007B2C52" w:rsidRDefault="00EC446C" w:rsidP="007B2C52">
      <w:pPr>
        <w:jc w:val="both"/>
        <w:rPr>
          <w:szCs w:val="24"/>
        </w:rPr>
      </w:pPr>
      <w:r w:rsidRPr="007B2C52">
        <w:rPr>
          <w:szCs w:val="24"/>
        </w:rPr>
        <w:tab/>
        <w:t>Further, in or about the same time the applicant and the second respondent entered into a second lease agreement but con</w:t>
      </w:r>
      <w:r w:rsidR="0063023B" w:rsidRPr="007B2C52">
        <w:rPr>
          <w:szCs w:val="24"/>
        </w:rPr>
        <w:t>cerning</w:t>
      </w:r>
      <w:r w:rsidRPr="007B2C52">
        <w:rPr>
          <w:szCs w:val="24"/>
        </w:rPr>
        <w:t xml:space="preserve"> the applicant’s premises situate on stand number 2790 Kwekwe.</w:t>
      </w:r>
    </w:p>
    <w:p w:rsidR="00EC446C" w:rsidRPr="007B2C52" w:rsidRDefault="00EC446C" w:rsidP="007B2C52">
      <w:pPr>
        <w:jc w:val="both"/>
        <w:rPr>
          <w:szCs w:val="24"/>
        </w:rPr>
      </w:pPr>
      <w:r w:rsidRPr="007B2C52">
        <w:rPr>
          <w:szCs w:val="24"/>
        </w:rPr>
        <w:tab/>
        <w:t>It is not in dispute that it was a term of the two lease agreement</w:t>
      </w:r>
      <w:r w:rsidR="0063023B" w:rsidRPr="007B2C52">
        <w:rPr>
          <w:szCs w:val="24"/>
        </w:rPr>
        <w:t>s</w:t>
      </w:r>
      <w:r w:rsidRPr="007B2C52">
        <w:rPr>
          <w:szCs w:val="24"/>
        </w:rPr>
        <w:t xml:space="preserve"> that on termination </w:t>
      </w:r>
      <w:r w:rsidR="003110CE">
        <w:rPr>
          <w:szCs w:val="24"/>
        </w:rPr>
        <w:t>of the lease agreement the lessee</w:t>
      </w:r>
      <w:r w:rsidRPr="007B2C52">
        <w:rPr>
          <w:szCs w:val="24"/>
        </w:rPr>
        <w:t xml:space="preserve"> (second respondent) was entitled to remove its fixtures and fitting</w:t>
      </w:r>
      <w:r w:rsidR="003110CE">
        <w:rPr>
          <w:szCs w:val="24"/>
        </w:rPr>
        <w:t>s</w:t>
      </w:r>
      <w:r w:rsidRPr="007B2C52">
        <w:rPr>
          <w:szCs w:val="24"/>
        </w:rPr>
        <w:t xml:space="preserve"> and return to the applicant its premises in the same condition as at commencement, fair wear and t</w:t>
      </w:r>
      <w:r w:rsidR="0063023B" w:rsidRPr="007B2C52">
        <w:rPr>
          <w:szCs w:val="24"/>
        </w:rPr>
        <w:t>ea</w:t>
      </w:r>
      <w:r w:rsidRPr="007B2C52">
        <w:rPr>
          <w:szCs w:val="24"/>
        </w:rPr>
        <w:t>r excepted. It is also not in dispute that the fixtures and fittings were not identified in the lease agreement.</w:t>
      </w:r>
    </w:p>
    <w:p w:rsidR="00EC446C" w:rsidRPr="007B2C52" w:rsidRDefault="00EC446C" w:rsidP="007B2C52">
      <w:pPr>
        <w:jc w:val="both"/>
        <w:rPr>
          <w:szCs w:val="24"/>
        </w:rPr>
      </w:pPr>
      <w:r w:rsidRPr="007B2C52">
        <w:rPr>
          <w:szCs w:val="24"/>
        </w:rPr>
        <w:tab/>
        <w:t>The applicant’s case is that there is now a dispute regarding the ownership of certain fixtures and fitting</w:t>
      </w:r>
      <w:r w:rsidR="003110CE">
        <w:rPr>
          <w:szCs w:val="24"/>
        </w:rPr>
        <w:t>s</w:t>
      </w:r>
      <w:r w:rsidRPr="007B2C52">
        <w:rPr>
          <w:szCs w:val="24"/>
        </w:rPr>
        <w:t xml:space="preserve"> between the applicant and the second respondent, with the first respondent claiming that all the fixtures and fitting</w:t>
      </w:r>
      <w:r w:rsidR="003110CE">
        <w:rPr>
          <w:szCs w:val="24"/>
        </w:rPr>
        <w:t>s</w:t>
      </w:r>
      <w:r w:rsidRPr="007B2C52">
        <w:rPr>
          <w:szCs w:val="24"/>
        </w:rPr>
        <w:t xml:space="preserve"> belong to the second respondent and that they ought to be disposed of to protect the rights of competing creditors.</w:t>
      </w:r>
    </w:p>
    <w:p w:rsidR="00EC446C" w:rsidRPr="007B2C52" w:rsidRDefault="00EC446C" w:rsidP="007B2C52">
      <w:pPr>
        <w:jc w:val="both"/>
        <w:rPr>
          <w:szCs w:val="24"/>
        </w:rPr>
      </w:pPr>
      <w:r w:rsidRPr="007B2C52">
        <w:rPr>
          <w:szCs w:val="24"/>
        </w:rPr>
        <w:tab/>
        <w:t>The applicant has annexed t</w:t>
      </w:r>
      <w:r w:rsidR="0063023B" w:rsidRPr="007B2C52">
        <w:rPr>
          <w:szCs w:val="24"/>
        </w:rPr>
        <w:t>o</w:t>
      </w:r>
      <w:r w:rsidRPr="007B2C52">
        <w:rPr>
          <w:szCs w:val="24"/>
        </w:rPr>
        <w:t xml:space="preserve"> its application a detailed list of the fixtures and fittings which it alleges belongs to it and argu</w:t>
      </w:r>
      <w:r w:rsidR="0063023B" w:rsidRPr="007B2C52">
        <w:rPr>
          <w:szCs w:val="24"/>
        </w:rPr>
        <w:t>e</w:t>
      </w:r>
      <w:r w:rsidR="003110CE">
        <w:rPr>
          <w:szCs w:val="24"/>
        </w:rPr>
        <w:t xml:space="preserve">s must not be </w:t>
      </w:r>
      <w:r w:rsidRPr="007B2C52">
        <w:rPr>
          <w:szCs w:val="24"/>
        </w:rPr>
        <w:t>lumped together with the second respondent’s own items referred to in clause</w:t>
      </w:r>
      <w:r w:rsidR="003110CE">
        <w:rPr>
          <w:szCs w:val="24"/>
        </w:rPr>
        <w:t>s</w:t>
      </w:r>
      <w:r w:rsidRPr="007B2C52">
        <w:rPr>
          <w:szCs w:val="24"/>
        </w:rPr>
        <w:t xml:space="preserve"> 4.3</w:t>
      </w:r>
      <w:r w:rsidR="003110CE">
        <w:rPr>
          <w:szCs w:val="24"/>
        </w:rPr>
        <w:t xml:space="preserve"> and 4(iii)</w:t>
      </w:r>
      <w:r w:rsidRPr="007B2C52">
        <w:rPr>
          <w:szCs w:val="24"/>
        </w:rPr>
        <w:t xml:space="preserve"> of the lease agreements earlier own alluded to.</w:t>
      </w:r>
    </w:p>
    <w:p w:rsidR="00EC446C" w:rsidRPr="007B2C52" w:rsidRDefault="00EC446C" w:rsidP="007B2C52">
      <w:pPr>
        <w:jc w:val="both"/>
        <w:rPr>
          <w:szCs w:val="24"/>
        </w:rPr>
      </w:pPr>
      <w:r w:rsidRPr="007B2C52">
        <w:rPr>
          <w:szCs w:val="24"/>
        </w:rPr>
        <w:tab/>
        <w:t xml:space="preserve">The applicant’s position is that the issue of who owns what between the applicant and the second respondent is an issue which can only be interrogated in a fully fledged trial hence this application for leave to prosecute its case against the </w:t>
      </w:r>
      <w:r w:rsidR="003110CE">
        <w:rPr>
          <w:szCs w:val="24"/>
        </w:rPr>
        <w:t>respondents</w:t>
      </w:r>
      <w:r w:rsidRPr="007B2C52">
        <w:rPr>
          <w:szCs w:val="24"/>
        </w:rPr>
        <w:t>.</w:t>
      </w:r>
    </w:p>
    <w:p w:rsidR="00EC446C" w:rsidRPr="007B2C52" w:rsidRDefault="00EC446C" w:rsidP="007B2C52">
      <w:pPr>
        <w:jc w:val="both"/>
        <w:rPr>
          <w:szCs w:val="24"/>
        </w:rPr>
      </w:pPr>
      <w:r w:rsidRPr="007B2C52">
        <w:rPr>
          <w:szCs w:val="24"/>
        </w:rPr>
        <w:tab/>
        <w:t xml:space="preserve">In their notice of opposition </w:t>
      </w:r>
      <w:r w:rsidR="0063023B" w:rsidRPr="007B2C52">
        <w:rPr>
          <w:szCs w:val="24"/>
        </w:rPr>
        <w:t>d</w:t>
      </w:r>
      <w:r w:rsidRPr="007B2C52">
        <w:rPr>
          <w:szCs w:val="24"/>
        </w:rPr>
        <w:t xml:space="preserve">eposed to by the first respondent, the respondents initially opposed the application by </w:t>
      </w:r>
      <w:r w:rsidR="00B83B2A" w:rsidRPr="007B2C52">
        <w:rPr>
          <w:szCs w:val="24"/>
        </w:rPr>
        <w:t xml:space="preserve">raising points </w:t>
      </w:r>
      <w:r w:rsidR="00B83B2A" w:rsidRPr="007B2C52">
        <w:rPr>
          <w:i/>
          <w:szCs w:val="24"/>
        </w:rPr>
        <w:t>in limine</w:t>
      </w:r>
      <w:r w:rsidR="00B83B2A" w:rsidRPr="007B2C52">
        <w:rPr>
          <w:szCs w:val="24"/>
        </w:rPr>
        <w:t xml:space="preserve"> which were however not pursued during argument in this court.</w:t>
      </w:r>
      <w:r w:rsidR="003110CE">
        <w:rPr>
          <w:szCs w:val="24"/>
        </w:rPr>
        <w:t xml:space="preserve">  The abandoned points shall therefore not be considered.</w:t>
      </w:r>
    </w:p>
    <w:p w:rsidR="00B83B2A" w:rsidRPr="007B2C52" w:rsidRDefault="00B83B2A" w:rsidP="007B2C52">
      <w:pPr>
        <w:jc w:val="both"/>
        <w:rPr>
          <w:szCs w:val="24"/>
        </w:rPr>
      </w:pPr>
      <w:r w:rsidRPr="007B2C52">
        <w:rPr>
          <w:szCs w:val="24"/>
        </w:rPr>
        <w:lastRenderedPageBreak/>
        <w:tab/>
        <w:t>On merits the respondents sought to argue that clauses 4.3 and 4(iii) of the lease agreements which gave ownership of the fixtures and fittings to the second respondent w</w:t>
      </w:r>
      <w:r w:rsidR="003110CE">
        <w:rPr>
          <w:szCs w:val="24"/>
        </w:rPr>
        <w:t>ere</w:t>
      </w:r>
      <w:r w:rsidRPr="007B2C52">
        <w:rPr>
          <w:szCs w:val="24"/>
        </w:rPr>
        <w:t xml:space="preserve"> exhaustive </w:t>
      </w:r>
      <w:r w:rsidR="003110CE">
        <w:rPr>
          <w:szCs w:val="24"/>
        </w:rPr>
        <w:t xml:space="preserve">and conclusive </w:t>
      </w:r>
      <w:r w:rsidRPr="007B2C52">
        <w:rPr>
          <w:szCs w:val="24"/>
        </w:rPr>
        <w:t>enough and needed no further interrogation.</w:t>
      </w:r>
    </w:p>
    <w:p w:rsidR="00B83B2A" w:rsidRPr="007B2C52" w:rsidRDefault="00B83B2A" w:rsidP="007B2C52">
      <w:pPr>
        <w:jc w:val="both"/>
        <w:rPr>
          <w:szCs w:val="24"/>
        </w:rPr>
      </w:pPr>
      <w:r w:rsidRPr="007B2C52">
        <w:rPr>
          <w:szCs w:val="24"/>
        </w:rPr>
        <w:tab/>
      </w:r>
      <w:r w:rsidR="003110CE">
        <w:rPr>
          <w:szCs w:val="24"/>
        </w:rPr>
        <w:t>T</w:t>
      </w:r>
      <w:r w:rsidRPr="007B2C52">
        <w:rPr>
          <w:szCs w:val="24"/>
        </w:rPr>
        <w:t xml:space="preserve">he respondents </w:t>
      </w:r>
      <w:r w:rsidR="003110CE">
        <w:rPr>
          <w:szCs w:val="24"/>
        </w:rPr>
        <w:t>further argued</w:t>
      </w:r>
      <w:r w:rsidRPr="007B2C52">
        <w:rPr>
          <w:szCs w:val="24"/>
        </w:rPr>
        <w:t xml:space="preserve"> that the applicant had not established a good cause for leave to prosecute its case and that the application was motivated by a desire to defraud the second respondent of its fixtures and f</w:t>
      </w:r>
      <w:r w:rsidR="003110CE">
        <w:rPr>
          <w:szCs w:val="24"/>
        </w:rPr>
        <w:t>ittings and that</w:t>
      </w:r>
      <w:r w:rsidRPr="007B2C52">
        <w:rPr>
          <w:szCs w:val="24"/>
        </w:rPr>
        <w:t xml:space="preserve"> consequently the creditors would be prejudiced by the conduct of the applicant.</w:t>
      </w:r>
    </w:p>
    <w:p w:rsidR="00B83B2A" w:rsidRPr="007B2C52" w:rsidRDefault="00B83B2A" w:rsidP="007B2C52">
      <w:pPr>
        <w:jc w:val="both"/>
        <w:rPr>
          <w:szCs w:val="24"/>
        </w:rPr>
      </w:pPr>
      <w:r w:rsidRPr="007B2C52">
        <w:rPr>
          <w:szCs w:val="24"/>
        </w:rPr>
        <w:tab/>
      </w:r>
      <w:r w:rsidRPr="007B2C52">
        <w:rPr>
          <w:i/>
          <w:szCs w:val="24"/>
        </w:rPr>
        <w:t>Mr Nhemwa</w:t>
      </w:r>
      <w:r w:rsidRPr="007B2C52">
        <w:rPr>
          <w:szCs w:val="24"/>
        </w:rPr>
        <w:t xml:space="preserve"> who appeared for the respondents indicated to the court that he was abandoning the points </w:t>
      </w:r>
      <w:r w:rsidRPr="007B2C52">
        <w:rPr>
          <w:i/>
          <w:szCs w:val="24"/>
        </w:rPr>
        <w:t>in limine</w:t>
      </w:r>
      <w:r w:rsidRPr="007B2C52">
        <w:rPr>
          <w:szCs w:val="24"/>
        </w:rPr>
        <w:t xml:space="preserve"> that had been raised by the first respondent in the notice of opposition and instead sought to rely on the judgment of my brother M</w:t>
      </w:r>
      <w:r w:rsidRPr="007B2C52">
        <w:rPr>
          <w:sz w:val="20"/>
          <w:szCs w:val="20"/>
        </w:rPr>
        <w:t>AKONESE</w:t>
      </w:r>
      <w:r w:rsidRPr="007B2C52">
        <w:rPr>
          <w:szCs w:val="24"/>
        </w:rPr>
        <w:t xml:space="preserve"> J which </w:t>
      </w:r>
      <w:r w:rsidR="003110CE">
        <w:rPr>
          <w:szCs w:val="24"/>
        </w:rPr>
        <w:t xml:space="preserve">he </w:t>
      </w:r>
      <w:r w:rsidRPr="007B2C52">
        <w:rPr>
          <w:szCs w:val="24"/>
        </w:rPr>
        <w:t>argued had disposed of the matter.</w:t>
      </w:r>
    </w:p>
    <w:p w:rsidR="00B83B2A" w:rsidRPr="007B2C52" w:rsidRDefault="00F6371A" w:rsidP="007B2C52">
      <w:pPr>
        <w:jc w:val="both"/>
        <w:rPr>
          <w:szCs w:val="24"/>
        </w:rPr>
      </w:pPr>
      <w:r w:rsidRPr="007B2C52">
        <w:rPr>
          <w:szCs w:val="24"/>
        </w:rPr>
        <w:tab/>
      </w:r>
      <w:r w:rsidRPr="007B2C52">
        <w:rPr>
          <w:i/>
          <w:szCs w:val="24"/>
        </w:rPr>
        <w:t>Mr Nhemwa</w:t>
      </w:r>
      <w:r w:rsidRPr="007B2C52">
        <w:rPr>
          <w:szCs w:val="24"/>
        </w:rPr>
        <w:t xml:space="preserve"> argued that after M</w:t>
      </w:r>
      <w:r w:rsidRPr="007B2C52">
        <w:rPr>
          <w:sz w:val="20"/>
          <w:szCs w:val="20"/>
        </w:rPr>
        <w:t>AKONESE</w:t>
      </w:r>
      <w:r w:rsidRPr="007B2C52">
        <w:rPr>
          <w:szCs w:val="24"/>
        </w:rPr>
        <w:t xml:space="preserve"> J’s judgment delivered under HB-257-16 the parties had engaged each other leading to the applicant paying for the fittings and fixtures in Bulawayo and partly those in Kwekwe to avoid the items being disposed of by way of auction through the first respondent.</w:t>
      </w:r>
    </w:p>
    <w:p w:rsidR="00F6371A" w:rsidRPr="007B2C52" w:rsidRDefault="00F6371A" w:rsidP="007B2C52">
      <w:pPr>
        <w:jc w:val="both"/>
        <w:rPr>
          <w:szCs w:val="24"/>
        </w:rPr>
      </w:pPr>
      <w:r w:rsidRPr="007B2C52">
        <w:rPr>
          <w:szCs w:val="24"/>
        </w:rPr>
        <w:tab/>
      </w:r>
      <w:r w:rsidRPr="007B2C52">
        <w:rPr>
          <w:i/>
          <w:szCs w:val="24"/>
        </w:rPr>
        <w:t>Mr Nhemwa</w:t>
      </w:r>
      <w:r w:rsidRPr="007B2C52">
        <w:rPr>
          <w:szCs w:val="24"/>
        </w:rPr>
        <w:t xml:space="preserve"> concluded his argument by alleging that M</w:t>
      </w:r>
      <w:r w:rsidRPr="007B2C52">
        <w:rPr>
          <w:sz w:val="20"/>
          <w:szCs w:val="20"/>
        </w:rPr>
        <w:t>AKONESE</w:t>
      </w:r>
      <w:r w:rsidRPr="007B2C52">
        <w:rPr>
          <w:szCs w:val="24"/>
        </w:rPr>
        <w:t xml:space="preserve"> J’s judgment had rendered this case res judicata as the court had made certain pronouncements on the merits of this case.  Counsel then sought to have the matte</w:t>
      </w:r>
      <w:r w:rsidR="005C4C0A">
        <w:rPr>
          <w:szCs w:val="24"/>
        </w:rPr>
        <w:t>r</w:t>
      </w:r>
      <w:r w:rsidRPr="007B2C52">
        <w:rPr>
          <w:szCs w:val="24"/>
        </w:rPr>
        <w:t xml:space="preserve"> dismissed with costs at an attorney and client scale.</w:t>
      </w:r>
    </w:p>
    <w:p w:rsidR="00F6371A" w:rsidRPr="007B2C52" w:rsidRDefault="00F6371A" w:rsidP="007B2C52">
      <w:pPr>
        <w:jc w:val="both"/>
        <w:rPr>
          <w:szCs w:val="24"/>
        </w:rPr>
      </w:pPr>
      <w:r w:rsidRPr="007B2C52">
        <w:rPr>
          <w:szCs w:val="24"/>
        </w:rPr>
        <w:tab/>
      </w:r>
      <w:r w:rsidRPr="007B2C52">
        <w:rPr>
          <w:i/>
          <w:szCs w:val="24"/>
        </w:rPr>
        <w:t>Mr Phulu</w:t>
      </w:r>
      <w:r w:rsidRPr="007B2C52">
        <w:rPr>
          <w:szCs w:val="24"/>
        </w:rPr>
        <w:t xml:space="preserve">, for the applicant responded to </w:t>
      </w:r>
      <w:r w:rsidRPr="007B2C52">
        <w:rPr>
          <w:i/>
          <w:szCs w:val="24"/>
        </w:rPr>
        <w:t>Mr Nhemwa’s</w:t>
      </w:r>
      <w:r w:rsidRPr="007B2C52">
        <w:rPr>
          <w:szCs w:val="24"/>
        </w:rPr>
        <w:t xml:space="preserve"> argument by indicating to the court that the judgment by M</w:t>
      </w:r>
      <w:r w:rsidRPr="007B2C52">
        <w:rPr>
          <w:sz w:val="20"/>
          <w:szCs w:val="20"/>
        </w:rPr>
        <w:t>AKONESE</w:t>
      </w:r>
      <w:r w:rsidRPr="007B2C52">
        <w:rPr>
          <w:szCs w:val="24"/>
        </w:rPr>
        <w:t xml:space="preserve"> J dealt exhaustively with an application for an interdict as opposed to making a definitive</w:t>
      </w:r>
      <w:r w:rsidR="00437796" w:rsidRPr="007B2C52">
        <w:rPr>
          <w:szCs w:val="24"/>
        </w:rPr>
        <w:t xml:space="preserve"> pronouncement on the issue of ownership of the fixtures and fittings in issue and that that judgment ought to have referred to an application for an interdict, </w:t>
      </w:r>
      <w:r w:rsidR="00437796" w:rsidRPr="007B2C52">
        <w:rPr>
          <w:i/>
          <w:szCs w:val="24"/>
        </w:rPr>
        <w:t>viz</w:t>
      </w:r>
      <w:r w:rsidR="005C4C0A">
        <w:rPr>
          <w:i/>
          <w:szCs w:val="24"/>
        </w:rPr>
        <w:t>,</w:t>
      </w:r>
      <w:r w:rsidR="00437796" w:rsidRPr="007B2C52">
        <w:rPr>
          <w:szCs w:val="24"/>
        </w:rPr>
        <w:t xml:space="preserve"> HB-2005-14 and not HB-2006-14.</w:t>
      </w:r>
    </w:p>
    <w:p w:rsidR="00437796" w:rsidRPr="007B2C52" w:rsidRDefault="00437796" w:rsidP="007B2C52">
      <w:pPr>
        <w:jc w:val="both"/>
        <w:rPr>
          <w:szCs w:val="24"/>
        </w:rPr>
      </w:pPr>
      <w:r w:rsidRPr="007B2C52">
        <w:rPr>
          <w:szCs w:val="24"/>
        </w:rPr>
        <w:lastRenderedPageBreak/>
        <w:tab/>
      </w:r>
      <w:r w:rsidRPr="007B2C52">
        <w:rPr>
          <w:i/>
          <w:szCs w:val="24"/>
        </w:rPr>
        <w:t>Mr Phulu</w:t>
      </w:r>
      <w:r w:rsidRPr="007B2C52">
        <w:rPr>
          <w:szCs w:val="24"/>
        </w:rPr>
        <w:t xml:space="preserve"> further argued that reliance on clauses 4(3) and 4(iii) of the lease agreements was not of any assistance because the fixtures and fittings were not specified or defined leading to the now live dispute over ownership of such items hence the need to have such issues properly ventilat</w:t>
      </w:r>
      <w:r w:rsidR="007B2C52" w:rsidRPr="007B2C52">
        <w:rPr>
          <w:szCs w:val="24"/>
        </w:rPr>
        <w:t>ed once leave has been granted.</w:t>
      </w:r>
    </w:p>
    <w:p w:rsidR="00437796" w:rsidRPr="007B2C52" w:rsidRDefault="00437796" w:rsidP="007B2C52">
      <w:pPr>
        <w:jc w:val="both"/>
        <w:rPr>
          <w:szCs w:val="24"/>
        </w:rPr>
      </w:pPr>
      <w:r w:rsidRPr="007B2C52">
        <w:rPr>
          <w:szCs w:val="24"/>
        </w:rPr>
        <w:tab/>
        <w:t>This court takes a very simple view of this matter.  This is an application for leave by the applicant to sue the respondents to have the dispute over ownership of the fittings and fixtures resolved once and for all.  The judgment by M</w:t>
      </w:r>
      <w:r w:rsidRPr="007B2C52">
        <w:rPr>
          <w:sz w:val="20"/>
          <w:szCs w:val="20"/>
        </w:rPr>
        <w:t xml:space="preserve">AKONESE </w:t>
      </w:r>
      <w:r w:rsidRPr="007B2C52">
        <w:rPr>
          <w:szCs w:val="24"/>
        </w:rPr>
        <w:t>J was restricted to the issue of an interdict which was f</w:t>
      </w:r>
      <w:r w:rsidR="005C4C0A">
        <w:rPr>
          <w:szCs w:val="24"/>
        </w:rPr>
        <w:t>orm</w:t>
      </w:r>
      <w:r w:rsidRPr="007B2C52">
        <w:rPr>
          <w:szCs w:val="24"/>
        </w:rPr>
        <w:t>ally placed before him to determine</w:t>
      </w:r>
      <w:r w:rsidR="005C4C0A">
        <w:rPr>
          <w:szCs w:val="24"/>
        </w:rPr>
        <w:t>.  The</w:t>
      </w:r>
      <w:r w:rsidRPr="007B2C52">
        <w:rPr>
          <w:szCs w:val="24"/>
        </w:rPr>
        <w:t xml:space="preserve"> evidential burden in an application </w:t>
      </w:r>
      <w:r w:rsidR="007B2C52" w:rsidRPr="007B2C52">
        <w:rPr>
          <w:szCs w:val="24"/>
        </w:rPr>
        <w:t>for an interdict is</w:t>
      </w:r>
      <w:r w:rsidRPr="007B2C52">
        <w:rPr>
          <w:szCs w:val="24"/>
        </w:rPr>
        <w:t xml:space="preserve"> much lighter than in an application where ownership has to be determined.</w:t>
      </w:r>
    </w:p>
    <w:p w:rsidR="00437796" w:rsidRPr="007B2C52" w:rsidRDefault="00437796" w:rsidP="007B2C52">
      <w:pPr>
        <w:jc w:val="both"/>
        <w:rPr>
          <w:szCs w:val="24"/>
        </w:rPr>
      </w:pPr>
      <w:r w:rsidRPr="007B2C52">
        <w:rPr>
          <w:szCs w:val="24"/>
        </w:rPr>
        <w:tab/>
        <w:t xml:space="preserve">In an interdict, the right though </w:t>
      </w:r>
      <w:r w:rsidRPr="007B2C52">
        <w:rPr>
          <w:i/>
          <w:szCs w:val="24"/>
        </w:rPr>
        <w:t>prima facie</w:t>
      </w:r>
      <w:r w:rsidRPr="007B2C52">
        <w:rPr>
          <w:szCs w:val="24"/>
        </w:rPr>
        <w:t xml:space="preserve"> established remains open to some doubt.  There is a plethora of authorities that have dealt with the law in this regard.  See </w:t>
      </w:r>
      <w:r w:rsidRPr="007B2C52">
        <w:rPr>
          <w:i/>
          <w:szCs w:val="24"/>
        </w:rPr>
        <w:t>ZESA Pension Fund</w:t>
      </w:r>
      <w:r w:rsidRPr="007B2C52">
        <w:rPr>
          <w:szCs w:val="24"/>
        </w:rPr>
        <w:t xml:space="preserve"> v </w:t>
      </w:r>
      <w:r w:rsidRPr="007B2C52">
        <w:rPr>
          <w:i/>
          <w:szCs w:val="24"/>
        </w:rPr>
        <w:t>Mushambadzi</w:t>
      </w:r>
      <w:r w:rsidR="00C01631" w:rsidRPr="007B2C52">
        <w:rPr>
          <w:rStyle w:val="FootnoteReference"/>
          <w:szCs w:val="24"/>
        </w:rPr>
        <w:footnoteReference w:id="2"/>
      </w:r>
      <w:r w:rsidR="00C01631" w:rsidRPr="007B2C52">
        <w:rPr>
          <w:szCs w:val="24"/>
        </w:rPr>
        <w:t>, quoted in M</w:t>
      </w:r>
      <w:r w:rsidR="00C01631" w:rsidRPr="007B2C52">
        <w:rPr>
          <w:sz w:val="20"/>
          <w:szCs w:val="20"/>
        </w:rPr>
        <w:t>AKONESE</w:t>
      </w:r>
      <w:r w:rsidR="00C01631" w:rsidRPr="007B2C52">
        <w:rPr>
          <w:szCs w:val="24"/>
        </w:rPr>
        <w:t xml:space="preserve"> J’s judgment.</w:t>
      </w:r>
    </w:p>
    <w:p w:rsidR="00C01631" w:rsidRPr="007B2C52" w:rsidRDefault="00C01631" w:rsidP="007B2C52">
      <w:pPr>
        <w:jc w:val="both"/>
        <w:rPr>
          <w:szCs w:val="24"/>
        </w:rPr>
      </w:pPr>
      <w:r w:rsidRPr="007B2C52">
        <w:rPr>
          <w:szCs w:val="24"/>
        </w:rPr>
        <w:tab/>
        <w:t xml:space="preserve">In determining ownership, the court has to go much further than it does in </w:t>
      </w:r>
      <w:r w:rsidR="005C4C0A">
        <w:rPr>
          <w:szCs w:val="24"/>
        </w:rPr>
        <w:t xml:space="preserve">application for </w:t>
      </w:r>
      <w:r w:rsidRPr="007B2C52">
        <w:rPr>
          <w:szCs w:val="24"/>
        </w:rPr>
        <w:t>an interdict.  The parties a</w:t>
      </w:r>
      <w:r w:rsidR="005C4C0A">
        <w:rPr>
          <w:szCs w:val="24"/>
        </w:rPr>
        <w:t>re</w:t>
      </w:r>
      <w:r w:rsidRPr="007B2C52">
        <w:rPr>
          <w:szCs w:val="24"/>
        </w:rPr>
        <w:t xml:space="preserve"> expected to lead and provide evidence that the court has to weigh on a balance of probabilitie</w:t>
      </w:r>
      <w:r w:rsidR="007B2C52" w:rsidRPr="007B2C52">
        <w:rPr>
          <w:szCs w:val="24"/>
        </w:rPr>
        <w:t>s</w:t>
      </w:r>
      <w:r w:rsidRPr="007B2C52">
        <w:rPr>
          <w:szCs w:val="24"/>
        </w:rPr>
        <w:t xml:space="preserve"> before pronouncing a definitive finding on such ownership.  The evidence will certainly not be </w:t>
      </w:r>
      <w:r w:rsidR="005C4C0A">
        <w:rPr>
          <w:szCs w:val="24"/>
        </w:rPr>
        <w:t>restricted</w:t>
      </w:r>
      <w:r w:rsidRPr="007B2C52">
        <w:rPr>
          <w:szCs w:val="24"/>
        </w:rPr>
        <w:t xml:space="preserve"> to interpreting clause</w:t>
      </w:r>
      <w:r w:rsidR="005C4C0A">
        <w:rPr>
          <w:szCs w:val="24"/>
        </w:rPr>
        <w:t>s</w:t>
      </w:r>
      <w:r w:rsidRPr="007B2C52">
        <w:rPr>
          <w:szCs w:val="24"/>
        </w:rPr>
        <w:t xml:space="preserve"> 4(3) and 4(iii) of the two lease agreements for the simple reason that these two clauses did not define or specifically identif</w:t>
      </w:r>
      <w:r w:rsidR="005C4C0A">
        <w:rPr>
          <w:szCs w:val="24"/>
        </w:rPr>
        <w:t>y</w:t>
      </w:r>
      <w:r w:rsidRPr="007B2C52">
        <w:rPr>
          <w:szCs w:val="24"/>
        </w:rPr>
        <w:t xml:space="preserve"> the t</w:t>
      </w:r>
      <w:r w:rsidR="007B2C52" w:rsidRPr="007B2C52">
        <w:rPr>
          <w:szCs w:val="24"/>
        </w:rPr>
        <w:t>y</w:t>
      </w:r>
      <w:r w:rsidRPr="007B2C52">
        <w:rPr>
          <w:szCs w:val="24"/>
        </w:rPr>
        <w:t>pe of properties involved or constituting the fixtures and fitting</w:t>
      </w:r>
      <w:r w:rsidR="001668DC">
        <w:rPr>
          <w:szCs w:val="24"/>
        </w:rPr>
        <w:t>s</w:t>
      </w:r>
      <w:r w:rsidRPr="007B2C52">
        <w:rPr>
          <w:szCs w:val="24"/>
        </w:rPr>
        <w:t xml:space="preserve"> belonging to the second respondent.  There can be no d</w:t>
      </w:r>
      <w:r w:rsidR="005C4C0A">
        <w:rPr>
          <w:szCs w:val="24"/>
        </w:rPr>
        <w:t>oub</w:t>
      </w:r>
      <w:r w:rsidRPr="007B2C52">
        <w:rPr>
          <w:szCs w:val="24"/>
        </w:rPr>
        <w:t xml:space="preserve">t in my view that </w:t>
      </w:r>
      <w:r w:rsidRPr="007B2C52">
        <w:rPr>
          <w:i/>
          <w:szCs w:val="24"/>
        </w:rPr>
        <w:t>Mr Phulu</w:t>
      </w:r>
      <w:r w:rsidRPr="007B2C52">
        <w:rPr>
          <w:szCs w:val="24"/>
        </w:rPr>
        <w:t xml:space="preserve"> was on very firm ground in emphasizing this point.</w:t>
      </w:r>
    </w:p>
    <w:p w:rsidR="00C01631" w:rsidRPr="007B2C52" w:rsidRDefault="00C01631" w:rsidP="007B2C52">
      <w:pPr>
        <w:jc w:val="both"/>
        <w:rPr>
          <w:szCs w:val="24"/>
        </w:rPr>
      </w:pPr>
      <w:r w:rsidRPr="007B2C52">
        <w:rPr>
          <w:szCs w:val="24"/>
        </w:rPr>
        <w:tab/>
        <w:t>It does seem to me that although M</w:t>
      </w:r>
      <w:r w:rsidRPr="007B2C52">
        <w:rPr>
          <w:sz w:val="20"/>
          <w:szCs w:val="20"/>
        </w:rPr>
        <w:t>AKONESE</w:t>
      </w:r>
      <w:r w:rsidRPr="007B2C52">
        <w:rPr>
          <w:szCs w:val="24"/>
        </w:rPr>
        <w:t xml:space="preserve"> J made some comments in his judgment on merits, these comments could not have been conclusive or render this case </w:t>
      </w:r>
      <w:r w:rsidRPr="007B2C52">
        <w:rPr>
          <w:i/>
          <w:szCs w:val="24"/>
        </w:rPr>
        <w:t>res judicata</w:t>
      </w:r>
      <w:r w:rsidRPr="007B2C52">
        <w:rPr>
          <w:szCs w:val="24"/>
        </w:rPr>
        <w:t xml:space="preserve"> because </w:t>
      </w:r>
      <w:r w:rsidRPr="007B2C52">
        <w:rPr>
          <w:szCs w:val="24"/>
        </w:rPr>
        <w:lastRenderedPageBreak/>
        <w:t>he was not called upon to determine ownership of the fixtures and fittings but to deal with an application for an interdict.</w:t>
      </w:r>
    </w:p>
    <w:p w:rsidR="00C01631" w:rsidRPr="007B2C52" w:rsidRDefault="00C01631" w:rsidP="007B2C52">
      <w:pPr>
        <w:jc w:val="both"/>
        <w:rPr>
          <w:szCs w:val="24"/>
        </w:rPr>
      </w:pPr>
      <w:r w:rsidRPr="007B2C52">
        <w:rPr>
          <w:szCs w:val="24"/>
        </w:rPr>
        <w:tab/>
        <w:t>It is settled in this jurisdiction and beyond that in dealing with an application for leave to bring proceedings, the court has to consider whether there is good and sufficient cause for the applicant to be granted such leave.</w:t>
      </w:r>
    </w:p>
    <w:p w:rsidR="00C01631" w:rsidRPr="007B2C52" w:rsidRDefault="00C01631" w:rsidP="007B2C52">
      <w:pPr>
        <w:jc w:val="both"/>
        <w:rPr>
          <w:szCs w:val="24"/>
        </w:rPr>
      </w:pPr>
      <w:r w:rsidRPr="007B2C52">
        <w:rPr>
          <w:szCs w:val="24"/>
        </w:rPr>
        <w:tab/>
        <w:t>The shortcomings apparent in the two lease agreements which manifest themselves in failing to identify the fixtures and fitting in those two agreements, scream for a proper investigation to identify the exact property that belongs to the two competing parties.</w:t>
      </w:r>
    </w:p>
    <w:p w:rsidR="00C01631" w:rsidRPr="007B2C52" w:rsidRDefault="00C01631" w:rsidP="007B2C52">
      <w:pPr>
        <w:jc w:val="both"/>
        <w:rPr>
          <w:szCs w:val="24"/>
        </w:rPr>
      </w:pPr>
      <w:r w:rsidRPr="007B2C52">
        <w:rPr>
          <w:szCs w:val="24"/>
        </w:rPr>
        <w:tab/>
        <w:t xml:space="preserve">This strikes me as a simple application which unfortunately the respondents have </w:t>
      </w:r>
      <w:r w:rsidR="005C4C0A">
        <w:rPr>
          <w:szCs w:val="24"/>
        </w:rPr>
        <w:t>unnecessarily</w:t>
      </w:r>
      <w:r w:rsidRPr="007B2C52">
        <w:rPr>
          <w:szCs w:val="24"/>
        </w:rPr>
        <w:t xml:space="preserve"> tried to complicate for reasons that can only be read to mean a </w:t>
      </w:r>
      <w:r w:rsidR="00A42093" w:rsidRPr="007B2C52">
        <w:rPr>
          <w:szCs w:val="24"/>
        </w:rPr>
        <w:t>stout effort to ob</w:t>
      </w:r>
      <w:r w:rsidR="007B2C52" w:rsidRPr="007B2C52">
        <w:rPr>
          <w:szCs w:val="24"/>
        </w:rPr>
        <w:t>s</w:t>
      </w:r>
      <w:r w:rsidR="00A42093" w:rsidRPr="007B2C52">
        <w:rPr>
          <w:szCs w:val="24"/>
        </w:rPr>
        <w:t>tr</w:t>
      </w:r>
      <w:r w:rsidR="007B2C52" w:rsidRPr="007B2C52">
        <w:rPr>
          <w:szCs w:val="24"/>
        </w:rPr>
        <w:t>u</w:t>
      </w:r>
      <w:r w:rsidR="00A42093" w:rsidRPr="007B2C52">
        <w:rPr>
          <w:szCs w:val="24"/>
        </w:rPr>
        <w:t>ct the truth from coming out.</w:t>
      </w:r>
    </w:p>
    <w:p w:rsidR="00A42093" w:rsidRPr="007B2C52" w:rsidRDefault="00A42093" w:rsidP="007B2C52">
      <w:pPr>
        <w:jc w:val="both"/>
        <w:rPr>
          <w:szCs w:val="24"/>
        </w:rPr>
      </w:pPr>
      <w:r w:rsidRPr="007B2C52">
        <w:rPr>
          <w:szCs w:val="24"/>
        </w:rPr>
        <w:tab/>
        <w:t>The dispute over ownership of the property between the parties is a live one which cannot be wished away.  In order for justice to be rea</w:t>
      </w:r>
      <w:r w:rsidR="005C4C0A">
        <w:rPr>
          <w:szCs w:val="24"/>
        </w:rPr>
        <w:t>lis</w:t>
      </w:r>
      <w:r w:rsidRPr="007B2C52">
        <w:rPr>
          <w:szCs w:val="24"/>
        </w:rPr>
        <w:t xml:space="preserve">ed in this matter it is imperative that the ownership of the property in issue be properly interrogated in a fully fledged trial.  It is a critical process amongst the parties.  See </w:t>
      </w:r>
      <w:r w:rsidRPr="007B2C52">
        <w:rPr>
          <w:i/>
          <w:szCs w:val="24"/>
        </w:rPr>
        <w:t>Room Hire Co.</w:t>
      </w:r>
      <w:r w:rsidRPr="007B2C52">
        <w:rPr>
          <w:szCs w:val="24"/>
        </w:rPr>
        <w:t xml:space="preserve"> v </w:t>
      </w:r>
      <w:r w:rsidRPr="007B2C52">
        <w:rPr>
          <w:i/>
          <w:szCs w:val="24"/>
        </w:rPr>
        <w:t>Jeppe Street Mansions</w:t>
      </w:r>
      <w:r w:rsidRPr="007B2C52">
        <w:rPr>
          <w:rStyle w:val="FootnoteReference"/>
          <w:szCs w:val="24"/>
        </w:rPr>
        <w:footnoteReference w:id="3"/>
      </w:r>
      <w:r w:rsidRPr="007B2C52">
        <w:rPr>
          <w:szCs w:val="24"/>
        </w:rPr>
        <w:t xml:space="preserve"> </w:t>
      </w:r>
      <w:r w:rsidR="005B5F87" w:rsidRPr="007B2C52">
        <w:rPr>
          <w:szCs w:val="24"/>
        </w:rPr>
        <w:t xml:space="preserve">and </w:t>
      </w:r>
      <w:r w:rsidR="005B5F87" w:rsidRPr="007B2C52">
        <w:rPr>
          <w:i/>
          <w:szCs w:val="24"/>
        </w:rPr>
        <w:t xml:space="preserve">Soffiantini </w:t>
      </w:r>
      <w:r w:rsidR="005B5F87" w:rsidRPr="007B2C52">
        <w:rPr>
          <w:szCs w:val="24"/>
        </w:rPr>
        <w:t xml:space="preserve">v </w:t>
      </w:r>
      <w:r w:rsidR="005B5F87" w:rsidRPr="007B2C52">
        <w:rPr>
          <w:i/>
          <w:szCs w:val="24"/>
        </w:rPr>
        <w:t>Mould</w:t>
      </w:r>
      <w:r w:rsidR="005B5F87" w:rsidRPr="007B2C52">
        <w:rPr>
          <w:rStyle w:val="FootnoteReference"/>
          <w:szCs w:val="24"/>
        </w:rPr>
        <w:footnoteReference w:id="4"/>
      </w:r>
    </w:p>
    <w:p w:rsidR="00A42093" w:rsidRPr="007B2C52" w:rsidRDefault="00A42093" w:rsidP="007B2C52">
      <w:pPr>
        <w:jc w:val="both"/>
        <w:rPr>
          <w:szCs w:val="24"/>
        </w:rPr>
      </w:pPr>
      <w:r w:rsidRPr="007B2C52">
        <w:rPr>
          <w:szCs w:val="24"/>
        </w:rPr>
        <w:tab/>
        <w:t>The first respondent’s opposing affidavit does not help in resolving the contentious issue amongst the parties – who owns what in respect of the fix</w:t>
      </w:r>
      <w:r w:rsidR="007B2C52" w:rsidRPr="007B2C52">
        <w:rPr>
          <w:szCs w:val="24"/>
        </w:rPr>
        <w:t>t</w:t>
      </w:r>
      <w:r w:rsidRPr="007B2C52">
        <w:rPr>
          <w:szCs w:val="24"/>
        </w:rPr>
        <w:t>ures and fittings</w:t>
      </w:r>
      <w:r w:rsidR="005C4C0A">
        <w:rPr>
          <w:szCs w:val="24"/>
        </w:rPr>
        <w:t>?</w:t>
      </w:r>
    </w:p>
    <w:p w:rsidR="00A42093" w:rsidRPr="007B2C52" w:rsidRDefault="00A42093" w:rsidP="007B2C52">
      <w:pPr>
        <w:jc w:val="both"/>
        <w:rPr>
          <w:szCs w:val="24"/>
        </w:rPr>
      </w:pPr>
      <w:r w:rsidRPr="007B2C52">
        <w:rPr>
          <w:szCs w:val="24"/>
        </w:rPr>
        <w:tab/>
        <w:t>It is for th</w:t>
      </w:r>
      <w:r w:rsidR="007B2C52" w:rsidRPr="007B2C52">
        <w:rPr>
          <w:szCs w:val="24"/>
        </w:rPr>
        <w:t>e</w:t>
      </w:r>
      <w:r w:rsidRPr="007B2C52">
        <w:rPr>
          <w:szCs w:val="24"/>
        </w:rPr>
        <w:t>se reasons that I feel obliged to grant the following order.</w:t>
      </w:r>
    </w:p>
    <w:p w:rsidR="00A42093" w:rsidRPr="007B2C52" w:rsidRDefault="00A42093" w:rsidP="007B2C52">
      <w:pPr>
        <w:jc w:val="both"/>
        <w:rPr>
          <w:szCs w:val="24"/>
        </w:rPr>
      </w:pPr>
      <w:r w:rsidRPr="007B2C52">
        <w:rPr>
          <w:szCs w:val="24"/>
        </w:rPr>
        <w:tab/>
        <w:t>It is ordered:</w:t>
      </w:r>
    </w:p>
    <w:p w:rsidR="00A42093" w:rsidRPr="007B2C52" w:rsidRDefault="00A42093" w:rsidP="007B2C52">
      <w:pPr>
        <w:pStyle w:val="ListParagraph"/>
        <w:numPr>
          <w:ilvl w:val="0"/>
          <w:numId w:val="1"/>
        </w:numPr>
        <w:jc w:val="both"/>
        <w:rPr>
          <w:szCs w:val="24"/>
        </w:rPr>
      </w:pPr>
      <w:r w:rsidRPr="007B2C52">
        <w:rPr>
          <w:szCs w:val="24"/>
        </w:rPr>
        <w:lastRenderedPageBreak/>
        <w:t>That the applicant be and is hereby given leave to institute proceedings against the 1</w:t>
      </w:r>
      <w:r w:rsidRPr="007B2C52">
        <w:rPr>
          <w:szCs w:val="24"/>
          <w:vertAlign w:val="superscript"/>
        </w:rPr>
        <w:t>st</w:t>
      </w:r>
      <w:r w:rsidRPr="007B2C52">
        <w:rPr>
          <w:szCs w:val="24"/>
        </w:rPr>
        <w:t xml:space="preserve"> respondent for an order declaring applicant to be the legal owner of the items referred to the schedule filed as annexure A to the applicant’s founding affidavit for this application.</w:t>
      </w:r>
    </w:p>
    <w:p w:rsidR="00A42093" w:rsidRPr="007B2C52" w:rsidRDefault="00A42093" w:rsidP="007B2C52">
      <w:pPr>
        <w:pStyle w:val="ListParagraph"/>
        <w:numPr>
          <w:ilvl w:val="0"/>
          <w:numId w:val="1"/>
        </w:numPr>
        <w:jc w:val="both"/>
        <w:rPr>
          <w:szCs w:val="24"/>
        </w:rPr>
      </w:pPr>
      <w:r w:rsidRPr="007B2C52">
        <w:rPr>
          <w:szCs w:val="24"/>
        </w:rPr>
        <w:t xml:space="preserve">That the proceedings be filed within </w:t>
      </w:r>
      <w:r w:rsidR="00066A5F">
        <w:rPr>
          <w:szCs w:val="24"/>
        </w:rPr>
        <w:t>fifteen</w:t>
      </w:r>
      <w:r w:rsidRPr="007B2C52">
        <w:rPr>
          <w:szCs w:val="24"/>
        </w:rPr>
        <w:t xml:space="preserve"> (1</w:t>
      </w:r>
      <w:r w:rsidR="00066A5F">
        <w:rPr>
          <w:szCs w:val="24"/>
        </w:rPr>
        <w:t>5</w:t>
      </w:r>
      <w:r w:rsidRPr="007B2C52">
        <w:rPr>
          <w:szCs w:val="24"/>
        </w:rPr>
        <w:t>) days from the date of this order.</w:t>
      </w:r>
    </w:p>
    <w:p w:rsidR="00A42093" w:rsidRPr="007B2C52" w:rsidRDefault="00A42093" w:rsidP="007B2C52">
      <w:pPr>
        <w:pStyle w:val="ListParagraph"/>
        <w:numPr>
          <w:ilvl w:val="0"/>
          <w:numId w:val="1"/>
        </w:numPr>
        <w:jc w:val="both"/>
        <w:rPr>
          <w:szCs w:val="24"/>
        </w:rPr>
      </w:pPr>
      <w:r w:rsidRPr="007B2C52">
        <w:rPr>
          <w:szCs w:val="24"/>
        </w:rPr>
        <w:t>That the first respondent pays costs of this application.</w:t>
      </w:r>
    </w:p>
    <w:p w:rsidR="00A42093" w:rsidRPr="007B2C52" w:rsidRDefault="00A42093" w:rsidP="007B2C52">
      <w:pPr>
        <w:jc w:val="both"/>
        <w:rPr>
          <w:szCs w:val="24"/>
        </w:rPr>
      </w:pPr>
    </w:p>
    <w:p w:rsidR="00A42093" w:rsidRPr="007B2C52" w:rsidRDefault="00A42093" w:rsidP="007B2C52">
      <w:pPr>
        <w:jc w:val="both"/>
        <w:rPr>
          <w:szCs w:val="24"/>
        </w:rPr>
      </w:pPr>
    </w:p>
    <w:p w:rsidR="00A42093" w:rsidRPr="007B2C52" w:rsidRDefault="00A42093" w:rsidP="007B2C52">
      <w:pPr>
        <w:pStyle w:val="NoSpacing"/>
        <w:jc w:val="both"/>
        <w:rPr>
          <w:szCs w:val="24"/>
        </w:rPr>
      </w:pPr>
      <w:r w:rsidRPr="007B2C52">
        <w:rPr>
          <w:i/>
          <w:szCs w:val="24"/>
        </w:rPr>
        <w:t>Phulu &amp; Ncube,</w:t>
      </w:r>
      <w:r w:rsidRPr="007B2C52">
        <w:rPr>
          <w:szCs w:val="24"/>
        </w:rPr>
        <w:t xml:space="preserve"> applicant’s legal practitioners</w:t>
      </w:r>
    </w:p>
    <w:p w:rsidR="00A42093" w:rsidRPr="007B2C52" w:rsidRDefault="00A42093" w:rsidP="007B2C52">
      <w:pPr>
        <w:pStyle w:val="NoSpacing"/>
        <w:jc w:val="both"/>
        <w:rPr>
          <w:szCs w:val="24"/>
        </w:rPr>
      </w:pPr>
      <w:r w:rsidRPr="007B2C52">
        <w:rPr>
          <w:i/>
          <w:szCs w:val="24"/>
        </w:rPr>
        <w:t>C. Nhemwa &amp; Associates</w:t>
      </w:r>
      <w:r w:rsidRPr="007B2C52">
        <w:rPr>
          <w:szCs w:val="24"/>
        </w:rPr>
        <w:t>, 1</w:t>
      </w:r>
      <w:r w:rsidRPr="007B2C52">
        <w:rPr>
          <w:szCs w:val="24"/>
          <w:vertAlign w:val="superscript"/>
        </w:rPr>
        <w:t>st</w:t>
      </w:r>
      <w:r w:rsidRPr="007B2C52">
        <w:rPr>
          <w:szCs w:val="24"/>
        </w:rPr>
        <w:t xml:space="preserve"> and 2</w:t>
      </w:r>
      <w:r w:rsidRPr="007B2C52">
        <w:rPr>
          <w:szCs w:val="24"/>
          <w:vertAlign w:val="superscript"/>
        </w:rPr>
        <w:t>nd</w:t>
      </w:r>
      <w:r w:rsidRPr="007B2C52">
        <w:rPr>
          <w:szCs w:val="24"/>
        </w:rPr>
        <w:t xml:space="preserve"> re</w:t>
      </w:r>
      <w:r w:rsidR="005B5F87" w:rsidRPr="007B2C52">
        <w:rPr>
          <w:szCs w:val="24"/>
        </w:rPr>
        <w:t>spondents’ legal practitioners</w:t>
      </w:r>
    </w:p>
    <w:p w:rsidR="007C7DBF" w:rsidRPr="007B2C52" w:rsidRDefault="007C7DBF" w:rsidP="007B2C52">
      <w:pPr>
        <w:pStyle w:val="NoSpacing"/>
        <w:jc w:val="both"/>
        <w:rPr>
          <w:szCs w:val="24"/>
        </w:rPr>
      </w:pPr>
    </w:p>
    <w:p w:rsidR="007C7DBF" w:rsidRPr="007B2C52" w:rsidRDefault="007C7DBF" w:rsidP="007B2C52">
      <w:pPr>
        <w:pStyle w:val="NoSpacing"/>
        <w:jc w:val="both"/>
        <w:rPr>
          <w:b/>
          <w:szCs w:val="24"/>
        </w:rPr>
      </w:pPr>
    </w:p>
    <w:sectPr w:rsidR="007C7DBF" w:rsidRPr="007B2C52" w:rsidSect="0054317D">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B8C" w:rsidRDefault="00D76B8C" w:rsidP="00C01631">
      <w:pPr>
        <w:spacing w:before="0" w:after="0" w:line="240" w:lineRule="auto"/>
      </w:pPr>
      <w:r>
        <w:separator/>
      </w:r>
    </w:p>
  </w:endnote>
  <w:endnote w:type="continuationSeparator" w:id="1">
    <w:p w:rsidR="00D76B8C" w:rsidRDefault="00D76B8C" w:rsidP="00C01631">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B8C" w:rsidRDefault="00D76B8C" w:rsidP="00C01631">
      <w:pPr>
        <w:spacing w:before="0" w:after="0" w:line="240" w:lineRule="auto"/>
      </w:pPr>
      <w:r>
        <w:separator/>
      </w:r>
    </w:p>
  </w:footnote>
  <w:footnote w:type="continuationSeparator" w:id="1">
    <w:p w:rsidR="00D76B8C" w:rsidRDefault="00D76B8C" w:rsidP="00C01631">
      <w:pPr>
        <w:spacing w:before="0" w:after="0" w:line="240" w:lineRule="auto"/>
      </w:pPr>
      <w:r>
        <w:continuationSeparator/>
      </w:r>
    </w:p>
  </w:footnote>
  <w:footnote w:id="2">
    <w:p w:rsidR="00C01631" w:rsidRDefault="00C01631">
      <w:pPr>
        <w:pStyle w:val="FootnoteText"/>
      </w:pPr>
      <w:r>
        <w:rPr>
          <w:rStyle w:val="FootnoteReference"/>
        </w:rPr>
        <w:footnoteRef/>
      </w:r>
      <w:r>
        <w:t xml:space="preserve"> SC-57-02</w:t>
      </w:r>
    </w:p>
  </w:footnote>
  <w:footnote w:id="3">
    <w:p w:rsidR="00A42093" w:rsidRDefault="00A42093">
      <w:pPr>
        <w:pStyle w:val="FootnoteText"/>
      </w:pPr>
      <w:r>
        <w:rPr>
          <w:rStyle w:val="FootnoteReference"/>
        </w:rPr>
        <w:footnoteRef/>
      </w:r>
      <w:r>
        <w:t xml:space="preserve"> 1949 (3) SA 115</w:t>
      </w:r>
    </w:p>
  </w:footnote>
  <w:footnote w:id="4">
    <w:p w:rsidR="005B5F87" w:rsidRDefault="005B5F87">
      <w:pPr>
        <w:pStyle w:val="FootnoteText"/>
      </w:pPr>
      <w:r>
        <w:rPr>
          <w:rStyle w:val="FootnoteReference"/>
        </w:rPr>
        <w:footnoteRef/>
      </w:r>
      <w:r>
        <w:t xml:space="preserve"> 1956 (4) SA 150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13464"/>
      <w:docPartObj>
        <w:docPartGallery w:val="Page Numbers (Top of Page)"/>
        <w:docPartUnique/>
      </w:docPartObj>
    </w:sdtPr>
    <w:sdtContent>
      <w:p w:rsidR="007B2C52" w:rsidRDefault="004F770D">
        <w:pPr>
          <w:pStyle w:val="Header"/>
          <w:jc w:val="right"/>
        </w:pPr>
        <w:fldSimple w:instr=" PAGE   \* MERGEFORMAT ">
          <w:r w:rsidR="00644C39">
            <w:rPr>
              <w:noProof/>
            </w:rPr>
            <w:t>1</w:t>
          </w:r>
        </w:fldSimple>
      </w:p>
      <w:p w:rsidR="007B2C52" w:rsidRDefault="007B2C52" w:rsidP="007B2C52">
        <w:pPr>
          <w:pStyle w:val="NoSpacing"/>
          <w:ind w:left="7920"/>
        </w:pPr>
        <w:r>
          <w:t xml:space="preserve">      HB 212/19</w:t>
        </w:r>
      </w:p>
      <w:p w:rsidR="003110CE" w:rsidRDefault="007B2C52" w:rsidP="007B2C52">
        <w:pPr>
          <w:pStyle w:val="NoSpacing"/>
          <w:ind w:left="7920"/>
        </w:pPr>
        <w:r>
          <w:t xml:space="preserve">    HC 2006/14</w:t>
        </w:r>
      </w:p>
      <w:p w:rsidR="007B2C52" w:rsidRDefault="003110CE" w:rsidP="003110CE">
        <w:pPr>
          <w:pStyle w:val="NoSpacing"/>
          <w:ind w:left="6480" w:firstLine="720"/>
        </w:pPr>
        <w:r>
          <w:t xml:space="preserve">   X REF HC 2005/14</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E121C"/>
    <w:multiLevelType w:val="hybridMultilevel"/>
    <w:tmpl w:val="C2C47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C7DBF"/>
    <w:rsid w:val="00066A5F"/>
    <w:rsid w:val="001668DC"/>
    <w:rsid w:val="001D126B"/>
    <w:rsid w:val="00254B86"/>
    <w:rsid w:val="002C7F8A"/>
    <w:rsid w:val="003110CE"/>
    <w:rsid w:val="00334AA5"/>
    <w:rsid w:val="003A3365"/>
    <w:rsid w:val="003E5BAA"/>
    <w:rsid w:val="00437796"/>
    <w:rsid w:val="00477B02"/>
    <w:rsid w:val="004F770D"/>
    <w:rsid w:val="0054317D"/>
    <w:rsid w:val="00570CF7"/>
    <w:rsid w:val="00571F9A"/>
    <w:rsid w:val="005B5F87"/>
    <w:rsid w:val="005C4C0A"/>
    <w:rsid w:val="005E485C"/>
    <w:rsid w:val="0063023B"/>
    <w:rsid w:val="00644C39"/>
    <w:rsid w:val="0068662E"/>
    <w:rsid w:val="00693C4B"/>
    <w:rsid w:val="006A03C9"/>
    <w:rsid w:val="00701C30"/>
    <w:rsid w:val="007B2C52"/>
    <w:rsid w:val="007B49A6"/>
    <w:rsid w:val="007C7DBF"/>
    <w:rsid w:val="007D0B26"/>
    <w:rsid w:val="007D2790"/>
    <w:rsid w:val="008A7672"/>
    <w:rsid w:val="008C3209"/>
    <w:rsid w:val="009E5C1A"/>
    <w:rsid w:val="00A42093"/>
    <w:rsid w:val="00A50BC8"/>
    <w:rsid w:val="00B83B2A"/>
    <w:rsid w:val="00B9463A"/>
    <w:rsid w:val="00C01631"/>
    <w:rsid w:val="00C61900"/>
    <w:rsid w:val="00D20B4C"/>
    <w:rsid w:val="00D76B8C"/>
    <w:rsid w:val="00E10C27"/>
    <w:rsid w:val="00E365DE"/>
    <w:rsid w:val="00EC446C"/>
    <w:rsid w:val="00EF331C"/>
    <w:rsid w:val="00F0525F"/>
    <w:rsid w:val="00F60EF5"/>
    <w:rsid w:val="00F6371A"/>
    <w:rsid w:val="00FA67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FootnoteText">
    <w:name w:val="footnote text"/>
    <w:basedOn w:val="Normal"/>
    <w:link w:val="FootnoteTextChar"/>
    <w:uiPriority w:val="99"/>
    <w:semiHidden/>
    <w:unhideWhenUsed/>
    <w:rsid w:val="00C0163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C01631"/>
    <w:rPr>
      <w:rFonts w:ascii="Times New Roman" w:hAnsi="Times New Roman"/>
      <w:sz w:val="20"/>
      <w:szCs w:val="20"/>
    </w:rPr>
  </w:style>
  <w:style w:type="character" w:styleId="FootnoteReference">
    <w:name w:val="footnote reference"/>
    <w:basedOn w:val="DefaultParagraphFont"/>
    <w:uiPriority w:val="99"/>
    <w:semiHidden/>
    <w:unhideWhenUsed/>
    <w:rsid w:val="00C01631"/>
    <w:rPr>
      <w:vertAlign w:val="superscript"/>
    </w:rPr>
  </w:style>
  <w:style w:type="paragraph" w:styleId="ListParagraph">
    <w:name w:val="List Paragraph"/>
    <w:basedOn w:val="Normal"/>
    <w:uiPriority w:val="34"/>
    <w:qFormat/>
    <w:rsid w:val="00A42093"/>
    <w:pPr>
      <w:ind w:left="720"/>
      <w:contextualSpacing/>
    </w:pPr>
  </w:style>
  <w:style w:type="paragraph" w:styleId="Header">
    <w:name w:val="header"/>
    <w:basedOn w:val="Normal"/>
    <w:link w:val="HeaderChar"/>
    <w:uiPriority w:val="99"/>
    <w:unhideWhenUsed/>
    <w:rsid w:val="007B2C5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B2C52"/>
    <w:rPr>
      <w:rFonts w:ascii="Times New Roman" w:hAnsi="Times New Roman"/>
      <w:sz w:val="24"/>
    </w:rPr>
  </w:style>
  <w:style w:type="paragraph" w:styleId="Footer">
    <w:name w:val="footer"/>
    <w:basedOn w:val="Normal"/>
    <w:link w:val="FooterChar"/>
    <w:uiPriority w:val="99"/>
    <w:semiHidden/>
    <w:unhideWhenUsed/>
    <w:rsid w:val="007B2C52"/>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7B2C52"/>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D3B34-033F-472B-95E8-41A8E2433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13</cp:revision>
  <cp:lastPrinted>2020-01-09T10:52:00Z</cp:lastPrinted>
  <dcterms:created xsi:type="dcterms:W3CDTF">2020-01-06T08:38:00Z</dcterms:created>
  <dcterms:modified xsi:type="dcterms:W3CDTF">2020-01-09T10:55:00Z</dcterms:modified>
</cp:coreProperties>
</file>