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C8" w:rsidRPr="00C90D45" w:rsidRDefault="00AB10C8" w:rsidP="00AB10C8">
      <w:pPr>
        <w:spacing w:after="0" w:line="360" w:lineRule="auto"/>
        <w:jc w:val="both"/>
        <w:rPr>
          <w:rFonts w:ascii="Tahoma" w:hAnsi="Tahoma" w:cs="Tahoma"/>
          <w:b/>
          <w:sz w:val="24"/>
          <w:szCs w:val="24"/>
        </w:rPr>
      </w:pPr>
      <w:r w:rsidRPr="00C90D45">
        <w:rPr>
          <w:rFonts w:ascii="Tahoma" w:hAnsi="Tahoma" w:cs="Tahoma"/>
          <w:b/>
          <w:sz w:val="24"/>
          <w:szCs w:val="24"/>
        </w:rPr>
        <w:t>IN TH</w:t>
      </w:r>
      <w:r>
        <w:rPr>
          <w:rFonts w:ascii="Tahoma" w:hAnsi="Tahoma" w:cs="Tahoma"/>
          <w:b/>
          <w:sz w:val="24"/>
          <w:szCs w:val="24"/>
        </w:rPr>
        <w:t>E LABOUR COURT OF ZIMBABWE</w:t>
      </w:r>
      <w:r>
        <w:rPr>
          <w:rFonts w:ascii="Tahoma" w:hAnsi="Tahoma" w:cs="Tahoma"/>
          <w:b/>
          <w:sz w:val="24"/>
          <w:szCs w:val="24"/>
        </w:rPr>
        <w:tab/>
        <w:t xml:space="preserve">    </w:t>
      </w:r>
      <w:r w:rsidRPr="00C90D45">
        <w:rPr>
          <w:rFonts w:ascii="Tahoma" w:hAnsi="Tahoma" w:cs="Tahoma"/>
          <w:b/>
          <w:sz w:val="24"/>
          <w:szCs w:val="24"/>
        </w:rPr>
        <w:t>JUDGEMENT NO LC/H/</w:t>
      </w:r>
      <w:r>
        <w:rPr>
          <w:rFonts w:ascii="Tahoma" w:hAnsi="Tahoma" w:cs="Tahoma"/>
          <w:b/>
          <w:sz w:val="24"/>
          <w:szCs w:val="24"/>
        </w:rPr>
        <w:t>470</w:t>
      </w:r>
      <w:r w:rsidRPr="00C90D45">
        <w:rPr>
          <w:rFonts w:ascii="Tahoma" w:hAnsi="Tahoma" w:cs="Tahoma"/>
          <w:b/>
          <w:sz w:val="24"/>
          <w:szCs w:val="24"/>
        </w:rPr>
        <w:t>/13</w:t>
      </w:r>
    </w:p>
    <w:p w:rsidR="00AB10C8" w:rsidRPr="00C90D45" w:rsidRDefault="00AB10C8" w:rsidP="00AB10C8">
      <w:pPr>
        <w:spacing w:after="0" w:line="360" w:lineRule="auto"/>
        <w:jc w:val="both"/>
        <w:rPr>
          <w:rFonts w:ascii="Tahoma" w:hAnsi="Tahoma" w:cs="Tahoma"/>
          <w:b/>
          <w:sz w:val="24"/>
          <w:szCs w:val="24"/>
        </w:rPr>
      </w:pPr>
      <w:r>
        <w:rPr>
          <w:rFonts w:ascii="Tahoma" w:hAnsi="Tahoma" w:cs="Tahoma"/>
          <w:b/>
          <w:sz w:val="24"/>
          <w:szCs w:val="24"/>
        </w:rPr>
        <w:t>HELD AT HARARE 18</w:t>
      </w:r>
      <w:r w:rsidRPr="00C90D45">
        <w:rPr>
          <w:rFonts w:ascii="Tahoma" w:hAnsi="Tahoma" w:cs="Tahoma"/>
          <w:b/>
          <w:sz w:val="24"/>
          <w:szCs w:val="24"/>
          <w:vertAlign w:val="superscript"/>
        </w:rPr>
        <w:t>TH</w:t>
      </w:r>
      <w:r w:rsidRPr="00C90D45">
        <w:rPr>
          <w:rFonts w:ascii="Tahoma" w:hAnsi="Tahoma" w:cs="Tahoma"/>
          <w:b/>
          <w:sz w:val="24"/>
          <w:szCs w:val="24"/>
        </w:rPr>
        <w:t xml:space="preserve"> SEPTEMBER 2013</w:t>
      </w:r>
      <w:r w:rsidRPr="00C90D45">
        <w:rPr>
          <w:rFonts w:ascii="Tahoma" w:hAnsi="Tahoma" w:cs="Tahoma"/>
          <w:b/>
          <w:sz w:val="24"/>
          <w:szCs w:val="24"/>
        </w:rPr>
        <w:tab/>
        <w:t xml:space="preserve">    CASE NO LC/H/</w:t>
      </w:r>
      <w:r>
        <w:rPr>
          <w:rFonts w:ascii="Tahoma" w:hAnsi="Tahoma" w:cs="Tahoma"/>
          <w:b/>
          <w:sz w:val="24"/>
          <w:szCs w:val="24"/>
        </w:rPr>
        <w:t>305/13</w:t>
      </w:r>
    </w:p>
    <w:p w:rsidR="00AB10C8" w:rsidRPr="00C90D45" w:rsidRDefault="00AB10C8" w:rsidP="00AB10C8">
      <w:pPr>
        <w:spacing w:after="0" w:line="240" w:lineRule="auto"/>
        <w:jc w:val="both"/>
        <w:rPr>
          <w:rFonts w:ascii="Tahoma" w:hAnsi="Tahoma" w:cs="Tahoma"/>
          <w:b/>
          <w:sz w:val="24"/>
          <w:szCs w:val="24"/>
        </w:rPr>
      </w:pPr>
      <w:r w:rsidRPr="00C90D45">
        <w:rPr>
          <w:rFonts w:ascii="Tahoma" w:hAnsi="Tahoma" w:cs="Tahoma"/>
          <w:b/>
          <w:sz w:val="24"/>
          <w:szCs w:val="24"/>
        </w:rPr>
        <w:t>AND 27 SEPTEMBER 2013</w:t>
      </w:r>
    </w:p>
    <w:p w:rsidR="00AB10C8" w:rsidRDefault="00AB10C8" w:rsidP="00AB10C8">
      <w:pPr>
        <w:spacing w:after="0" w:line="240" w:lineRule="auto"/>
        <w:jc w:val="both"/>
        <w:rPr>
          <w:rFonts w:ascii="Tahoma" w:hAnsi="Tahoma" w:cs="Tahoma"/>
          <w:b/>
          <w:sz w:val="24"/>
          <w:szCs w:val="24"/>
        </w:rPr>
      </w:pPr>
    </w:p>
    <w:p w:rsidR="00E02B1A" w:rsidRPr="00C90D45" w:rsidRDefault="00E02B1A" w:rsidP="00AB10C8">
      <w:pPr>
        <w:spacing w:after="0" w:line="240" w:lineRule="auto"/>
        <w:jc w:val="both"/>
        <w:rPr>
          <w:rFonts w:ascii="Tahoma" w:hAnsi="Tahoma" w:cs="Tahoma"/>
          <w:b/>
          <w:sz w:val="24"/>
          <w:szCs w:val="24"/>
        </w:rPr>
      </w:pPr>
    </w:p>
    <w:p w:rsidR="00AB10C8" w:rsidRDefault="00AB10C8" w:rsidP="00AB10C8">
      <w:pPr>
        <w:spacing w:after="0" w:line="240" w:lineRule="auto"/>
        <w:jc w:val="both"/>
        <w:rPr>
          <w:b/>
          <w:sz w:val="28"/>
          <w:szCs w:val="28"/>
        </w:rPr>
      </w:pPr>
    </w:p>
    <w:p w:rsidR="00AB10C8" w:rsidRPr="000E311B" w:rsidRDefault="00AB10C8" w:rsidP="00AB10C8">
      <w:pPr>
        <w:spacing w:after="0" w:line="360" w:lineRule="auto"/>
        <w:jc w:val="both"/>
        <w:rPr>
          <w:rFonts w:ascii="Tahoma" w:hAnsi="Tahoma" w:cs="Tahoma"/>
          <w:sz w:val="24"/>
          <w:szCs w:val="24"/>
        </w:rPr>
      </w:pPr>
      <w:r w:rsidRPr="000E311B">
        <w:rPr>
          <w:rFonts w:ascii="Tahoma" w:hAnsi="Tahoma" w:cs="Tahoma"/>
          <w:sz w:val="24"/>
          <w:szCs w:val="24"/>
        </w:rPr>
        <w:t>In the matter between:-</w:t>
      </w:r>
    </w:p>
    <w:p w:rsidR="00AB10C8" w:rsidRPr="000E311B" w:rsidRDefault="00AB10C8" w:rsidP="00AB10C8">
      <w:pPr>
        <w:spacing w:after="0" w:line="360" w:lineRule="auto"/>
        <w:jc w:val="both"/>
        <w:rPr>
          <w:rFonts w:ascii="Tahoma" w:hAnsi="Tahoma" w:cs="Tahoma"/>
          <w:b/>
          <w:sz w:val="24"/>
          <w:szCs w:val="24"/>
        </w:rPr>
      </w:pPr>
      <w:r>
        <w:rPr>
          <w:rFonts w:ascii="Tahoma" w:hAnsi="Tahoma" w:cs="Tahoma"/>
          <w:b/>
          <w:sz w:val="24"/>
          <w:szCs w:val="24"/>
        </w:rPr>
        <w:t>VILLAGE OF HOPE</w:t>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t>-</w:t>
      </w:r>
      <w:r w:rsidRPr="000E311B">
        <w:rPr>
          <w:rFonts w:ascii="Tahoma" w:hAnsi="Tahoma" w:cs="Tahoma"/>
          <w:b/>
          <w:sz w:val="24"/>
          <w:szCs w:val="24"/>
        </w:rPr>
        <w:tab/>
        <w:t>Appellant</w:t>
      </w:r>
    </w:p>
    <w:p w:rsidR="00AB10C8" w:rsidRPr="000E311B" w:rsidRDefault="00AB10C8" w:rsidP="00AB10C8">
      <w:pPr>
        <w:spacing w:after="0" w:line="360" w:lineRule="auto"/>
        <w:jc w:val="both"/>
        <w:rPr>
          <w:rFonts w:ascii="Tahoma" w:hAnsi="Tahoma" w:cs="Tahoma"/>
          <w:b/>
          <w:sz w:val="24"/>
          <w:szCs w:val="24"/>
        </w:rPr>
      </w:pPr>
      <w:r w:rsidRPr="000E311B">
        <w:rPr>
          <w:rFonts w:ascii="Tahoma" w:hAnsi="Tahoma" w:cs="Tahoma"/>
          <w:b/>
          <w:sz w:val="24"/>
          <w:szCs w:val="24"/>
        </w:rPr>
        <w:t>And</w:t>
      </w:r>
    </w:p>
    <w:p w:rsidR="00AB10C8" w:rsidRPr="000E311B" w:rsidRDefault="00AB10C8" w:rsidP="00AB10C8">
      <w:pPr>
        <w:spacing w:after="0" w:line="240" w:lineRule="auto"/>
        <w:jc w:val="both"/>
        <w:rPr>
          <w:rFonts w:ascii="Tahoma" w:hAnsi="Tahoma" w:cs="Tahoma"/>
          <w:b/>
          <w:sz w:val="24"/>
          <w:szCs w:val="24"/>
        </w:rPr>
      </w:pPr>
      <w:r>
        <w:rPr>
          <w:rFonts w:ascii="Tahoma" w:hAnsi="Tahoma" w:cs="Tahoma"/>
          <w:b/>
          <w:sz w:val="24"/>
          <w:szCs w:val="24"/>
        </w:rPr>
        <w:t>G. KATEWERA AND OTHERS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0E311B">
        <w:rPr>
          <w:rFonts w:ascii="Tahoma" w:hAnsi="Tahoma" w:cs="Tahoma"/>
          <w:b/>
          <w:sz w:val="24"/>
          <w:szCs w:val="24"/>
        </w:rPr>
        <w:tab/>
        <w:t>-</w:t>
      </w:r>
      <w:r w:rsidRPr="000E311B">
        <w:rPr>
          <w:rFonts w:ascii="Tahoma" w:hAnsi="Tahoma" w:cs="Tahoma"/>
          <w:b/>
          <w:sz w:val="24"/>
          <w:szCs w:val="24"/>
        </w:rPr>
        <w:tab/>
        <w:t>Respondent</w:t>
      </w:r>
      <w:r>
        <w:rPr>
          <w:rFonts w:ascii="Tahoma" w:hAnsi="Tahoma" w:cs="Tahoma"/>
          <w:b/>
          <w:sz w:val="24"/>
          <w:szCs w:val="24"/>
        </w:rPr>
        <w:t>s</w:t>
      </w:r>
    </w:p>
    <w:p w:rsidR="00AB10C8" w:rsidRPr="000E311B" w:rsidRDefault="00AB10C8" w:rsidP="00AB10C8">
      <w:pPr>
        <w:spacing w:after="0" w:line="240" w:lineRule="auto"/>
        <w:jc w:val="both"/>
        <w:rPr>
          <w:rFonts w:ascii="Tahoma" w:hAnsi="Tahoma" w:cs="Tahoma"/>
          <w:b/>
          <w:sz w:val="24"/>
          <w:szCs w:val="24"/>
        </w:rPr>
      </w:pPr>
    </w:p>
    <w:p w:rsidR="00AB10C8" w:rsidRDefault="00AB10C8" w:rsidP="00AB10C8">
      <w:pPr>
        <w:spacing w:after="0" w:line="240" w:lineRule="auto"/>
        <w:jc w:val="both"/>
        <w:rPr>
          <w:rFonts w:ascii="Tahoma" w:hAnsi="Tahoma" w:cs="Tahoma"/>
          <w:b/>
          <w:sz w:val="26"/>
          <w:szCs w:val="26"/>
        </w:rPr>
      </w:pPr>
    </w:p>
    <w:p w:rsidR="00E02B1A" w:rsidRPr="001A3358" w:rsidRDefault="00E02B1A" w:rsidP="00AB10C8">
      <w:pPr>
        <w:spacing w:after="0" w:line="240" w:lineRule="auto"/>
        <w:jc w:val="both"/>
        <w:rPr>
          <w:rFonts w:ascii="Tahoma" w:hAnsi="Tahoma" w:cs="Tahoma"/>
          <w:b/>
          <w:sz w:val="26"/>
          <w:szCs w:val="26"/>
        </w:rPr>
      </w:pPr>
    </w:p>
    <w:p w:rsidR="00AB10C8" w:rsidRPr="000E311B" w:rsidRDefault="00AB10C8" w:rsidP="00AB10C8">
      <w:pPr>
        <w:spacing w:after="0" w:line="360" w:lineRule="auto"/>
        <w:jc w:val="both"/>
        <w:rPr>
          <w:rFonts w:ascii="Tahoma" w:hAnsi="Tahoma" w:cs="Tahoma"/>
          <w:sz w:val="24"/>
          <w:szCs w:val="24"/>
        </w:rPr>
      </w:pPr>
      <w:r w:rsidRPr="000E311B">
        <w:rPr>
          <w:rFonts w:ascii="Tahoma" w:hAnsi="Tahoma" w:cs="Tahoma"/>
          <w:sz w:val="24"/>
          <w:szCs w:val="24"/>
        </w:rPr>
        <w:t xml:space="preserve">Before The Honourable </w:t>
      </w:r>
      <w:r>
        <w:rPr>
          <w:rFonts w:ascii="Tahoma" w:hAnsi="Tahoma" w:cs="Tahoma"/>
          <w:sz w:val="24"/>
          <w:szCs w:val="24"/>
        </w:rPr>
        <w:t>B.T. Chivizhe</w:t>
      </w:r>
      <w:r w:rsidRPr="000E311B">
        <w:rPr>
          <w:rFonts w:ascii="Tahoma" w:hAnsi="Tahoma" w:cs="Tahoma"/>
          <w:sz w:val="24"/>
          <w:szCs w:val="24"/>
        </w:rPr>
        <w:t>, Judge</w:t>
      </w:r>
    </w:p>
    <w:p w:rsidR="00AB10C8" w:rsidRPr="000E311B" w:rsidRDefault="00AB10C8" w:rsidP="00AB10C8">
      <w:pPr>
        <w:spacing w:after="0" w:line="360" w:lineRule="auto"/>
        <w:ind w:firstLine="720"/>
        <w:jc w:val="both"/>
        <w:rPr>
          <w:rFonts w:ascii="Tahoma" w:hAnsi="Tahoma" w:cs="Tahoma"/>
          <w:sz w:val="24"/>
          <w:szCs w:val="24"/>
        </w:rPr>
      </w:pPr>
      <w:r w:rsidRPr="000E311B">
        <w:rPr>
          <w:rFonts w:ascii="Tahoma" w:hAnsi="Tahoma" w:cs="Tahoma"/>
          <w:sz w:val="24"/>
          <w:szCs w:val="24"/>
        </w:rPr>
        <w:t>The Honourable L.M. Murasi, Judge</w:t>
      </w:r>
    </w:p>
    <w:p w:rsidR="00AB10C8" w:rsidRPr="000E311B" w:rsidRDefault="00AB10C8" w:rsidP="00AB10C8">
      <w:pPr>
        <w:spacing w:after="0" w:line="360" w:lineRule="auto"/>
        <w:jc w:val="both"/>
        <w:rPr>
          <w:rFonts w:ascii="Tahoma" w:hAnsi="Tahoma" w:cs="Tahoma"/>
          <w:b/>
          <w:sz w:val="24"/>
          <w:szCs w:val="24"/>
        </w:rPr>
      </w:pPr>
      <w:r>
        <w:rPr>
          <w:rFonts w:ascii="Tahoma" w:hAnsi="Tahoma" w:cs="Tahoma"/>
          <w:b/>
          <w:sz w:val="24"/>
          <w:szCs w:val="24"/>
        </w:rPr>
        <w:t>For Appellant</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Pr>
          <w:rFonts w:ascii="Tahoma" w:hAnsi="Tahoma" w:cs="Tahoma"/>
          <w:b/>
          <w:sz w:val="24"/>
          <w:szCs w:val="24"/>
        </w:rPr>
        <w:t>Mr. N. Munyuru (Legal Practitioner)</w:t>
      </w:r>
    </w:p>
    <w:p w:rsidR="00AB10C8" w:rsidRPr="000E311B" w:rsidRDefault="00AB10C8" w:rsidP="00AB10C8">
      <w:pPr>
        <w:spacing w:after="0" w:line="240" w:lineRule="auto"/>
        <w:jc w:val="both"/>
        <w:rPr>
          <w:rFonts w:ascii="Tahoma" w:hAnsi="Tahoma" w:cs="Tahoma"/>
          <w:b/>
          <w:sz w:val="24"/>
          <w:szCs w:val="24"/>
        </w:rPr>
      </w:pPr>
      <w:r w:rsidRPr="000E311B">
        <w:rPr>
          <w:rFonts w:ascii="Tahoma" w:hAnsi="Tahoma" w:cs="Tahoma"/>
          <w:b/>
          <w:sz w:val="24"/>
          <w:szCs w:val="24"/>
        </w:rPr>
        <w:t>For Respondent</w:t>
      </w:r>
      <w:r>
        <w:rPr>
          <w:rFonts w:ascii="Tahoma" w:hAnsi="Tahoma" w:cs="Tahoma"/>
          <w:b/>
          <w:sz w:val="24"/>
          <w:szCs w:val="24"/>
        </w:rPr>
        <w:t>s</w:t>
      </w:r>
      <w:r w:rsidRPr="000E311B">
        <w:rPr>
          <w:rFonts w:ascii="Tahoma" w:hAnsi="Tahoma" w:cs="Tahoma"/>
          <w:b/>
          <w:sz w:val="24"/>
          <w:szCs w:val="24"/>
        </w:rPr>
        <w:t xml:space="preserve"> </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Pr>
          <w:rFonts w:ascii="Tahoma" w:hAnsi="Tahoma" w:cs="Tahoma"/>
          <w:b/>
          <w:sz w:val="24"/>
          <w:szCs w:val="24"/>
        </w:rPr>
        <w:t>Mr. John Denhere (ZFTU)</w:t>
      </w:r>
    </w:p>
    <w:p w:rsidR="00AB10C8" w:rsidRDefault="00AB10C8" w:rsidP="00AB10C8">
      <w:pPr>
        <w:spacing w:after="0" w:line="240" w:lineRule="auto"/>
        <w:jc w:val="both"/>
        <w:rPr>
          <w:rFonts w:ascii="Tahoma" w:hAnsi="Tahoma" w:cs="Tahoma"/>
          <w:b/>
          <w:sz w:val="26"/>
          <w:szCs w:val="26"/>
        </w:rPr>
      </w:pPr>
    </w:p>
    <w:p w:rsidR="00E02B1A" w:rsidRPr="001A3358" w:rsidRDefault="00E02B1A" w:rsidP="00AB10C8">
      <w:pPr>
        <w:spacing w:after="0" w:line="240" w:lineRule="auto"/>
        <w:jc w:val="both"/>
        <w:rPr>
          <w:rFonts w:ascii="Tahoma" w:hAnsi="Tahoma" w:cs="Tahoma"/>
          <w:b/>
          <w:sz w:val="26"/>
          <w:szCs w:val="26"/>
        </w:rPr>
      </w:pPr>
    </w:p>
    <w:p w:rsidR="00AB10C8" w:rsidRPr="001A3358" w:rsidRDefault="00AB10C8" w:rsidP="00AB10C8">
      <w:pPr>
        <w:spacing w:after="0" w:line="240" w:lineRule="auto"/>
        <w:jc w:val="both"/>
        <w:rPr>
          <w:rFonts w:ascii="Tahoma" w:hAnsi="Tahoma" w:cs="Tahoma"/>
          <w:b/>
          <w:sz w:val="26"/>
          <w:szCs w:val="26"/>
        </w:rPr>
      </w:pPr>
    </w:p>
    <w:p w:rsidR="00AB10C8" w:rsidRPr="001A3358" w:rsidRDefault="00AB10C8" w:rsidP="00AB10C8">
      <w:pPr>
        <w:spacing w:after="0" w:line="240" w:lineRule="auto"/>
        <w:jc w:val="both"/>
        <w:rPr>
          <w:rFonts w:ascii="Tahoma" w:hAnsi="Tahoma" w:cs="Tahoma"/>
          <w:b/>
          <w:sz w:val="26"/>
          <w:szCs w:val="26"/>
        </w:rPr>
      </w:pPr>
      <w:r w:rsidRPr="001A3358">
        <w:rPr>
          <w:rFonts w:ascii="Tahoma" w:hAnsi="Tahoma" w:cs="Tahoma"/>
          <w:b/>
          <w:sz w:val="26"/>
          <w:szCs w:val="26"/>
        </w:rPr>
        <w:t>MURASI, J.</w:t>
      </w:r>
    </w:p>
    <w:p w:rsidR="00AB10C8" w:rsidRDefault="00AB10C8" w:rsidP="00AB10C8">
      <w:pPr>
        <w:spacing w:after="0" w:line="360" w:lineRule="auto"/>
        <w:jc w:val="both"/>
        <w:rPr>
          <w:rFonts w:ascii="Tahoma" w:hAnsi="Tahoma" w:cs="Tahoma"/>
          <w:b/>
          <w:sz w:val="26"/>
          <w:szCs w:val="26"/>
        </w:rPr>
      </w:pPr>
    </w:p>
    <w:p w:rsidR="00E02B1A" w:rsidRPr="001A3358" w:rsidRDefault="00E02B1A" w:rsidP="00AB10C8">
      <w:pPr>
        <w:spacing w:after="0" w:line="360" w:lineRule="auto"/>
        <w:jc w:val="both"/>
        <w:rPr>
          <w:rFonts w:ascii="Tahoma" w:hAnsi="Tahoma" w:cs="Tahoma"/>
          <w:b/>
          <w:sz w:val="26"/>
          <w:szCs w:val="26"/>
        </w:rPr>
      </w:pPr>
    </w:p>
    <w:p w:rsidR="00AB10C8" w:rsidRDefault="00AB10C8" w:rsidP="00AB10C8">
      <w:pPr>
        <w:spacing w:line="360" w:lineRule="auto"/>
        <w:ind w:firstLine="567"/>
        <w:jc w:val="both"/>
        <w:rPr>
          <w:rFonts w:ascii="Tahoma" w:hAnsi="Tahoma" w:cs="Tahoma"/>
          <w:sz w:val="26"/>
          <w:szCs w:val="26"/>
        </w:rPr>
      </w:pPr>
      <w:r>
        <w:rPr>
          <w:rFonts w:ascii="Tahoma" w:hAnsi="Tahoma" w:cs="Tahoma"/>
          <w:sz w:val="26"/>
          <w:szCs w:val="26"/>
        </w:rPr>
        <w:t xml:space="preserve">Respondents were employed by Appellant as builders on fixed term contracts from February 2008 until August, 2012.  Respondents had several such contracts renewed at intervals.  Respondents’ contracts of employment were terminated and the matter was brought before the National Employment Council for the Construction Industry for conciliation and subsequently to an Arbitrator.   Respondents claimed that by the nature of their duties, they should be </w:t>
      </w:r>
      <w:r w:rsidR="00622381">
        <w:rPr>
          <w:rFonts w:ascii="Tahoma" w:hAnsi="Tahoma" w:cs="Tahoma"/>
          <w:sz w:val="26"/>
          <w:szCs w:val="26"/>
        </w:rPr>
        <w:t xml:space="preserve">classified and paid according to the Construction Industry rates.  Appellant, on the other hand, argued that the enterprise was registered under the National Employment Council for Welfare and Educational Institutions and therefore the Respondents should be paid and were paid as graded. </w:t>
      </w:r>
    </w:p>
    <w:p w:rsidR="00622381" w:rsidRDefault="00622381" w:rsidP="00AB10C8">
      <w:pPr>
        <w:spacing w:line="360" w:lineRule="auto"/>
        <w:ind w:firstLine="567"/>
        <w:jc w:val="both"/>
        <w:rPr>
          <w:rFonts w:ascii="Tahoma" w:hAnsi="Tahoma" w:cs="Tahoma"/>
          <w:sz w:val="26"/>
          <w:szCs w:val="26"/>
        </w:rPr>
      </w:pPr>
    </w:p>
    <w:p w:rsidR="00622381" w:rsidRDefault="00622381" w:rsidP="00AB10C8">
      <w:pPr>
        <w:spacing w:line="360" w:lineRule="auto"/>
        <w:ind w:firstLine="567"/>
        <w:jc w:val="both"/>
        <w:rPr>
          <w:rFonts w:ascii="Tahoma" w:hAnsi="Tahoma" w:cs="Tahoma"/>
          <w:sz w:val="26"/>
          <w:szCs w:val="26"/>
        </w:rPr>
      </w:pPr>
      <w:r>
        <w:rPr>
          <w:rFonts w:ascii="Tahoma" w:hAnsi="Tahoma" w:cs="Tahoma"/>
          <w:sz w:val="26"/>
          <w:szCs w:val="26"/>
        </w:rPr>
        <w:lastRenderedPageBreak/>
        <w:t>The second issue for determination by the Arbitrator was whether the Respondents’ contracts ha</w:t>
      </w:r>
      <w:r w:rsidR="00203E36">
        <w:rPr>
          <w:rFonts w:ascii="Tahoma" w:hAnsi="Tahoma" w:cs="Tahoma"/>
          <w:sz w:val="26"/>
          <w:szCs w:val="26"/>
        </w:rPr>
        <w:t>d been unlawfully terminated.  Th</w:t>
      </w:r>
      <w:r>
        <w:rPr>
          <w:rFonts w:ascii="Tahoma" w:hAnsi="Tahoma" w:cs="Tahoma"/>
          <w:sz w:val="26"/>
          <w:szCs w:val="26"/>
        </w:rPr>
        <w:t xml:space="preserve">e Arbitrator ruled </w:t>
      </w:r>
      <w:r w:rsidR="00E02B1A">
        <w:rPr>
          <w:rFonts w:ascii="Tahoma" w:hAnsi="Tahoma" w:cs="Tahoma"/>
          <w:sz w:val="26"/>
          <w:szCs w:val="26"/>
        </w:rPr>
        <w:t>that:</w:t>
      </w:r>
      <w:r>
        <w:rPr>
          <w:rFonts w:ascii="Tahoma" w:hAnsi="Tahoma" w:cs="Tahoma"/>
          <w:sz w:val="26"/>
          <w:szCs w:val="26"/>
        </w:rPr>
        <w:t xml:space="preserve"> </w:t>
      </w:r>
    </w:p>
    <w:p w:rsidR="00622381" w:rsidRDefault="00622381" w:rsidP="00622381">
      <w:pPr>
        <w:pStyle w:val="ListParagraph"/>
        <w:numPr>
          <w:ilvl w:val="0"/>
          <w:numId w:val="2"/>
        </w:numPr>
        <w:spacing w:line="360" w:lineRule="auto"/>
        <w:ind w:left="567" w:hanging="567"/>
        <w:jc w:val="both"/>
        <w:rPr>
          <w:rFonts w:ascii="Tahoma" w:hAnsi="Tahoma" w:cs="Tahoma"/>
          <w:sz w:val="26"/>
          <w:szCs w:val="26"/>
        </w:rPr>
      </w:pPr>
      <w:r>
        <w:rPr>
          <w:rFonts w:ascii="Tahoma" w:hAnsi="Tahoma" w:cs="Tahoma"/>
          <w:sz w:val="26"/>
          <w:szCs w:val="26"/>
        </w:rPr>
        <w:t>Respondents fell under the National Employment Council for the Construction Industry and therefore were entitled to receive arrear salaries arising out of the discrepancies between the salaries paid by Appellant and the correct grades.</w:t>
      </w:r>
    </w:p>
    <w:p w:rsidR="00622381" w:rsidRDefault="00622381" w:rsidP="00622381">
      <w:pPr>
        <w:pStyle w:val="ListParagraph"/>
        <w:spacing w:line="240" w:lineRule="auto"/>
        <w:ind w:left="567"/>
        <w:jc w:val="both"/>
        <w:rPr>
          <w:rFonts w:ascii="Tahoma" w:hAnsi="Tahoma" w:cs="Tahoma"/>
          <w:sz w:val="26"/>
          <w:szCs w:val="26"/>
        </w:rPr>
      </w:pPr>
    </w:p>
    <w:p w:rsidR="00622381" w:rsidRDefault="00622381" w:rsidP="00622381">
      <w:pPr>
        <w:pStyle w:val="ListParagraph"/>
        <w:numPr>
          <w:ilvl w:val="0"/>
          <w:numId w:val="2"/>
        </w:numPr>
        <w:spacing w:line="360" w:lineRule="auto"/>
        <w:ind w:left="567" w:hanging="567"/>
        <w:jc w:val="both"/>
        <w:rPr>
          <w:rFonts w:ascii="Tahoma" w:hAnsi="Tahoma" w:cs="Tahoma"/>
          <w:sz w:val="26"/>
          <w:szCs w:val="26"/>
        </w:rPr>
      </w:pPr>
      <w:r>
        <w:rPr>
          <w:rFonts w:ascii="Tahoma" w:hAnsi="Tahoma" w:cs="Tahoma"/>
          <w:sz w:val="26"/>
          <w:szCs w:val="26"/>
        </w:rPr>
        <w:t>Respondents’ contracts of employment were “</w:t>
      </w:r>
      <w:r w:rsidRPr="00622381">
        <w:rPr>
          <w:rFonts w:ascii="Tahoma" w:hAnsi="Tahoma" w:cs="Tahoma"/>
          <w:i/>
          <w:sz w:val="26"/>
          <w:szCs w:val="26"/>
        </w:rPr>
        <w:t>unfair (unlawful)</w:t>
      </w:r>
      <w:r>
        <w:rPr>
          <w:rFonts w:ascii="Tahoma" w:hAnsi="Tahoma" w:cs="Tahoma"/>
          <w:sz w:val="26"/>
          <w:szCs w:val="26"/>
        </w:rPr>
        <w:t xml:space="preserve">” and the Appellant was to re-instate the Respondents without loss of salary and benefits with effect from the date of termination. </w:t>
      </w:r>
    </w:p>
    <w:p w:rsidR="00622381" w:rsidRPr="00622381" w:rsidRDefault="00622381" w:rsidP="00622381">
      <w:pPr>
        <w:pStyle w:val="ListParagraph"/>
        <w:rPr>
          <w:rFonts w:ascii="Tahoma" w:hAnsi="Tahoma" w:cs="Tahoma"/>
          <w:sz w:val="26"/>
          <w:szCs w:val="26"/>
        </w:rPr>
      </w:pPr>
    </w:p>
    <w:p w:rsidR="00622381" w:rsidRDefault="00622381" w:rsidP="00622381">
      <w:pPr>
        <w:spacing w:line="360" w:lineRule="auto"/>
        <w:ind w:firstLine="567"/>
        <w:jc w:val="both"/>
        <w:rPr>
          <w:rFonts w:ascii="Tahoma" w:hAnsi="Tahoma" w:cs="Tahoma"/>
          <w:sz w:val="26"/>
          <w:szCs w:val="26"/>
        </w:rPr>
      </w:pPr>
      <w:r>
        <w:rPr>
          <w:rFonts w:ascii="Tahoma" w:hAnsi="Tahoma" w:cs="Tahoma"/>
          <w:sz w:val="26"/>
          <w:szCs w:val="26"/>
        </w:rPr>
        <w:t xml:space="preserve">Appellant is aggrieved with this ruling and has approached this Court for relief.  Appellant argues that Respondents were not unfairly dismissed as their contracts terminated due to effluxion of time.  Secondly, Respondents, Appellant further avers, did not belong to the Construction Industry and could not be paid according to the rates in that industry but according to the rates pertaining to the industry in which Appellant was registered. </w:t>
      </w:r>
    </w:p>
    <w:p w:rsidR="00622381" w:rsidRDefault="00622381" w:rsidP="00E02B1A">
      <w:pPr>
        <w:spacing w:after="120" w:line="360" w:lineRule="auto"/>
        <w:ind w:firstLine="567"/>
        <w:jc w:val="both"/>
        <w:rPr>
          <w:rFonts w:ascii="Tahoma" w:hAnsi="Tahoma" w:cs="Tahoma"/>
          <w:sz w:val="26"/>
          <w:szCs w:val="26"/>
        </w:rPr>
      </w:pPr>
    </w:p>
    <w:p w:rsidR="00622381" w:rsidRDefault="00622381" w:rsidP="00622381">
      <w:pPr>
        <w:spacing w:line="360" w:lineRule="auto"/>
        <w:ind w:firstLine="567"/>
        <w:jc w:val="both"/>
        <w:rPr>
          <w:rFonts w:ascii="Tahoma" w:hAnsi="Tahoma" w:cs="Tahoma"/>
          <w:sz w:val="26"/>
          <w:szCs w:val="26"/>
        </w:rPr>
      </w:pPr>
      <w:r>
        <w:rPr>
          <w:rFonts w:ascii="Tahoma" w:hAnsi="Tahoma" w:cs="Tahoma"/>
          <w:sz w:val="26"/>
          <w:szCs w:val="26"/>
        </w:rPr>
        <w:t xml:space="preserve">The Court will consider the issue of classification first.  Respondents aver that since they were employed as builders, their salaries should be pegged in line with those in the Construction Industry.  Appellant, on the other hand, insists that this cannot be so but that the rates relating to the industry in which Appellant is </w:t>
      </w:r>
      <w:r w:rsidR="00394B2D">
        <w:rPr>
          <w:rFonts w:ascii="Tahoma" w:hAnsi="Tahoma" w:cs="Tahoma"/>
          <w:sz w:val="26"/>
          <w:szCs w:val="26"/>
        </w:rPr>
        <w:t xml:space="preserve">registered should be used.  The question to be answered is whether the legislature envisaged a situation where an enterprise employing a large number of employees would have to grade each and every employee according to his/her skills and profession and proceed to implement salary grades and scales of different industries.  This question is partly answered by having a look at the Labour Act </w:t>
      </w:r>
      <w:r w:rsidR="00394B2D" w:rsidRPr="00394B2D">
        <w:rPr>
          <w:rFonts w:ascii="Tahoma" w:hAnsi="Tahoma" w:cs="Tahoma"/>
          <w:i/>
          <w:sz w:val="26"/>
          <w:szCs w:val="26"/>
        </w:rPr>
        <w:t>[</w:t>
      </w:r>
      <w:r w:rsidR="00394B2D">
        <w:rPr>
          <w:rFonts w:ascii="Tahoma" w:hAnsi="Tahoma" w:cs="Tahoma"/>
          <w:i/>
          <w:sz w:val="26"/>
          <w:szCs w:val="26"/>
        </w:rPr>
        <w:t xml:space="preserve">Chapter 28:01].  </w:t>
      </w:r>
      <w:r w:rsidR="00394B2D">
        <w:rPr>
          <w:rFonts w:ascii="Tahoma" w:hAnsi="Tahoma" w:cs="Tahoma"/>
          <w:sz w:val="26"/>
          <w:szCs w:val="26"/>
        </w:rPr>
        <w:t xml:space="preserve">When registering trade </w:t>
      </w:r>
      <w:r w:rsidR="00394B2D">
        <w:rPr>
          <w:rFonts w:ascii="Tahoma" w:hAnsi="Tahoma" w:cs="Tahoma"/>
          <w:sz w:val="26"/>
          <w:szCs w:val="26"/>
        </w:rPr>
        <w:lastRenderedPageBreak/>
        <w:t>unions and employers organisations and such other groups, the Registrar is enjoined, in terms of section 45(1)(a)(iv), to take into account –</w:t>
      </w:r>
    </w:p>
    <w:p w:rsidR="00394B2D" w:rsidRDefault="00394B2D" w:rsidP="00394B2D">
      <w:pPr>
        <w:spacing w:line="360" w:lineRule="auto"/>
        <w:ind w:left="567" w:firstLine="870"/>
        <w:jc w:val="both"/>
        <w:rPr>
          <w:rFonts w:ascii="Times New Roman" w:hAnsi="Times New Roman" w:cs="Times New Roman"/>
          <w:i/>
          <w:sz w:val="24"/>
          <w:szCs w:val="24"/>
        </w:rPr>
      </w:pPr>
      <w:r w:rsidRPr="00394B2D">
        <w:rPr>
          <w:rFonts w:ascii="Times New Roman" w:hAnsi="Times New Roman" w:cs="Times New Roman"/>
          <w:i/>
          <w:sz w:val="24"/>
          <w:szCs w:val="24"/>
        </w:rPr>
        <w:t>“the desirability of reducing to the least possible number, the number of entities with which employees and employers have to negotiate; and ...”</w:t>
      </w:r>
    </w:p>
    <w:p w:rsidR="00394B2D" w:rsidRPr="00394B2D" w:rsidRDefault="00394B2D" w:rsidP="00394B2D">
      <w:pPr>
        <w:spacing w:after="0" w:line="360" w:lineRule="auto"/>
        <w:ind w:left="567" w:firstLine="870"/>
        <w:jc w:val="both"/>
        <w:rPr>
          <w:rFonts w:ascii="Times New Roman" w:hAnsi="Times New Roman" w:cs="Times New Roman"/>
          <w:i/>
          <w:sz w:val="24"/>
          <w:szCs w:val="24"/>
        </w:rPr>
      </w:pPr>
    </w:p>
    <w:p w:rsidR="00394B2D" w:rsidRDefault="00394B2D" w:rsidP="00394B2D">
      <w:pPr>
        <w:spacing w:line="360" w:lineRule="auto"/>
        <w:jc w:val="both"/>
        <w:rPr>
          <w:rFonts w:ascii="Tahoma" w:hAnsi="Tahoma" w:cs="Tahoma"/>
          <w:sz w:val="26"/>
          <w:szCs w:val="26"/>
        </w:rPr>
      </w:pPr>
      <w:r>
        <w:rPr>
          <w:rFonts w:ascii="Tahoma" w:hAnsi="Tahoma" w:cs="Tahoma"/>
          <w:sz w:val="26"/>
          <w:szCs w:val="26"/>
        </w:rPr>
        <w:tab/>
        <w:t>It is clear that a situation where an enterprise has to deal with a multiplicity of unions was not contemplated by the legislature.  The other issue to be considered is what is termed the “</w:t>
      </w:r>
      <w:r w:rsidRPr="00394B2D">
        <w:rPr>
          <w:rFonts w:ascii="Tahoma" w:hAnsi="Tahoma" w:cs="Tahoma"/>
          <w:i/>
          <w:sz w:val="26"/>
          <w:szCs w:val="26"/>
        </w:rPr>
        <w:t>Primary Purpose</w:t>
      </w:r>
      <w:r>
        <w:rPr>
          <w:rFonts w:ascii="Tahoma" w:hAnsi="Tahoma" w:cs="Tahoma"/>
          <w:sz w:val="26"/>
          <w:szCs w:val="26"/>
        </w:rPr>
        <w:t>” for which that enterprise and the employees were associated.  In other words, the principal activity of the enterprise is to be taken into account.  This view was expressed by Smith J., in</w:t>
      </w:r>
      <w:r>
        <w:rPr>
          <w:rFonts w:ascii="Tahoma" w:hAnsi="Tahoma" w:cs="Tahoma"/>
          <w:b/>
          <w:sz w:val="26"/>
          <w:szCs w:val="26"/>
        </w:rPr>
        <w:t xml:space="preserve"> United Food and Allied Workers Union of </w:t>
      </w:r>
      <w:r w:rsidR="009F5EB8">
        <w:rPr>
          <w:rFonts w:ascii="Tahoma" w:hAnsi="Tahoma" w:cs="Tahoma"/>
          <w:b/>
          <w:sz w:val="26"/>
          <w:szCs w:val="26"/>
        </w:rPr>
        <w:t xml:space="preserve">Zimbabwe Vs Crest Breeders International (Private) Limited HH 139/95.  </w:t>
      </w:r>
      <w:r w:rsidR="009F5EB8">
        <w:rPr>
          <w:rFonts w:ascii="Tahoma" w:hAnsi="Tahoma" w:cs="Tahoma"/>
          <w:sz w:val="26"/>
          <w:szCs w:val="26"/>
        </w:rPr>
        <w:t xml:space="preserve">In the present case, Appellant’s business was not concerned with building, but that construction was an ancillary type of work complementary to the activities of Appellant.  Taking this into consideration, this therefore means that Respondents were correctly graded by Appellant and the Arbitrator erred in this regard. </w:t>
      </w:r>
    </w:p>
    <w:p w:rsidR="00E02B1A" w:rsidRDefault="00E02B1A" w:rsidP="00E02B1A">
      <w:pPr>
        <w:spacing w:after="120" w:line="360" w:lineRule="auto"/>
        <w:jc w:val="both"/>
        <w:rPr>
          <w:rFonts w:ascii="Tahoma" w:hAnsi="Tahoma" w:cs="Tahoma"/>
          <w:sz w:val="26"/>
          <w:szCs w:val="26"/>
        </w:rPr>
      </w:pPr>
    </w:p>
    <w:p w:rsidR="009F5EB8" w:rsidRDefault="009F5EB8" w:rsidP="009F5EB8">
      <w:pPr>
        <w:spacing w:line="360" w:lineRule="auto"/>
        <w:ind w:firstLine="720"/>
        <w:jc w:val="both"/>
        <w:rPr>
          <w:rFonts w:ascii="Tahoma" w:hAnsi="Tahoma" w:cs="Tahoma"/>
          <w:sz w:val="26"/>
          <w:szCs w:val="26"/>
        </w:rPr>
      </w:pPr>
      <w:r>
        <w:rPr>
          <w:rFonts w:ascii="Tahoma" w:hAnsi="Tahoma" w:cs="Tahoma"/>
          <w:sz w:val="26"/>
          <w:szCs w:val="26"/>
        </w:rPr>
        <w:t xml:space="preserve">The second issue to be considered is whether there was unlawful termination of employment.  The facts show that Respondents were employed on fixed term contracts which were renewed on different occasions.  A sample copy of the contract was produced before </w:t>
      </w:r>
      <w:r w:rsidR="00203E36">
        <w:rPr>
          <w:rFonts w:ascii="Tahoma" w:hAnsi="Tahoma" w:cs="Tahoma"/>
          <w:sz w:val="26"/>
          <w:szCs w:val="26"/>
        </w:rPr>
        <w:t>the Court by c</w:t>
      </w:r>
      <w:r>
        <w:rPr>
          <w:rFonts w:ascii="Tahoma" w:hAnsi="Tahoma" w:cs="Tahoma"/>
          <w:sz w:val="26"/>
          <w:szCs w:val="26"/>
        </w:rPr>
        <w:t xml:space="preserve">onsent (Annexure A).  The essential features for the purposes of this matter are that the contract: </w:t>
      </w:r>
    </w:p>
    <w:p w:rsidR="009F5EB8" w:rsidRDefault="009F5EB8" w:rsidP="009F5EB8">
      <w:pPr>
        <w:pStyle w:val="ListParagraph"/>
        <w:numPr>
          <w:ilvl w:val="0"/>
          <w:numId w:val="3"/>
        </w:numPr>
        <w:spacing w:line="360" w:lineRule="auto"/>
        <w:jc w:val="both"/>
        <w:rPr>
          <w:rFonts w:ascii="Tahoma" w:hAnsi="Tahoma" w:cs="Tahoma"/>
          <w:sz w:val="26"/>
          <w:szCs w:val="26"/>
        </w:rPr>
      </w:pPr>
      <w:r>
        <w:rPr>
          <w:rFonts w:ascii="Tahoma" w:hAnsi="Tahoma" w:cs="Tahoma"/>
          <w:sz w:val="26"/>
          <w:szCs w:val="26"/>
        </w:rPr>
        <w:t xml:space="preserve">gives the employee’s position; </w:t>
      </w:r>
    </w:p>
    <w:p w:rsidR="009F5EB8" w:rsidRDefault="009F5EB8" w:rsidP="009F5EB8">
      <w:pPr>
        <w:pStyle w:val="ListParagraph"/>
        <w:numPr>
          <w:ilvl w:val="0"/>
          <w:numId w:val="3"/>
        </w:numPr>
        <w:spacing w:line="360" w:lineRule="auto"/>
        <w:jc w:val="both"/>
        <w:rPr>
          <w:rFonts w:ascii="Tahoma" w:hAnsi="Tahoma" w:cs="Tahoma"/>
          <w:sz w:val="26"/>
          <w:szCs w:val="26"/>
        </w:rPr>
      </w:pPr>
      <w:r>
        <w:rPr>
          <w:rFonts w:ascii="Tahoma" w:hAnsi="Tahoma" w:cs="Tahoma"/>
          <w:sz w:val="26"/>
          <w:szCs w:val="26"/>
        </w:rPr>
        <w:t xml:space="preserve">gives the contract period; </w:t>
      </w:r>
    </w:p>
    <w:p w:rsidR="009F5EB8" w:rsidRDefault="009F5EB8" w:rsidP="009F5EB8">
      <w:pPr>
        <w:pStyle w:val="ListParagraph"/>
        <w:numPr>
          <w:ilvl w:val="0"/>
          <w:numId w:val="3"/>
        </w:numPr>
        <w:spacing w:line="360" w:lineRule="auto"/>
        <w:jc w:val="both"/>
        <w:rPr>
          <w:rFonts w:ascii="Tahoma" w:hAnsi="Tahoma" w:cs="Tahoma"/>
          <w:sz w:val="26"/>
          <w:szCs w:val="26"/>
        </w:rPr>
      </w:pPr>
      <w:r>
        <w:rPr>
          <w:rFonts w:ascii="Tahoma" w:hAnsi="Tahoma" w:cs="Tahoma"/>
          <w:sz w:val="26"/>
          <w:szCs w:val="26"/>
        </w:rPr>
        <w:t>provides for salary and benefits;</w:t>
      </w:r>
    </w:p>
    <w:p w:rsidR="009F5EB8" w:rsidRDefault="009F5EB8" w:rsidP="009F5EB8">
      <w:pPr>
        <w:pStyle w:val="ListParagraph"/>
        <w:numPr>
          <w:ilvl w:val="0"/>
          <w:numId w:val="3"/>
        </w:numPr>
        <w:spacing w:line="360" w:lineRule="auto"/>
        <w:jc w:val="both"/>
        <w:rPr>
          <w:rFonts w:ascii="Tahoma" w:hAnsi="Tahoma" w:cs="Tahoma"/>
          <w:sz w:val="26"/>
          <w:szCs w:val="26"/>
        </w:rPr>
      </w:pPr>
      <w:r>
        <w:rPr>
          <w:rFonts w:ascii="Tahoma" w:hAnsi="Tahoma" w:cs="Tahoma"/>
          <w:sz w:val="26"/>
          <w:szCs w:val="26"/>
          <w:u w:val="single"/>
        </w:rPr>
        <w:t xml:space="preserve">does not </w:t>
      </w:r>
      <w:r>
        <w:rPr>
          <w:rFonts w:ascii="Tahoma" w:hAnsi="Tahoma" w:cs="Tahoma"/>
          <w:sz w:val="26"/>
          <w:szCs w:val="26"/>
        </w:rPr>
        <w:t xml:space="preserve">provide for notice of termination. </w:t>
      </w:r>
    </w:p>
    <w:p w:rsidR="009F5EB8" w:rsidRDefault="009F5EB8" w:rsidP="009F5EB8">
      <w:pPr>
        <w:spacing w:after="0" w:line="360" w:lineRule="auto"/>
        <w:jc w:val="both"/>
        <w:rPr>
          <w:rFonts w:ascii="Tahoma" w:hAnsi="Tahoma" w:cs="Tahoma"/>
          <w:sz w:val="26"/>
          <w:szCs w:val="26"/>
        </w:rPr>
      </w:pPr>
    </w:p>
    <w:p w:rsidR="00C8177D" w:rsidRDefault="009F5EB8" w:rsidP="00C8177D">
      <w:pPr>
        <w:spacing w:line="360" w:lineRule="auto"/>
        <w:ind w:firstLine="720"/>
        <w:jc w:val="both"/>
        <w:rPr>
          <w:rFonts w:ascii="Tahoma" w:hAnsi="Tahoma" w:cs="Tahoma"/>
          <w:sz w:val="26"/>
          <w:szCs w:val="26"/>
        </w:rPr>
      </w:pPr>
      <w:r>
        <w:rPr>
          <w:rFonts w:ascii="Tahoma" w:hAnsi="Tahoma" w:cs="Tahoma"/>
          <w:sz w:val="26"/>
          <w:szCs w:val="26"/>
        </w:rPr>
        <w:t>In fact, the contract further provides that the employee states “</w:t>
      </w:r>
      <w:r w:rsidRPr="009F5EB8">
        <w:rPr>
          <w:rFonts w:ascii="Tahoma" w:hAnsi="Tahoma" w:cs="Tahoma"/>
          <w:i/>
          <w:sz w:val="26"/>
          <w:szCs w:val="26"/>
        </w:rPr>
        <w:t xml:space="preserve">I accept the foregoing broad terms and conditions of the </w:t>
      </w:r>
      <w:r w:rsidRPr="009F5EB8">
        <w:rPr>
          <w:rFonts w:ascii="Tahoma" w:hAnsi="Tahoma" w:cs="Tahoma"/>
          <w:i/>
          <w:sz w:val="26"/>
          <w:szCs w:val="26"/>
          <w:u w:val="single"/>
        </w:rPr>
        <w:t>time fixed contract</w:t>
      </w:r>
      <w:r w:rsidRPr="009F5EB8">
        <w:rPr>
          <w:rFonts w:ascii="Tahoma" w:hAnsi="Tahoma" w:cs="Tahoma"/>
          <w:i/>
          <w:sz w:val="26"/>
          <w:szCs w:val="26"/>
        </w:rPr>
        <w:t xml:space="preserve"> as outlined above.”</w:t>
      </w:r>
      <w:r>
        <w:rPr>
          <w:rFonts w:ascii="Tahoma" w:hAnsi="Tahoma" w:cs="Tahoma"/>
          <w:i/>
          <w:sz w:val="26"/>
          <w:szCs w:val="26"/>
        </w:rPr>
        <w:t xml:space="preserve"> </w:t>
      </w:r>
      <w:r>
        <w:rPr>
          <w:rFonts w:ascii="Tahoma" w:hAnsi="Tahoma" w:cs="Tahoma"/>
          <w:sz w:val="26"/>
          <w:szCs w:val="26"/>
        </w:rPr>
        <w:t xml:space="preserve"> (Own emphasis)</w:t>
      </w:r>
      <w:r w:rsidR="00C8177D">
        <w:rPr>
          <w:rFonts w:ascii="Tahoma" w:hAnsi="Tahoma" w:cs="Tahoma"/>
          <w:sz w:val="26"/>
          <w:szCs w:val="26"/>
        </w:rPr>
        <w:t xml:space="preserve">. </w:t>
      </w:r>
      <w:r>
        <w:rPr>
          <w:rFonts w:ascii="Tahoma" w:hAnsi="Tahoma" w:cs="Tahoma"/>
          <w:sz w:val="26"/>
          <w:szCs w:val="26"/>
        </w:rPr>
        <w:t xml:space="preserve"> The </w:t>
      </w:r>
      <w:r w:rsidR="00C8177D">
        <w:rPr>
          <w:rFonts w:ascii="Tahoma" w:hAnsi="Tahoma" w:cs="Tahoma"/>
          <w:sz w:val="26"/>
          <w:szCs w:val="26"/>
        </w:rPr>
        <w:t>employee therefore acknowledges</w:t>
      </w:r>
      <w:r>
        <w:rPr>
          <w:rFonts w:ascii="Tahoma" w:hAnsi="Tahoma" w:cs="Tahoma"/>
          <w:sz w:val="26"/>
          <w:szCs w:val="26"/>
        </w:rPr>
        <w:t xml:space="preserve"> that the contract is of fixed duration.  This is similar to the decision made in </w:t>
      </w:r>
      <w:r>
        <w:rPr>
          <w:rFonts w:ascii="Tahoma" w:hAnsi="Tahoma" w:cs="Tahoma"/>
          <w:b/>
          <w:sz w:val="26"/>
          <w:szCs w:val="26"/>
        </w:rPr>
        <w:t>Chikonye and Another Vs Peterhouse 1999(2) ZLR 329</w:t>
      </w:r>
      <w:r w:rsidR="00C8177D">
        <w:rPr>
          <w:rFonts w:ascii="Tahoma" w:hAnsi="Tahoma" w:cs="Tahoma"/>
          <w:b/>
          <w:sz w:val="26"/>
          <w:szCs w:val="26"/>
        </w:rPr>
        <w:t xml:space="preserve"> (S</w:t>
      </w:r>
      <w:r>
        <w:rPr>
          <w:rFonts w:ascii="Tahoma" w:hAnsi="Tahoma" w:cs="Tahoma"/>
          <w:b/>
          <w:sz w:val="26"/>
          <w:szCs w:val="26"/>
        </w:rPr>
        <w:t xml:space="preserve">) </w:t>
      </w:r>
      <w:r w:rsidR="00C8177D">
        <w:rPr>
          <w:rFonts w:ascii="Tahoma" w:hAnsi="Tahoma" w:cs="Tahoma"/>
          <w:sz w:val="26"/>
          <w:szCs w:val="26"/>
        </w:rPr>
        <w:t>where the Court held that, fixed term contracts expire due effluxion of time where there are no provisions for renewal.</w:t>
      </w:r>
    </w:p>
    <w:p w:rsidR="00C8177D" w:rsidRDefault="00C8177D" w:rsidP="00C8177D">
      <w:pPr>
        <w:spacing w:after="0" w:line="360" w:lineRule="auto"/>
        <w:jc w:val="both"/>
        <w:rPr>
          <w:rFonts w:ascii="Tahoma" w:hAnsi="Tahoma" w:cs="Tahoma"/>
          <w:sz w:val="26"/>
          <w:szCs w:val="26"/>
        </w:rPr>
      </w:pPr>
      <w:r>
        <w:rPr>
          <w:rFonts w:ascii="Tahoma" w:hAnsi="Tahoma" w:cs="Tahoma"/>
          <w:sz w:val="26"/>
          <w:szCs w:val="26"/>
        </w:rPr>
        <w:tab/>
      </w:r>
    </w:p>
    <w:p w:rsidR="00C8177D" w:rsidRPr="00C8177D" w:rsidRDefault="00C8177D" w:rsidP="00C8177D">
      <w:pPr>
        <w:spacing w:after="0" w:line="360" w:lineRule="auto"/>
        <w:jc w:val="both"/>
        <w:rPr>
          <w:rFonts w:ascii="Tahoma" w:hAnsi="Tahoma" w:cs="Tahoma"/>
          <w:i/>
          <w:sz w:val="26"/>
          <w:szCs w:val="26"/>
        </w:rPr>
      </w:pPr>
      <w:r>
        <w:rPr>
          <w:rFonts w:ascii="Tahoma" w:hAnsi="Tahoma" w:cs="Tahoma"/>
          <w:sz w:val="26"/>
          <w:szCs w:val="26"/>
        </w:rPr>
        <w:tab/>
        <w:t xml:space="preserve">The further issue to be considered are the provisions of section 12B (3)(b) of the Labour Act as to whether Respondents had a legitimate expectation of being re-employed by Appellant </w:t>
      </w:r>
      <w:r w:rsidRPr="00C8177D">
        <w:rPr>
          <w:rFonts w:ascii="Tahoma" w:hAnsi="Tahoma" w:cs="Tahoma"/>
          <w:sz w:val="26"/>
          <w:szCs w:val="26"/>
          <w:u w:val="single"/>
        </w:rPr>
        <w:t>and</w:t>
      </w:r>
      <w:r>
        <w:rPr>
          <w:rFonts w:ascii="Tahoma" w:hAnsi="Tahoma" w:cs="Tahoma"/>
          <w:sz w:val="26"/>
          <w:szCs w:val="26"/>
        </w:rPr>
        <w:t xml:space="preserve"> whether other persons were engaged to do their work.  The contract of employment produced in Court clearly shows that it ended on a specific date and was </w:t>
      </w:r>
      <w:r w:rsidRPr="00C8177D">
        <w:rPr>
          <w:rFonts w:ascii="Tahoma" w:hAnsi="Tahoma" w:cs="Tahoma"/>
          <w:i/>
          <w:sz w:val="26"/>
          <w:szCs w:val="26"/>
        </w:rPr>
        <w:t>“renewable provided project funding is available”.</w:t>
      </w:r>
    </w:p>
    <w:p w:rsidR="00C8177D" w:rsidRDefault="00C8177D" w:rsidP="00C8177D">
      <w:pPr>
        <w:spacing w:line="360" w:lineRule="auto"/>
        <w:jc w:val="both"/>
        <w:rPr>
          <w:rFonts w:ascii="Tahoma" w:hAnsi="Tahoma" w:cs="Tahoma"/>
          <w:i/>
          <w:sz w:val="26"/>
          <w:szCs w:val="26"/>
        </w:rPr>
      </w:pPr>
      <w:r w:rsidRPr="00C8177D">
        <w:rPr>
          <w:rFonts w:ascii="Tahoma" w:hAnsi="Tahoma" w:cs="Tahoma"/>
          <w:i/>
          <w:sz w:val="26"/>
          <w:szCs w:val="26"/>
        </w:rPr>
        <w:tab/>
      </w:r>
    </w:p>
    <w:p w:rsidR="003A2F62" w:rsidRDefault="00C8177D" w:rsidP="003A2F62">
      <w:pPr>
        <w:spacing w:after="0" w:line="360" w:lineRule="auto"/>
        <w:jc w:val="both"/>
        <w:rPr>
          <w:rFonts w:ascii="Tahoma" w:hAnsi="Tahoma" w:cs="Tahoma"/>
          <w:b/>
          <w:sz w:val="26"/>
          <w:szCs w:val="26"/>
        </w:rPr>
      </w:pPr>
      <w:r>
        <w:rPr>
          <w:rFonts w:ascii="Tahoma" w:hAnsi="Tahoma" w:cs="Tahoma"/>
          <w:sz w:val="26"/>
          <w:szCs w:val="26"/>
        </w:rPr>
        <w:tab/>
        <w:t xml:space="preserve">There was thus a rider to re-employment, that is, the availability of funding.  Can it therefore be said Respondents, in </w:t>
      </w:r>
      <w:r w:rsidR="00203E36">
        <w:rPr>
          <w:rFonts w:ascii="Tahoma" w:hAnsi="Tahoma" w:cs="Tahoma"/>
          <w:sz w:val="26"/>
          <w:szCs w:val="26"/>
        </w:rPr>
        <w:t xml:space="preserve">the </w:t>
      </w:r>
      <w:r>
        <w:rPr>
          <w:rFonts w:ascii="Tahoma" w:hAnsi="Tahoma" w:cs="Tahoma"/>
          <w:sz w:val="26"/>
          <w:szCs w:val="26"/>
        </w:rPr>
        <w:t>circumstances, would have had legitimate expectation of re-</w:t>
      </w:r>
      <w:r w:rsidR="003A2F62">
        <w:rPr>
          <w:rFonts w:ascii="Tahoma" w:hAnsi="Tahoma" w:cs="Tahoma"/>
          <w:sz w:val="26"/>
          <w:szCs w:val="26"/>
        </w:rPr>
        <w:t xml:space="preserve">employment?  The answer should be in the negative.  No evidence was adduced to show that other persons were employed in their stead.  There was a duty on Respondents to adduce this evidence to show that they had legitimate expectation to be re-employed.  See: </w:t>
      </w:r>
      <w:r w:rsidR="003A2F62">
        <w:rPr>
          <w:rFonts w:ascii="Tahoma" w:hAnsi="Tahoma" w:cs="Tahoma"/>
          <w:b/>
          <w:sz w:val="26"/>
          <w:szCs w:val="26"/>
        </w:rPr>
        <w:t xml:space="preserve">UZ-UCSF Collaborative Research Programme in Women’s Health Vs Shamuyarira 2010(1) ZLR 127(S). </w:t>
      </w:r>
    </w:p>
    <w:p w:rsidR="003A2F62" w:rsidRDefault="003A2F62" w:rsidP="003A2F62">
      <w:pPr>
        <w:spacing w:after="0" w:line="360" w:lineRule="auto"/>
        <w:jc w:val="both"/>
        <w:rPr>
          <w:rFonts w:ascii="Tahoma" w:hAnsi="Tahoma" w:cs="Tahoma"/>
          <w:b/>
          <w:sz w:val="26"/>
          <w:szCs w:val="26"/>
        </w:rPr>
      </w:pPr>
    </w:p>
    <w:p w:rsidR="009F5EB8" w:rsidRDefault="003A2F62" w:rsidP="003A2F62">
      <w:pPr>
        <w:spacing w:after="0" w:line="360" w:lineRule="auto"/>
        <w:jc w:val="both"/>
        <w:rPr>
          <w:rFonts w:ascii="Tahoma" w:hAnsi="Tahoma" w:cs="Tahoma"/>
          <w:sz w:val="26"/>
          <w:szCs w:val="26"/>
        </w:rPr>
      </w:pPr>
      <w:r>
        <w:rPr>
          <w:rFonts w:ascii="Tahoma" w:hAnsi="Tahoma" w:cs="Tahoma"/>
          <w:sz w:val="26"/>
          <w:szCs w:val="26"/>
        </w:rPr>
        <w:tab/>
        <w:t xml:space="preserve">In the result, the Court finds that the contracts signed by the Respondents were of a fixed duration and expired due to effluxion of time.  The Court further finds that Respondents did not have legitimate expectation to be re-employed. </w:t>
      </w:r>
    </w:p>
    <w:p w:rsidR="003A2F62" w:rsidRDefault="003A2F62" w:rsidP="003A2F62">
      <w:pPr>
        <w:spacing w:after="0" w:line="360" w:lineRule="auto"/>
        <w:jc w:val="both"/>
        <w:rPr>
          <w:rFonts w:ascii="Tahoma" w:hAnsi="Tahoma" w:cs="Tahoma"/>
          <w:sz w:val="26"/>
          <w:szCs w:val="26"/>
        </w:rPr>
      </w:pPr>
    </w:p>
    <w:p w:rsidR="003A2F62" w:rsidRDefault="003A2F62" w:rsidP="003A2F62">
      <w:pPr>
        <w:spacing w:after="0" w:line="360" w:lineRule="auto"/>
        <w:jc w:val="both"/>
        <w:rPr>
          <w:rFonts w:ascii="Tahoma" w:hAnsi="Tahoma" w:cs="Tahoma"/>
          <w:sz w:val="26"/>
          <w:szCs w:val="26"/>
        </w:rPr>
      </w:pPr>
      <w:r>
        <w:rPr>
          <w:rFonts w:ascii="Tahoma" w:hAnsi="Tahoma" w:cs="Tahoma"/>
          <w:sz w:val="26"/>
          <w:szCs w:val="26"/>
        </w:rPr>
        <w:tab/>
        <w:t>It is accordingly ordered as follows:</w:t>
      </w:r>
    </w:p>
    <w:p w:rsidR="003A2F62" w:rsidRDefault="003A2F62" w:rsidP="003A2F62">
      <w:pPr>
        <w:spacing w:after="0" w:line="360" w:lineRule="auto"/>
        <w:jc w:val="both"/>
        <w:rPr>
          <w:rFonts w:ascii="Tahoma" w:hAnsi="Tahoma" w:cs="Tahoma"/>
          <w:sz w:val="26"/>
          <w:szCs w:val="26"/>
        </w:rPr>
      </w:pPr>
    </w:p>
    <w:p w:rsidR="00E02B1A" w:rsidRDefault="003A2F62" w:rsidP="00E02B1A">
      <w:pPr>
        <w:pStyle w:val="ListParagraph"/>
        <w:numPr>
          <w:ilvl w:val="0"/>
          <w:numId w:val="4"/>
        </w:numPr>
        <w:spacing w:after="0" w:line="360" w:lineRule="auto"/>
        <w:jc w:val="both"/>
        <w:rPr>
          <w:rFonts w:ascii="Tahoma" w:hAnsi="Tahoma" w:cs="Tahoma"/>
          <w:sz w:val="26"/>
          <w:szCs w:val="26"/>
        </w:rPr>
      </w:pPr>
      <w:r w:rsidRPr="00E02B1A">
        <w:rPr>
          <w:rFonts w:ascii="Tahoma" w:hAnsi="Tahoma" w:cs="Tahoma"/>
          <w:sz w:val="26"/>
          <w:szCs w:val="26"/>
        </w:rPr>
        <w:t>The appeal is allowed.</w:t>
      </w:r>
      <w:r w:rsidR="00E02B1A" w:rsidRPr="00E02B1A">
        <w:rPr>
          <w:rFonts w:ascii="Tahoma" w:hAnsi="Tahoma" w:cs="Tahoma"/>
          <w:sz w:val="26"/>
          <w:szCs w:val="26"/>
        </w:rPr>
        <w:t xml:space="preserve"> </w:t>
      </w:r>
    </w:p>
    <w:p w:rsidR="003A2F62" w:rsidRDefault="00E02B1A" w:rsidP="003A2F62">
      <w:pPr>
        <w:pStyle w:val="ListParagraph"/>
        <w:numPr>
          <w:ilvl w:val="0"/>
          <w:numId w:val="4"/>
        </w:numPr>
        <w:spacing w:after="0" w:line="360" w:lineRule="auto"/>
        <w:jc w:val="both"/>
        <w:rPr>
          <w:rFonts w:ascii="Tahoma" w:hAnsi="Tahoma" w:cs="Tahoma"/>
          <w:sz w:val="26"/>
          <w:szCs w:val="26"/>
        </w:rPr>
      </w:pPr>
      <w:r>
        <w:rPr>
          <w:rFonts w:ascii="Tahoma" w:hAnsi="Tahoma" w:cs="Tahoma"/>
          <w:sz w:val="26"/>
          <w:szCs w:val="26"/>
        </w:rPr>
        <w:t>The arbitral award handed down on 8</w:t>
      </w:r>
      <w:r w:rsidRPr="00E02B1A">
        <w:rPr>
          <w:rFonts w:ascii="Tahoma" w:hAnsi="Tahoma" w:cs="Tahoma"/>
          <w:sz w:val="26"/>
          <w:szCs w:val="26"/>
          <w:vertAlign w:val="superscript"/>
        </w:rPr>
        <w:t>th</w:t>
      </w:r>
      <w:r>
        <w:rPr>
          <w:rFonts w:ascii="Tahoma" w:hAnsi="Tahoma" w:cs="Tahoma"/>
          <w:sz w:val="26"/>
          <w:szCs w:val="26"/>
        </w:rPr>
        <w:t xml:space="preserve"> February, 2013 is hereby set aside and substituted with the following: </w:t>
      </w:r>
    </w:p>
    <w:p w:rsidR="00E02B1A" w:rsidRDefault="00E02B1A" w:rsidP="00203E36">
      <w:pPr>
        <w:spacing w:after="0" w:line="360" w:lineRule="auto"/>
        <w:ind w:left="1440" w:firstLine="720"/>
        <w:jc w:val="both"/>
        <w:rPr>
          <w:rFonts w:ascii="Tahoma" w:hAnsi="Tahoma" w:cs="Tahoma"/>
          <w:i/>
          <w:sz w:val="26"/>
          <w:szCs w:val="26"/>
        </w:rPr>
      </w:pPr>
      <w:r>
        <w:rPr>
          <w:rFonts w:ascii="Tahoma" w:hAnsi="Tahoma" w:cs="Tahoma"/>
          <w:sz w:val="26"/>
          <w:szCs w:val="26"/>
        </w:rPr>
        <w:t>“</w:t>
      </w:r>
      <w:r>
        <w:rPr>
          <w:rFonts w:ascii="Tahoma" w:hAnsi="Tahoma" w:cs="Tahoma"/>
          <w:i/>
          <w:sz w:val="26"/>
          <w:szCs w:val="26"/>
        </w:rPr>
        <w:t>The claimants’ contracts do not fall under the National Employment Council for the Construction Industry.</w:t>
      </w:r>
    </w:p>
    <w:p w:rsidR="00E02B1A" w:rsidRDefault="00E02B1A" w:rsidP="00E02B1A">
      <w:pPr>
        <w:spacing w:after="0" w:line="360" w:lineRule="auto"/>
        <w:ind w:left="720"/>
        <w:jc w:val="both"/>
        <w:rPr>
          <w:rFonts w:ascii="Tahoma" w:hAnsi="Tahoma" w:cs="Tahoma"/>
          <w:i/>
          <w:sz w:val="26"/>
          <w:szCs w:val="26"/>
        </w:rPr>
      </w:pPr>
      <w:r>
        <w:rPr>
          <w:rFonts w:ascii="Tahoma" w:hAnsi="Tahoma" w:cs="Tahoma"/>
          <w:i/>
          <w:sz w:val="26"/>
          <w:szCs w:val="26"/>
        </w:rPr>
        <w:tab/>
      </w:r>
    </w:p>
    <w:p w:rsidR="00E02B1A" w:rsidRDefault="00E02B1A" w:rsidP="00E02B1A">
      <w:pPr>
        <w:spacing w:after="0" w:line="360" w:lineRule="auto"/>
        <w:ind w:left="720"/>
        <w:jc w:val="both"/>
        <w:rPr>
          <w:rFonts w:ascii="Tahoma" w:hAnsi="Tahoma" w:cs="Tahoma"/>
          <w:i/>
          <w:sz w:val="26"/>
          <w:szCs w:val="26"/>
        </w:rPr>
      </w:pPr>
      <w:r>
        <w:rPr>
          <w:rFonts w:ascii="Tahoma" w:hAnsi="Tahoma" w:cs="Tahoma"/>
          <w:i/>
          <w:sz w:val="26"/>
          <w:szCs w:val="26"/>
        </w:rPr>
        <w:tab/>
        <w:t xml:space="preserve">Claimants are not entitled to arrear salaries. </w:t>
      </w:r>
    </w:p>
    <w:p w:rsidR="00E02B1A" w:rsidRDefault="00E02B1A" w:rsidP="00E02B1A">
      <w:pPr>
        <w:spacing w:after="0" w:line="360" w:lineRule="auto"/>
        <w:ind w:left="720"/>
        <w:jc w:val="both"/>
        <w:rPr>
          <w:rFonts w:ascii="Tahoma" w:hAnsi="Tahoma" w:cs="Tahoma"/>
          <w:i/>
          <w:sz w:val="26"/>
          <w:szCs w:val="26"/>
        </w:rPr>
      </w:pPr>
    </w:p>
    <w:p w:rsidR="00E02B1A" w:rsidRDefault="00E02B1A" w:rsidP="00203E36">
      <w:pPr>
        <w:spacing w:after="0" w:line="360" w:lineRule="auto"/>
        <w:ind w:left="1440" w:firstLine="720"/>
        <w:jc w:val="both"/>
        <w:rPr>
          <w:rFonts w:ascii="Tahoma" w:hAnsi="Tahoma" w:cs="Tahoma"/>
          <w:i/>
          <w:sz w:val="26"/>
          <w:szCs w:val="26"/>
        </w:rPr>
      </w:pPr>
      <w:r>
        <w:rPr>
          <w:rFonts w:ascii="Tahoma" w:hAnsi="Tahoma" w:cs="Tahoma"/>
          <w:i/>
          <w:sz w:val="26"/>
          <w:szCs w:val="26"/>
        </w:rPr>
        <w:t>Claimants’ contracts of employment were lawfully terminated and their termination is hereby confirmed.”</w:t>
      </w:r>
    </w:p>
    <w:p w:rsidR="00E02B1A" w:rsidRDefault="00E02B1A" w:rsidP="00E02B1A">
      <w:pPr>
        <w:spacing w:after="0" w:line="360" w:lineRule="auto"/>
        <w:jc w:val="both"/>
        <w:rPr>
          <w:rFonts w:ascii="Tahoma" w:hAnsi="Tahoma" w:cs="Tahoma"/>
          <w:i/>
          <w:sz w:val="26"/>
          <w:szCs w:val="26"/>
        </w:rPr>
      </w:pPr>
    </w:p>
    <w:p w:rsidR="00E02B1A" w:rsidRPr="00E02B1A" w:rsidRDefault="00E02B1A" w:rsidP="00E02B1A">
      <w:pPr>
        <w:spacing w:after="0" w:line="360" w:lineRule="auto"/>
        <w:jc w:val="both"/>
        <w:rPr>
          <w:rFonts w:ascii="Tahoma" w:hAnsi="Tahoma" w:cs="Tahoma"/>
          <w:sz w:val="26"/>
          <w:szCs w:val="26"/>
        </w:rPr>
      </w:pPr>
      <w:r>
        <w:rPr>
          <w:rFonts w:ascii="Tahoma" w:hAnsi="Tahoma" w:cs="Tahoma"/>
          <w:sz w:val="26"/>
          <w:szCs w:val="26"/>
        </w:rPr>
        <w:t>3.</w:t>
      </w:r>
      <w:r>
        <w:rPr>
          <w:rFonts w:ascii="Tahoma" w:hAnsi="Tahoma" w:cs="Tahoma"/>
          <w:sz w:val="26"/>
          <w:szCs w:val="26"/>
        </w:rPr>
        <w:tab/>
        <w:t xml:space="preserve">Each party to pay its own costs. </w:t>
      </w:r>
    </w:p>
    <w:p w:rsidR="00E02B1A" w:rsidRDefault="00E02B1A" w:rsidP="00E02B1A">
      <w:pPr>
        <w:spacing w:after="0" w:line="360" w:lineRule="auto"/>
        <w:ind w:left="720"/>
        <w:jc w:val="both"/>
        <w:rPr>
          <w:rFonts w:ascii="Tahoma" w:hAnsi="Tahoma" w:cs="Tahoma"/>
          <w:i/>
          <w:sz w:val="26"/>
          <w:szCs w:val="26"/>
        </w:rPr>
      </w:pPr>
    </w:p>
    <w:p w:rsidR="00AB10C8" w:rsidRPr="001A3358" w:rsidRDefault="00AB10C8" w:rsidP="00E02B1A">
      <w:pPr>
        <w:spacing w:line="360" w:lineRule="auto"/>
        <w:jc w:val="both"/>
        <w:rPr>
          <w:rFonts w:ascii="Tahoma" w:hAnsi="Tahoma" w:cs="Tahoma"/>
          <w:sz w:val="26"/>
          <w:szCs w:val="26"/>
        </w:rPr>
      </w:pPr>
    </w:p>
    <w:p w:rsidR="00E02B1A" w:rsidRDefault="00E02B1A" w:rsidP="00AB10C8">
      <w:pPr>
        <w:spacing w:after="0"/>
        <w:jc w:val="both"/>
        <w:rPr>
          <w:rFonts w:ascii="Tahoma" w:hAnsi="Tahoma" w:cs="Tahoma"/>
          <w:sz w:val="26"/>
          <w:szCs w:val="26"/>
        </w:rPr>
      </w:pPr>
      <w:r w:rsidRPr="001A3358">
        <w:rPr>
          <w:rFonts w:ascii="Tahoma" w:hAnsi="Tahoma" w:cs="Tahoma"/>
          <w:sz w:val="26"/>
          <w:szCs w:val="26"/>
        </w:rPr>
        <w:t>.....................</w:t>
      </w:r>
      <w:r>
        <w:rPr>
          <w:rFonts w:ascii="Tahoma" w:hAnsi="Tahoma" w:cs="Tahoma"/>
          <w:sz w:val="26"/>
          <w:szCs w:val="26"/>
        </w:rPr>
        <w:t>...</w:t>
      </w:r>
    </w:p>
    <w:p w:rsidR="00AB10C8" w:rsidRPr="001A3358" w:rsidRDefault="00AB10C8" w:rsidP="00AB10C8">
      <w:pPr>
        <w:spacing w:after="0"/>
        <w:jc w:val="both"/>
        <w:rPr>
          <w:rFonts w:ascii="Tahoma" w:hAnsi="Tahoma" w:cs="Tahoma"/>
          <w:b/>
          <w:sz w:val="26"/>
          <w:szCs w:val="26"/>
        </w:rPr>
      </w:pPr>
      <w:r w:rsidRPr="001A3358">
        <w:rPr>
          <w:rFonts w:ascii="Tahoma" w:hAnsi="Tahoma" w:cs="Tahoma"/>
          <w:b/>
          <w:sz w:val="26"/>
          <w:szCs w:val="26"/>
        </w:rPr>
        <w:t>L.M. MURASI</w:t>
      </w:r>
    </w:p>
    <w:p w:rsidR="00AB10C8" w:rsidRPr="001A3358" w:rsidRDefault="00AB10C8" w:rsidP="00AB10C8">
      <w:pPr>
        <w:spacing w:after="0"/>
        <w:jc w:val="both"/>
        <w:rPr>
          <w:rFonts w:ascii="Tahoma" w:hAnsi="Tahoma" w:cs="Tahoma"/>
          <w:b/>
          <w:sz w:val="26"/>
          <w:szCs w:val="26"/>
        </w:rPr>
      </w:pPr>
      <w:r w:rsidRPr="001A3358">
        <w:rPr>
          <w:rFonts w:ascii="Tahoma" w:hAnsi="Tahoma" w:cs="Tahoma"/>
          <w:b/>
          <w:sz w:val="26"/>
          <w:szCs w:val="26"/>
        </w:rPr>
        <w:t>JUDGE</w:t>
      </w:r>
    </w:p>
    <w:p w:rsidR="00AB10C8" w:rsidRPr="001A3358" w:rsidRDefault="00AB10C8" w:rsidP="00AB10C8">
      <w:pPr>
        <w:spacing w:after="0"/>
        <w:jc w:val="both"/>
        <w:rPr>
          <w:rFonts w:ascii="Tahoma" w:hAnsi="Tahoma" w:cs="Tahoma"/>
          <w:sz w:val="26"/>
          <w:szCs w:val="26"/>
        </w:rPr>
      </w:pPr>
    </w:p>
    <w:p w:rsidR="00AB10C8" w:rsidRPr="001A3358" w:rsidRDefault="00AB10C8" w:rsidP="00AB10C8">
      <w:pPr>
        <w:spacing w:after="0"/>
        <w:jc w:val="both"/>
        <w:rPr>
          <w:rFonts w:ascii="Tahoma" w:hAnsi="Tahoma" w:cs="Tahoma"/>
          <w:sz w:val="26"/>
          <w:szCs w:val="26"/>
        </w:rPr>
      </w:pPr>
    </w:p>
    <w:p w:rsidR="00AB10C8" w:rsidRPr="001A3358" w:rsidRDefault="00AB10C8" w:rsidP="00AB10C8">
      <w:pPr>
        <w:spacing w:after="0"/>
        <w:jc w:val="both"/>
        <w:rPr>
          <w:rFonts w:ascii="Tahoma" w:hAnsi="Tahoma" w:cs="Tahoma"/>
          <w:sz w:val="26"/>
          <w:szCs w:val="26"/>
        </w:rPr>
      </w:pPr>
    </w:p>
    <w:p w:rsidR="00AB10C8" w:rsidRPr="001A3358" w:rsidRDefault="00AB10C8" w:rsidP="00AB10C8">
      <w:pPr>
        <w:spacing w:after="0"/>
        <w:jc w:val="both"/>
        <w:rPr>
          <w:rFonts w:ascii="Tahoma" w:hAnsi="Tahoma" w:cs="Tahoma"/>
          <w:sz w:val="26"/>
          <w:szCs w:val="26"/>
        </w:rPr>
      </w:pPr>
      <w:r w:rsidRPr="001A3358">
        <w:rPr>
          <w:rFonts w:ascii="Tahoma" w:hAnsi="Tahoma" w:cs="Tahoma"/>
          <w:sz w:val="26"/>
          <w:szCs w:val="26"/>
        </w:rPr>
        <w:t>.....................</w:t>
      </w:r>
      <w:r w:rsidR="00E02B1A">
        <w:rPr>
          <w:rFonts w:ascii="Tahoma" w:hAnsi="Tahoma" w:cs="Tahoma"/>
          <w:sz w:val="26"/>
          <w:szCs w:val="26"/>
        </w:rPr>
        <w:t>...</w:t>
      </w:r>
      <w:r w:rsidRPr="001A3358">
        <w:rPr>
          <w:rFonts w:ascii="Tahoma" w:hAnsi="Tahoma" w:cs="Tahoma"/>
          <w:sz w:val="26"/>
          <w:szCs w:val="26"/>
        </w:rPr>
        <w:t xml:space="preserve">  I agree</w:t>
      </w:r>
    </w:p>
    <w:p w:rsidR="00AB10C8" w:rsidRPr="001A3358" w:rsidRDefault="00E02B1A" w:rsidP="00AB10C8">
      <w:pPr>
        <w:spacing w:after="0"/>
        <w:jc w:val="both"/>
        <w:rPr>
          <w:rFonts w:ascii="Tahoma" w:hAnsi="Tahoma" w:cs="Tahoma"/>
          <w:b/>
          <w:sz w:val="26"/>
          <w:szCs w:val="26"/>
        </w:rPr>
      </w:pPr>
      <w:r>
        <w:rPr>
          <w:rFonts w:ascii="Tahoma" w:hAnsi="Tahoma" w:cs="Tahoma"/>
          <w:b/>
          <w:sz w:val="26"/>
          <w:szCs w:val="26"/>
        </w:rPr>
        <w:t>B.T. CHIVIZHE</w:t>
      </w:r>
    </w:p>
    <w:p w:rsidR="00AB10C8" w:rsidRPr="001A3358" w:rsidRDefault="00AB10C8" w:rsidP="00AB10C8">
      <w:pPr>
        <w:spacing w:after="0"/>
        <w:jc w:val="both"/>
        <w:rPr>
          <w:rFonts w:ascii="Tahoma" w:hAnsi="Tahoma" w:cs="Tahoma"/>
          <w:b/>
          <w:sz w:val="26"/>
          <w:szCs w:val="26"/>
        </w:rPr>
      </w:pPr>
      <w:r w:rsidRPr="001A3358">
        <w:rPr>
          <w:rFonts w:ascii="Tahoma" w:hAnsi="Tahoma" w:cs="Tahoma"/>
          <w:b/>
          <w:sz w:val="26"/>
          <w:szCs w:val="26"/>
        </w:rPr>
        <w:t>JUDGE</w:t>
      </w:r>
    </w:p>
    <w:p w:rsidR="00AB10C8" w:rsidRPr="001A3358" w:rsidRDefault="00AB10C8" w:rsidP="00AB10C8">
      <w:pPr>
        <w:spacing w:after="0"/>
        <w:rPr>
          <w:rFonts w:ascii="Tahoma" w:hAnsi="Tahoma" w:cs="Tahoma"/>
          <w:sz w:val="26"/>
          <w:szCs w:val="26"/>
        </w:rPr>
      </w:pPr>
    </w:p>
    <w:p w:rsidR="00ED3B87" w:rsidRDefault="00ED3B87"/>
    <w:sectPr w:rsidR="00ED3B87" w:rsidSect="00622381">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98F" w:rsidRDefault="0031098F" w:rsidP="00E02B1A">
      <w:pPr>
        <w:spacing w:after="0" w:line="240" w:lineRule="auto"/>
      </w:pPr>
      <w:r>
        <w:separator/>
      </w:r>
    </w:p>
  </w:endnote>
  <w:endnote w:type="continuationSeparator" w:id="1">
    <w:p w:rsidR="0031098F" w:rsidRDefault="0031098F" w:rsidP="00E02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0699"/>
      <w:docPartObj>
        <w:docPartGallery w:val="Page Numbers (Bottom of Page)"/>
        <w:docPartUnique/>
      </w:docPartObj>
    </w:sdtPr>
    <w:sdtContent>
      <w:p w:rsidR="003A2F62" w:rsidRDefault="00DD0679">
        <w:pPr>
          <w:pStyle w:val="Footer"/>
          <w:jc w:val="right"/>
        </w:pPr>
        <w:fldSimple w:instr=" PAGE   \* MERGEFORMAT ">
          <w:r w:rsidR="00203E36">
            <w:rPr>
              <w:noProof/>
            </w:rPr>
            <w:t>5</w:t>
          </w:r>
        </w:fldSimple>
      </w:p>
    </w:sdtContent>
  </w:sdt>
  <w:p w:rsidR="003A2F62" w:rsidRDefault="003A2F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98F" w:rsidRDefault="0031098F" w:rsidP="00E02B1A">
      <w:pPr>
        <w:spacing w:after="0" w:line="240" w:lineRule="auto"/>
      </w:pPr>
      <w:r>
        <w:separator/>
      </w:r>
    </w:p>
  </w:footnote>
  <w:footnote w:type="continuationSeparator" w:id="1">
    <w:p w:rsidR="0031098F" w:rsidRDefault="0031098F" w:rsidP="00E02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62" w:rsidRPr="001A3358" w:rsidRDefault="003A2F62" w:rsidP="00622381">
    <w:pPr>
      <w:spacing w:after="0" w:line="360" w:lineRule="auto"/>
      <w:jc w:val="right"/>
      <w:rPr>
        <w:rFonts w:ascii="Tahoma" w:hAnsi="Tahoma" w:cs="Tahoma"/>
        <w:b/>
      </w:rPr>
    </w:pPr>
    <w:r w:rsidRPr="001A3358">
      <w:rPr>
        <w:rFonts w:ascii="Tahoma" w:hAnsi="Tahoma" w:cs="Tahoma"/>
        <w:b/>
      </w:rPr>
      <w:t>JUDGEMENT NO LC/H/</w:t>
    </w:r>
    <w:r w:rsidR="00E02B1A">
      <w:rPr>
        <w:rFonts w:ascii="Tahoma" w:hAnsi="Tahoma" w:cs="Tahoma"/>
        <w:b/>
      </w:rPr>
      <w:t>470</w:t>
    </w:r>
    <w:r w:rsidRPr="001A3358">
      <w:rPr>
        <w:rFonts w:ascii="Tahoma" w:hAnsi="Tahoma" w:cs="Tahoma"/>
        <w:b/>
      </w:rPr>
      <w:t>/13</w:t>
    </w:r>
  </w:p>
  <w:p w:rsidR="003A2F62" w:rsidRDefault="003A2F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62" w:rsidRDefault="003A2F62">
    <w:pPr>
      <w:pStyle w:val="Header"/>
    </w:pPr>
  </w:p>
  <w:p w:rsidR="003A2F62" w:rsidRDefault="003A2F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EB2"/>
    <w:multiLevelType w:val="hybridMultilevel"/>
    <w:tmpl w:val="253CEF1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26431D19"/>
    <w:multiLevelType w:val="hybridMultilevel"/>
    <w:tmpl w:val="E9E45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F64280A"/>
    <w:multiLevelType w:val="hybridMultilevel"/>
    <w:tmpl w:val="D4B6CB72"/>
    <w:lvl w:ilvl="0" w:tplc="10CCAF0C">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nsid w:val="76F1495A"/>
    <w:multiLevelType w:val="hybridMultilevel"/>
    <w:tmpl w:val="CCC400BC"/>
    <w:lvl w:ilvl="0" w:tplc="1C09000F">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10C8"/>
    <w:rsid w:val="00073B99"/>
    <w:rsid w:val="001A3ED0"/>
    <w:rsid w:val="00203E36"/>
    <w:rsid w:val="002D0332"/>
    <w:rsid w:val="0031098F"/>
    <w:rsid w:val="00394B2D"/>
    <w:rsid w:val="003A2F62"/>
    <w:rsid w:val="003E7494"/>
    <w:rsid w:val="00484019"/>
    <w:rsid w:val="005E4CBF"/>
    <w:rsid w:val="00622381"/>
    <w:rsid w:val="009F5EB8"/>
    <w:rsid w:val="00AB10C8"/>
    <w:rsid w:val="00B13689"/>
    <w:rsid w:val="00B2519C"/>
    <w:rsid w:val="00C8177D"/>
    <w:rsid w:val="00CE61E0"/>
    <w:rsid w:val="00D13C45"/>
    <w:rsid w:val="00D17BCB"/>
    <w:rsid w:val="00DD0679"/>
    <w:rsid w:val="00E02B1A"/>
    <w:rsid w:val="00E153F1"/>
    <w:rsid w:val="00E26B9A"/>
    <w:rsid w:val="00E7279C"/>
    <w:rsid w:val="00ED3B8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0C8"/>
    <w:pPr>
      <w:ind w:left="720"/>
      <w:contextualSpacing/>
    </w:pPr>
  </w:style>
  <w:style w:type="paragraph" w:styleId="Header">
    <w:name w:val="header"/>
    <w:basedOn w:val="Normal"/>
    <w:link w:val="HeaderChar"/>
    <w:uiPriority w:val="99"/>
    <w:unhideWhenUsed/>
    <w:rsid w:val="00AB1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C8"/>
  </w:style>
  <w:style w:type="paragraph" w:styleId="Footer">
    <w:name w:val="footer"/>
    <w:basedOn w:val="Normal"/>
    <w:link w:val="FooterChar"/>
    <w:uiPriority w:val="99"/>
    <w:unhideWhenUsed/>
    <w:rsid w:val="00AB1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2013-09-23T12:21:00Z</cp:lastPrinted>
  <dcterms:created xsi:type="dcterms:W3CDTF">2013-09-23T10:20:00Z</dcterms:created>
  <dcterms:modified xsi:type="dcterms:W3CDTF">2013-09-23T12:57:00Z</dcterms:modified>
</cp:coreProperties>
</file>