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59D" w:rsidRPr="00710544" w:rsidRDefault="0066159D" w:rsidP="0066159D">
      <w:pPr>
        <w:rPr>
          <w:rFonts w:ascii="Courier New" w:hAnsi="Courier New" w:cs="Courier New"/>
          <w:b/>
          <w:sz w:val="24"/>
          <w:szCs w:val="24"/>
        </w:rPr>
      </w:pPr>
      <w:r w:rsidRPr="00710544">
        <w:rPr>
          <w:rFonts w:ascii="Courier New" w:hAnsi="Courier New" w:cs="Courier New"/>
          <w:b/>
          <w:sz w:val="24"/>
          <w:szCs w:val="24"/>
        </w:rPr>
        <w:t>IN THE LABOUR COURT OF ZIMBABWE</w:t>
      </w:r>
      <w:r w:rsidRPr="00710544">
        <w:rPr>
          <w:rFonts w:ascii="Courier New" w:hAnsi="Courier New" w:cs="Courier New"/>
          <w:b/>
          <w:sz w:val="24"/>
          <w:szCs w:val="24"/>
        </w:rPr>
        <w:tab/>
      </w:r>
      <w:r w:rsidR="00710544">
        <w:rPr>
          <w:rFonts w:ascii="Courier New" w:hAnsi="Courier New" w:cs="Courier New"/>
          <w:b/>
          <w:sz w:val="24"/>
          <w:szCs w:val="24"/>
        </w:rPr>
        <w:t xml:space="preserve">    </w:t>
      </w:r>
      <w:r w:rsidRPr="00710544">
        <w:rPr>
          <w:rFonts w:ascii="Courier New" w:hAnsi="Courier New" w:cs="Courier New"/>
          <w:b/>
          <w:sz w:val="24"/>
          <w:szCs w:val="24"/>
        </w:rPr>
        <w:t>JUDGMENT NO.LC/H/</w:t>
      </w:r>
      <w:r w:rsidR="00C47D42" w:rsidRPr="00710544">
        <w:rPr>
          <w:rFonts w:ascii="Courier New" w:hAnsi="Courier New" w:cs="Courier New"/>
          <w:b/>
          <w:sz w:val="24"/>
          <w:szCs w:val="24"/>
        </w:rPr>
        <w:t>274</w:t>
      </w:r>
      <w:r w:rsidR="00710544">
        <w:rPr>
          <w:rFonts w:ascii="Courier New" w:hAnsi="Courier New" w:cs="Courier New"/>
          <w:b/>
          <w:sz w:val="24"/>
          <w:szCs w:val="24"/>
        </w:rPr>
        <w:t>/</w:t>
      </w:r>
      <w:r w:rsidRPr="00710544">
        <w:rPr>
          <w:rFonts w:ascii="Courier New" w:hAnsi="Courier New" w:cs="Courier New"/>
          <w:b/>
          <w:sz w:val="24"/>
          <w:szCs w:val="24"/>
        </w:rPr>
        <w:t xml:space="preserve">13 </w:t>
      </w:r>
    </w:p>
    <w:p w:rsidR="0066159D" w:rsidRPr="00710544" w:rsidRDefault="0066159D" w:rsidP="0066159D">
      <w:pPr>
        <w:rPr>
          <w:rFonts w:ascii="Courier New" w:hAnsi="Courier New" w:cs="Courier New"/>
          <w:b/>
          <w:sz w:val="24"/>
          <w:szCs w:val="24"/>
        </w:rPr>
      </w:pPr>
      <w:r w:rsidRPr="00710544">
        <w:rPr>
          <w:rFonts w:ascii="Courier New" w:hAnsi="Courier New" w:cs="Courier New"/>
          <w:b/>
          <w:sz w:val="24"/>
          <w:szCs w:val="24"/>
        </w:rPr>
        <w:t xml:space="preserve">HELD AT HARARE ON </w:t>
      </w:r>
      <w:r w:rsidR="006B3849" w:rsidRPr="00710544">
        <w:rPr>
          <w:rFonts w:ascii="Courier New" w:hAnsi="Courier New" w:cs="Courier New"/>
          <w:b/>
          <w:sz w:val="24"/>
          <w:szCs w:val="24"/>
        </w:rPr>
        <w:t>20</w:t>
      </w:r>
      <w:r w:rsidRPr="00710544">
        <w:rPr>
          <w:rFonts w:ascii="Courier New" w:hAnsi="Courier New" w:cs="Courier New"/>
          <w:b/>
          <w:sz w:val="24"/>
          <w:szCs w:val="24"/>
          <w:vertAlign w:val="superscript"/>
        </w:rPr>
        <w:t>th</w:t>
      </w:r>
      <w:r w:rsidRPr="00710544">
        <w:rPr>
          <w:rFonts w:ascii="Courier New" w:hAnsi="Courier New" w:cs="Courier New"/>
          <w:b/>
          <w:sz w:val="24"/>
          <w:szCs w:val="24"/>
        </w:rPr>
        <w:t xml:space="preserve"> </w:t>
      </w:r>
      <w:r w:rsidR="006B3849" w:rsidRPr="00710544">
        <w:rPr>
          <w:rFonts w:ascii="Courier New" w:hAnsi="Courier New" w:cs="Courier New"/>
          <w:b/>
          <w:sz w:val="24"/>
          <w:szCs w:val="24"/>
        </w:rPr>
        <w:t>FEBRUARY</w:t>
      </w:r>
      <w:r w:rsidR="000631B6">
        <w:rPr>
          <w:rFonts w:ascii="Courier New" w:hAnsi="Courier New" w:cs="Courier New"/>
          <w:b/>
          <w:sz w:val="24"/>
          <w:szCs w:val="24"/>
        </w:rPr>
        <w:t xml:space="preserve">, 2013   </w:t>
      </w:r>
      <w:r w:rsidRPr="00710544">
        <w:rPr>
          <w:rFonts w:ascii="Courier New" w:hAnsi="Courier New" w:cs="Courier New"/>
          <w:b/>
          <w:sz w:val="24"/>
          <w:szCs w:val="24"/>
        </w:rPr>
        <w:t>CASE NO. LC/H/961/12</w:t>
      </w:r>
    </w:p>
    <w:p w:rsidR="0066159D" w:rsidRPr="0066159D" w:rsidRDefault="0066159D" w:rsidP="000C21D7">
      <w:pPr>
        <w:spacing w:line="240" w:lineRule="auto"/>
        <w:rPr>
          <w:rFonts w:ascii="Courier New" w:hAnsi="Courier New" w:cs="Courier New"/>
          <w:sz w:val="26"/>
          <w:szCs w:val="26"/>
        </w:rPr>
      </w:pPr>
      <w:r w:rsidRPr="0066159D">
        <w:rPr>
          <w:rFonts w:ascii="Courier New" w:hAnsi="Courier New" w:cs="Courier New"/>
          <w:sz w:val="26"/>
          <w:szCs w:val="26"/>
        </w:rPr>
        <w:t>In the matter between:-</w:t>
      </w:r>
    </w:p>
    <w:p w:rsidR="0066159D" w:rsidRPr="0066159D" w:rsidRDefault="0066159D" w:rsidP="000C21D7">
      <w:pPr>
        <w:spacing w:after="0" w:line="240" w:lineRule="auto"/>
        <w:rPr>
          <w:rFonts w:ascii="Courier New" w:hAnsi="Courier New" w:cs="Courier New"/>
          <w:sz w:val="28"/>
          <w:szCs w:val="28"/>
        </w:rPr>
      </w:pPr>
    </w:p>
    <w:p w:rsidR="0066159D" w:rsidRPr="0066159D" w:rsidRDefault="0066159D" w:rsidP="0066159D">
      <w:pPr>
        <w:spacing w:after="0" w:line="240" w:lineRule="auto"/>
        <w:rPr>
          <w:rFonts w:ascii="Courier New" w:hAnsi="Courier New" w:cs="Courier New"/>
          <w:sz w:val="28"/>
          <w:szCs w:val="28"/>
        </w:rPr>
      </w:pPr>
    </w:p>
    <w:p w:rsidR="0066159D" w:rsidRPr="0066159D" w:rsidRDefault="006B3849" w:rsidP="0066159D">
      <w:pPr>
        <w:rPr>
          <w:rFonts w:ascii="Courier New" w:hAnsi="Courier New" w:cs="Courier New"/>
          <w:b/>
          <w:sz w:val="28"/>
          <w:szCs w:val="28"/>
        </w:rPr>
      </w:pPr>
      <w:r>
        <w:rPr>
          <w:rFonts w:ascii="Courier New" w:hAnsi="Courier New" w:cs="Courier New"/>
          <w:b/>
          <w:sz w:val="28"/>
          <w:szCs w:val="28"/>
        </w:rPr>
        <w:t>VICTOR GURAJENA</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0631B6">
        <w:rPr>
          <w:rFonts w:ascii="Courier New" w:hAnsi="Courier New" w:cs="Courier New"/>
          <w:b/>
          <w:sz w:val="28"/>
          <w:szCs w:val="28"/>
        </w:rPr>
        <w:t>-</w:t>
      </w:r>
      <w:r w:rsidR="0066159D" w:rsidRPr="0066159D">
        <w:rPr>
          <w:rFonts w:ascii="Courier New" w:hAnsi="Courier New" w:cs="Courier New"/>
          <w:b/>
          <w:sz w:val="28"/>
          <w:szCs w:val="28"/>
        </w:rPr>
        <w:tab/>
      </w:r>
      <w:r w:rsidR="0066159D" w:rsidRPr="0066159D">
        <w:rPr>
          <w:rFonts w:ascii="Courier New" w:hAnsi="Courier New" w:cs="Courier New"/>
          <w:b/>
          <w:sz w:val="28"/>
          <w:szCs w:val="28"/>
        </w:rPr>
        <w:tab/>
        <w:t>Appellant</w:t>
      </w:r>
    </w:p>
    <w:p w:rsidR="0066159D" w:rsidRPr="0066159D" w:rsidRDefault="0066159D" w:rsidP="0066159D">
      <w:pPr>
        <w:rPr>
          <w:rFonts w:ascii="Courier New" w:hAnsi="Courier New" w:cs="Courier New"/>
          <w:sz w:val="28"/>
          <w:szCs w:val="28"/>
        </w:rPr>
      </w:pPr>
      <w:r w:rsidRPr="0066159D">
        <w:rPr>
          <w:rFonts w:ascii="Courier New" w:hAnsi="Courier New" w:cs="Courier New"/>
          <w:sz w:val="28"/>
          <w:szCs w:val="28"/>
        </w:rPr>
        <w:t>And</w:t>
      </w:r>
    </w:p>
    <w:p w:rsidR="0066159D" w:rsidRPr="0066159D" w:rsidRDefault="006B3849" w:rsidP="0066159D">
      <w:pPr>
        <w:pStyle w:val="NoSpacing"/>
        <w:spacing w:after="200"/>
        <w:rPr>
          <w:rFonts w:ascii="Courier New" w:hAnsi="Courier New" w:cs="Courier New"/>
          <w:b/>
          <w:sz w:val="28"/>
          <w:szCs w:val="28"/>
        </w:rPr>
      </w:pPr>
      <w:r>
        <w:rPr>
          <w:rFonts w:ascii="Courier New" w:hAnsi="Courier New" w:cs="Courier New"/>
          <w:b/>
          <w:sz w:val="28"/>
          <w:szCs w:val="28"/>
        </w:rPr>
        <w:t>INTERFRESH LIMITED</w:t>
      </w:r>
      <w:r w:rsidR="0066159D" w:rsidRPr="0066159D">
        <w:rPr>
          <w:rFonts w:ascii="Courier New" w:hAnsi="Courier New" w:cs="Courier New"/>
          <w:b/>
          <w:sz w:val="28"/>
          <w:szCs w:val="28"/>
        </w:rPr>
        <w:tab/>
      </w:r>
      <w:r w:rsidR="0066159D" w:rsidRPr="0066159D">
        <w:rPr>
          <w:rFonts w:ascii="Courier New" w:hAnsi="Courier New" w:cs="Courier New"/>
          <w:b/>
          <w:sz w:val="28"/>
          <w:szCs w:val="28"/>
        </w:rPr>
        <w:tab/>
      </w:r>
      <w:r w:rsidR="0066159D" w:rsidRPr="0066159D">
        <w:rPr>
          <w:rFonts w:ascii="Courier New" w:hAnsi="Courier New" w:cs="Courier New"/>
          <w:b/>
          <w:sz w:val="28"/>
          <w:szCs w:val="28"/>
        </w:rPr>
        <w:tab/>
      </w:r>
      <w:r w:rsidR="0066159D" w:rsidRPr="0066159D">
        <w:rPr>
          <w:rFonts w:ascii="Courier New" w:hAnsi="Courier New" w:cs="Courier New"/>
          <w:b/>
          <w:sz w:val="28"/>
          <w:szCs w:val="28"/>
        </w:rPr>
        <w:tab/>
      </w:r>
      <w:r w:rsidR="000631B6">
        <w:rPr>
          <w:rFonts w:ascii="Courier New" w:hAnsi="Courier New" w:cs="Courier New"/>
          <w:b/>
          <w:sz w:val="28"/>
          <w:szCs w:val="28"/>
        </w:rPr>
        <w:t>-</w:t>
      </w:r>
      <w:r w:rsidR="0066159D" w:rsidRPr="0066159D">
        <w:rPr>
          <w:rFonts w:ascii="Courier New" w:hAnsi="Courier New" w:cs="Courier New"/>
          <w:b/>
          <w:sz w:val="28"/>
          <w:szCs w:val="28"/>
        </w:rPr>
        <w:tab/>
      </w:r>
      <w:r w:rsidR="0066159D" w:rsidRPr="0066159D">
        <w:rPr>
          <w:rFonts w:ascii="Courier New" w:hAnsi="Courier New" w:cs="Courier New"/>
          <w:b/>
          <w:sz w:val="28"/>
          <w:szCs w:val="28"/>
        </w:rPr>
        <w:tab/>
        <w:t>Respondent</w:t>
      </w:r>
    </w:p>
    <w:p w:rsidR="0066159D" w:rsidRPr="0066159D" w:rsidRDefault="0066159D" w:rsidP="0066159D">
      <w:pPr>
        <w:pStyle w:val="NoSpacing"/>
        <w:rPr>
          <w:rFonts w:ascii="Courier New" w:hAnsi="Courier New" w:cs="Courier New"/>
          <w:b/>
          <w:sz w:val="28"/>
          <w:szCs w:val="28"/>
        </w:rPr>
      </w:pPr>
    </w:p>
    <w:p w:rsidR="0066159D" w:rsidRPr="0066159D" w:rsidRDefault="0066159D" w:rsidP="0066159D">
      <w:pPr>
        <w:pStyle w:val="NoSpacing"/>
        <w:spacing w:line="360" w:lineRule="auto"/>
        <w:rPr>
          <w:rFonts w:ascii="Courier New" w:hAnsi="Courier New" w:cs="Courier New"/>
          <w:b/>
          <w:sz w:val="28"/>
          <w:szCs w:val="28"/>
        </w:rPr>
      </w:pPr>
    </w:p>
    <w:p w:rsidR="0066159D" w:rsidRPr="000631B6" w:rsidRDefault="0066159D" w:rsidP="0066159D">
      <w:pPr>
        <w:spacing w:after="120" w:line="360" w:lineRule="auto"/>
        <w:rPr>
          <w:rFonts w:ascii="Courier New" w:hAnsi="Courier New" w:cs="Courier New"/>
          <w:b/>
          <w:sz w:val="26"/>
          <w:szCs w:val="26"/>
        </w:rPr>
      </w:pPr>
      <w:r w:rsidRPr="000631B6">
        <w:rPr>
          <w:rFonts w:ascii="Courier New" w:hAnsi="Courier New" w:cs="Courier New"/>
          <w:b/>
          <w:sz w:val="26"/>
          <w:szCs w:val="26"/>
        </w:rPr>
        <w:t>Before the Honourable G. Mhuri, Senior President</w:t>
      </w:r>
    </w:p>
    <w:p w:rsidR="0066159D" w:rsidRPr="0066159D" w:rsidRDefault="0066159D" w:rsidP="0066159D">
      <w:pPr>
        <w:spacing w:after="120" w:line="360" w:lineRule="auto"/>
        <w:rPr>
          <w:rFonts w:ascii="Courier New" w:hAnsi="Courier New" w:cs="Courier New"/>
          <w:b/>
          <w:sz w:val="26"/>
          <w:szCs w:val="26"/>
        </w:rPr>
      </w:pPr>
      <w:r w:rsidRPr="0066159D">
        <w:rPr>
          <w:rFonts w:ascii="Courier New" w:hAnsi="Courier New" w:cs="Courier New"/>
          <w:b/>
          <w:sz w:val="26"/>
          <w:szCs w:val="26"/>
        </w:rPr>
        <w:t>For Appellant</w:t>
      </w:r>
      <w:r w:rsidRPr="0066159D">
        <w:rPr>
          <w:rFonts w:ascii="Courier New" w:hAnsi="Courier New" w:cs="Courier New"/>
          <w:b/>
          <w:sz w:val="26"/>
          <w:szCs w:val="26"/>
        </w:rPr>
        <w:tab/>
        <w:t xml:space="preserve">: </w:t>
      </w:r>
      <w:r w:rsidRPr="0066159D">
        <w:rPr>
          <w:rFonts w:ascii="Courier New" w:hAnsi="Courier New" w:cs="Courier New"/>
          <w:b/>
          <w:sz w:val="26"/>
          <w:szCs w:val="26"/>
        </w:rPr>
        <w:tab/>
        <w:t>Mr.</w:t>
      </w:r>
      <w:r w:rsidR="006B3849">
        <w:rPr>
          <w:rFonts w:ascii="Courier New" w:hAnsi="Courier New" w:cs="Courier New"/>
          <w:b/>
          <w:sz w:val="26"/>
          <w:szCs w:val="26"/>
        </w:rPr>
        <w:t>L.</w:t>
      </w:r>
      <w:r w:rsidRPr="0066159D">
        <w:rPr>
          <w:rFonts w:ascii="Courier New" w:hAnsi="Courier New" w:cs="Courier New"/>
          <w:b/>
          <w:sz w:val="26"/>
          <w:szCs w:val="26"/>
        </w:rPr>
        <w:t>W. Ndhlovu (</w:t>
      </w:r>
      <w:r w:rsidR="006B3849">
        <w:rPr>
          <w:rFonts w:ascii="Courier New" w:hAnsi="Courier New" w:cs="Courier New"/>
          <w:b/>
          <w:sz w:val="26"/>
          <w:szCs w:val="26"/>
        </w:rPr>
        <w:t>Legal Practitioner</w:t>
      </w:r>
      <w:r w:rsidRPr="0066159D">
        <w:rPr>
          <w:rFonts w:ascii="Courier New" w:hAnsi="Courier New" w:cs="Courier New"/>
          <w:b/>
          <w:sz w:val="26"/>
          <w:szCs w:val="26"/>
        </w:rPr>
        <w:t>)</w:t>
      </w:r>
    </w:p>
    <w:p w:rsidR="0066159D" w:rsidRPr="0066159D" w:rsidRDefault="0066159D" w:rsidP="0066159D">
      <w:pPr>
        <w:spacing w:after="120" w:line="240" w:lineRule="auto"/>
        <w:rPr>
          <w:rFonts w:ascii="Courier New" w:hAnsi="Courier New" w:cs="Courier New"/>
          <w:b/>
          <w:sz w:val="26"/>
          <w:szCs w:val="26"/>
        </w:rPr>
      </w:pPr>
      <w:r>
        <w:rPr>
          <w:rFonts w:ascii="Courier New" w:hAnsi="Courier New" w:cs="Courier New"/>
          <w:b/>
          <w:sz w:val="26"/>
          <w:szCs w:val="26"/>
        </w:rPr>
        <w:t>For Respondent</w:t>
      </w:r>
      <w:r w:rsidRPr="0066159D">
        <w:rPr>
          <w:rFonts w:ascii="Courier New" w:hAnsi="Courier New" w:cs="Courier New"/>
          <w:b/>
          <w:sz w:val="26"/>
          <w:szCs w:val="26"/>
        </w:rPr>
        <w:t>:</w:t>
      </w:r>
      <w:r w:rsidRPr="0066159D">
        <w:rPr>
          <w:rFonts w:ascii="Courier New" w:hAnsi="Courier New" w:cs="Courier New"/>
          <w:b/>
          <w:sz w:val="26"/>
          <w:szCs w:val="26"/>
        </w:rPr>
        <w:tab/>
        <w:t xml:space="preserve">Mr. </w:t>
      </w:r>
      <w:r w:rsidR="006B3849">
        <w:rPr>
          <w:rFonts w:ascii="Courier New" w:hAnsi="Courier New" w:cs="Courier New"/>
          <w:b/>
          <w:sz w:val="26"/>
          <w:szCs w:val="26"/>
        </w:rPr>
        <w:t>D</w:t>
      </w:r>
      <w:r w:rsidRPr="0066159D">
        <w:rPr>
          <w:rFonts w:ascii="Courier New" w:hAnsi="Courier New" w:cs="Courier New"/>
          <w:b/>
          <w:sz w:val="26"/>
          <w:szCs w:val="26"/>
        </w:rPr>
        <w:t xml:space="preserve">. </w:t>
      </w:r>
      <w:r w:rsidR="006B3849">
        <w:rPr>
          <w:rFonts w:ascii="Courier New" w:hAnsi="Courier New" w:cs="Courier New"/>
          <w:b/>
          <w:sz w:val="26"/>
          <w:szCs w:val="26"/>
        </w:rPr>
        <w:t>Kandwe</w:t>
      </w:r>
      <w:r w:rsidRPr="0066159D">
        <w:rPr>
          <w:rFonts w:ascii="Courier New" w:hAnsi="Courier New" w:cs="Courier New"/>
          <w:b/>
          <w:sz w:val="26"/>
          <w:szCs w:val="26"/>
        </w:rPr>
        <w:t xml:space="preserve"> (Legal Practitioner)</w:t>
      </w:r>
    </w:p>
    <w:p w:rsidR="0066159D" w:rsidRPr="0066159D" w:rsidRDefault="0066159D" w:rsidP="0066159D">
      <w:pPr>
        <w:spacing w:after="120" w:line="240" w:lineRule="auto"/>
        <w:rPr>
          <w:rFonts w:ascii="Courier New" w:hAnsi="Courier New" w:cs="Courier New"/>
          <w:b/>
          <w:sz w:val="28"/>
          <w:szCs w:val="28"/>
        </w:rPr>
      </w:pPr>
    </w:p>
    <w:p w:rsidR="0066159D" w:rsidRPr="0066159D" w:rsidRDefault="0066159D" w:rsidP="0066159D">
      <w:pPr>
        <w:spacing w:after="120" w:line="240" w:lineRule="auto"/>
        <w:rPr>
          <w:rFonts w:ascii="Courier New" w:hAnsi="Courier New" w:cs="Courier New"/>
          <w:b/>
          <w:sz w:val="28"/>
          <w:szCs w:val="28"/>
        </w:rPr>
      </w:pPr>
    </w:p>
    <w:p w:rsidR="0066159D" w:rsidRPr="00F61774" w:rsidRDefault="0066159D" w:rsidP="0066159D">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G.: </w:t>
      </w:r>
    </w:p>
    <w:p w:rsidR="0066159D" w:rsidRPr="00F61774" w:rsidRDefault="0066159D" w:rsidP="0066159D">
      <w:pPr>
        <w:spacing w:after="120" w:line="240" w:lineRule="auto"/>
        <w:rPr>
          <w:rFonts w:ascii="Courier New" w:hAnsi="Courier New" w:cs="Courier New"/>
          <w:b/>
          <w:sz w:val="27"/>
          <w:szCs w:val="27"/>
        </w:rPr>
      </w:pPr>
    </w:p>
    <w:p w:rsidR="0066159D" w:rsidRPr="00F61774" w:rsidRDefault="0066159D" w:rsidP="0066159D">
      <w:pPr>
        <w:spacing w:after="0" w:line="360" w:lineRule="auto"/>
        <w:jc w:val="both"/>
        <w:rPr>
          <w:rFonts w:ascii="Courier New" w:hAnsi="Courier New" w:cs="Courier New"/>
          <w:sz w:val="27"/>
          <w:szCs w:val="27"/>
        </w:rPr>
      </w:pPr>
      <w:r w:rsidRPr="00F61774">
        <w:rPr>
          <w:rFonts w:ascii="Courier New" w:hAnsi="Courier New" w:cs="Courier New"/>
          <w:b/>
          <w:sz w:val="27"/>
          <w:szCs w:val="27"/>
        </w:rPr>
        <w:tab/>
      </w:r>
      <w:r w:rsidR="00C26A8F" w:rsidRPr="00F61774">
        <w:rPr>
          <w:rFonts w:ascii="Courier New" w:hAnsi="Courier New" w:cs="Courier New"/>
          <w:sz w:val="27"/>
          <w:szCs w:val="27"/>
        </w:rPr>
        <w:t>As one of his grounds of appeal, Appellant raised the issue of the use of incorrect Code of Conduct.  The ground reads:-</w:t>
      </w:r>
    </w:p>
    <w:p w:rsidR="00C26A8F" w:rsidRDefault="00C26A8F" w:rsidP="0066159D">
      <w:pPr>
        <w:spacing w:after="0" w:line="360" w:lineRule="auto"/>
        <w:jc w:val="both"/>
        <w:rPr>
          <w:rFonts w:ascii="Courier New" w:hAnsi="Courier New" w:cs="Courier New"/>
          <w:sz w:val="28"/>
          <w:szCs w:val="28"/>
        </w:rPr>
      </w:pPr>
    </w:p>
    <w:p w:rsidR="00C26A8F" w:rsidRPr="00F61774" w:rsidRDefault="00C26A8F" w:rsidP="00C26A8F">
      <w:pPr>
        <w:spacing w:after="0" w:line="360" w:lineRule="auto"/>
        <w:ind w:left="1440" w:hanging="720"/>
        <w:jc w:val="both"/>
        <w:rPr>
          <w:rFonts w:ascii="Times New Roman" w:hAnsi="Times New Roman" w:cs="Times New Roman"/>
          <w:i/>
          <w:sz w:val="24"/>
          <w:szCs w:val="24"/>
        </w:rPr>
      </w:pPr>
      <w:r w:rsidRPr="00F61774">
        <w:rPr>
          <w:rFonts w:ascii="Times New Roman" w:hAnsi="Times New Roman" w:cs="Times New Roman"/>
          <w:i/>
          <w:sz w:val="24"/>
          <w:szCs w:val="24"/>
        </w:rPr>
        <w:t>“a.</w:t>
      </w:r>
      <w:r w:rsidRPr="00F61774">
        <w:rPr>
          <w:rFonts w:ascii="Times New Roman" w:hAnsi="Times New Roman" w:cs="Times New Roman"/>
          <w:i/>
          <w:sz w:val="24"/>
          <w:szCs w:val="24"/>
        </w:rPr>
        <w:tab/>
        <w:t>We submitted to the hearing committee that we have grave reservations about their employ of the Interfresh Code of Conduct in bringing charges of misconduct against the Appellant.</w:t>
      </w:r>
    </w:p>
    <w:p w:rsidR="00C26A8F" w:rsidRPr="00F61774" w:rsidRDefault="00C26A8F" w:rsidP="00C26A8F">
      <w:pPr>
        <w:spacing w:after="0" w:line="360" w:lineRule="auto"/>
        <w:ind w:left="1440" w:hanging="720"/>
        <w:jc w:val="both"/>
        <w:rPr>
          <w:rFonts w:ascii="Times New Roman" w:hAnsi="Times New Roman" w:cs="Times New Roman"/>
          <w:i/>
          <w:sz w:val="24"/>
          <w:szCs w:val="24"/>
        </w:rPr>
      </w:pPr>
    </w:p>
    <w:p w:rsidR="00C26A8F" w:rsidRPr="00F61774" w:rsidRDefault="00C26A8F" w:rsidP="00C26A8F">
      <w:pPr>
        <w:spacing w:after="0" w:line="360" w:lineRule="auto"/>
        <w:ind w:left="1440" w:hanging="720"/>
        <w:jc w:val="both"/>
        <w:rPr>
          <w:rFonts w:ascii="Times New Roman" w:hAnsi="Times New Roman" w:cs="Times New Roman"/>
          <w:i/>
          <w:sz w:val="24"/>
          <w:szCs w:val="24"/>
        </w:rPr>
      </w:pPr>
      <w:r w:rsidRPr="00F61774">
        <w:rPr>
          <w:rFonts w:ascii="Times New Roman" w:hAnsi="Times New Roman" w:cs="Times New Roman"/>
          <w:i/>
          <w:sz w:val="24"/>
          <w:szCs w:val="24"/>
        </w:rPr>
        <w:tab/>
        <w:t>Our reasoning was based on the mere fact that Section 3 of the Interfresh Code of Conduct provides the following.</w:t>
      </w:r>
    </w:p>
    <w:p w:rsidR="00C26A8F" w:rsidRPr="00F61774" w:rsidRDefault="00C26A8F" w:rsidP="00C26A8F">
      <w:pPr>
        <w:spacing w:after="0" w:line="360" w:lineRule="auto"/>
        <w:ind w:left="1440" w:hanging="720"/>
        <w:jc w:val="both"/>
        <w:rPr>
          <w:rFonts w:ascii="Times New Roman" w:hAnsi="Times New Roman" w:cs="Times New Roman"/>
          <w:i/>
          <w:sz w:val="24"/>
          <w:szCs w:val="24"/>
        </w:rPr>
      </w:pPr>
    </w:p>
    <w:p w:rsidR="00C26A8F" w:rsidRPr="00F61774" w:rsidRDefault="00C26A8F" w:rsidP="00C26A8F">
      <w:pPr>
        <w:spacing w:after="0" w:line="360" w:lineRule="auto"/>
        <w:ind w:left="1440" w:hanging="720"/>
        <w:jc w:val="both"/>
        <w:rPr>
          <w:rFonts w:ascii="Times New Roman" w:hAnsi="Times New Roman" w:cs="Times New Roman"/>
          <w:i/>
          <w:sz w:val="24"/>
          <w:szCs w:val="24"/>
        </w:rPr>
      </w:pPr>
      <w:r w:rsidRPr="00F61774">
        <w:rPr>
          <w:rFonts w:ascii="Times New Roman" w:hAnsi="Times New Roman" w:cs="Times New Roman"/>
          <w:i/>
          <w:sz w:val="24"/>
          <w:szCs w:val="24"/>
        </w:rPr>
        <w:tab/>
        <w:t xml:space="preserve">The Code of Conduct is applicable to all employees of Interfresh Limited … Managerial </w:t>
      </w:r>
      <w:r w:rsidR="009E28A5" w:rsidRPr="00F61774">
        <w:rPr>
          <w:rFonts w:ascii="Times New Roman" w:hAnsi="Times New Roman" w:cs="Times New Roman"/>
          <w:i/>
          <w:sz w:val="24"/>
          <w:szCs w:val="24"/>
        </w:rPr>
        <w:t xml:space="preserve">up to Senior Management (B1) and none managerial.  Employees </w:t>
      </w:r>
      <w:r w:rsidR="009E28A5" w:rsidRPr="00F61774">
        <w:rPr>
          <w:rFonts w:ascii="Times New Roman" w:hAnsi="Times New Roman" w:cs="Times New Roman"/>
          <w:i/>
          <w:sz w:val="24"/>
          <w:szCs w:val="24"/>
        </w:rPr>
        <w:lastRenderedPageBreak/>
        <w:t>in grades A4 up to A1 are not covered by this code and shall be handled under Statutory Instrument 371 of 1985.”</w:t>
      </w:r>
    </w:p>
    <w:p w:rsidR="009E28A5" w:rsidRDefault="009E28A5" w:rsidP="009E28A5">
      <w:pPr>
        <w:spacing w:after="0" w:line="360" w:lineRule="auto"/>
        <w:jc w:val="both"/>
        <w:rPr>
          <w:rFonts w:ascii="Times New Roman" w:hAnsi="Times New Roman" w:cs="Times New Roman"/>
          <w:i/>
          <w:sz w:val="26"/>
          <w:szCs w:val="26"/>
        </w:rPr>
      </w:pPr>
    </w:p>
    <w:p w:rsidR="0066159D" w:rsidRPr="00F61774" w:rsidRDefault="009E28A5" w:rsidP="009E28A5">
      <w:pPr>
        <w:spacing w:after="0" w:line="360" w:lineRule="auto"/>
        <w:jc w:val="both"/>
        <w:rPr>
          <w:rFonts w:ascii="Courier New" w:hAnsi="Courier New" w:cs="Courier New"/>
          <w:sz w:val="27"/>
          <w:szCs w:val="27"/>
        </w:rPr>
      </w:pPr>
      <w:r>
        <w:rPr>
          <w:rFonts w:ascii="Times New Roman" w:hAnsi="Times New Roman" w:cs="Times New Roman"/>
          <w:i/>
          <w:sz w:val="26"/>
          <w:szCs w:val="26"/>
        </w:rPr>
        <w:tab/>
      </w:r>
      <w:r w:rsidRPr="00F61774">
        <w:rPr>
          <w:rFonts w:ascii="Courier New" w:hAnsi="Courier New" w:cs="Courier New"/>
          <w:sz w:val="27"/>
          <w:szCs w:val="27"/>
        </w:rPr>
        <w:t xml:space="preserve">It is this particular ground that I decided to deal with first and make a ruling on before one proceeds to deal with the rest of the grounds as, a finding that the Code did not apply to Appellant disposes the appeal. </w:t>
      </w:r>
    </w:p>
    <w:p w:rsidR="009E28A5" w:rsidRPr="00F61774" w:rsidRDefault="009E28A5" w:rsidP="009E28A5">
      <w:pPr>
        <w:spacing w:after="0" w:line="360" w:lineRule="auto"/>
        <w:jc w:val="both"/>
        <w:rPr>
          <w:rFonts w:ascii="Courier New" w:hAnsi="Courier New" w:cs="Courier New"/>
          <w:sz w:val="27"/>
          <w:szCs w:val="27"/>
        </w:rPr>
      </w:pPr>
    </w:p>
    <w:p w:rsidR="009E28A5" w:rsidRPr="00F61774" w:rsidRDefault="009E28A5" w:rsidP="009E28A5">
      <w:pPr>
        <w:spacing w:after="0" w:line="360" w:lineRule="auto"/>
        <w:jc w:val="both"/>
        <w:rPr>
          <w:rFonts w:ascii="Courier New" w:hAnsi="Courier New" w:cs="Courier New"/>
          <w:sz w:val="27"/>
          <w:szCs w:val="27"/>
        </w:rPr>
      </w:pPr>
      <w:r w:rsidRPr="00F61774">
        <w:rPr>
          <w:rFonts w:ascii="Courier New" w:hAnsi="Courier New" w:cs="Courier New"/>
          <w:sz w:val="27"/>
          <w:szCs w:val="27"/>
        </w:rPr>
        <w:tab/>
        <w:t>It was Appellant’s submission that the Interfresh Code of Conduct (The Code) which was used was the wrong Code.  As Appellant was in grade A4 and the Code was registered in 2002, and the allegations having arisen in 2009, the Code did not cover him.  It was submitted that the correct Code that should have been used was the Labour (National Employment Code of Conduct) Regulations 2006 Statutory Instrument 15 of 2006.</w:t>
      </w:r>
    </w:p>
    <w:p w:rsidR="00511C8D" w:rsidRPr="00F61774" w:rsidRDefault="00511C8D" w:rsidP="009E28A5">
      <w:pPr>
        <w:spacing w:after="0" w:line="360" w:lineRule="auto"/>
        <w:jc w:val="both"/>
        <w:rPr>
          <w:rFonts w:ascii="Courier New" w:hAnsi="Courier New" w:cs="Courier New"/>
          <w:sz w:val="27"/>
          <w:szCs w:val="27"/>
        </w:rPr>
      </w:pPr>
    </w:p>
    <w:p w:rsidR="00511C8D" w:rsidRPr="00F61774" w:rsidRDefault="00511C8D" w:rsidP="009E28A5">
      <w:pPr>
        <w:spacing w:after="0" w:line="360" w:lineRule="auto"/>
        <w:jc w:val="both"/>
        <w:rPr>
          <w:rFonts w:ascii="Courier New" w:hAnsi="Courier New" w:cs="Courier New"/>
          <w:sz w:val="27"/>
          <w:szCs w:val="27"/>
        </w:rPr>
      </w:pPr>
      <w:r w:rsidRPr="00F61774">
        <w:rPr>
          <w:rFonts w:ascii="Courier New" w:hAnsi="Courier New" w:cs="Courier New"/>
          <w:sz w:val="27"/>
          <w:szCs w:val="27"/>
        </w:rPr>
        <w:tab/>
        <w:t xml:space="preserve">Appellant submitted that despite the evaluation exercise that was done by Respondent he still could not be covered by the Code as the amendments to the grades were not registered. </w:t>
      </w:r>
    </w:p>
    <w:p w:rsidR="00511C8D" w:rsidRPr="00F61774" w:rsidRDefault="00511C8D" w:rsidP="009E28A5">
      <w:pPr>
        <w:spacing w:after="0" w:line="360" w:lineRule="auto"/>
        <w:jc w:val="both"/>
        <w:rPr>
          <w:rFonts w:ascii="Courier New" w:hAnsi="Courier New" w:cs="Courier New"/>
          <w:sz w:val="27"/>
          <w:szCs w:val="27"/>
        </w:rPr>
      </w:pPr>
    </w:p>
    <w:p w:rsidR="00511C8D" w:rsidRPr="00F61774" w:rsidRDefault="00511C8D" w:rsidP="00511C8D">
      <w:pPr>
        <w:spacing w:after="0" w:line="360" w:lineRule="auto"/>
        <w:ind w:firstLine="720"/>
        <w:jc w:val="both"/>
        <w:rPr>
          <w:rFonts w:ascii="Courier New" w:hAnsi="Courier New" w:cs="Courier New"/>
          <w:sz w:val="27"/>
          <w:szCs w:val="27"/>
        </w:rPr>
      </w:pPr>
      <w:r w:rsidRPr="00F61774">
        <w:rPr>
          <w:rFonts w:ascii="Courier New" w:hAnsi="Courier New" w:cs="Courier New"/>
          <w:sz w:val="27"/>
          <w:szCs w:val="27"/>
        </w:rPr>
        <w:t xml:space="preserve">It was Respondent’s submission that the issue of the Code as raised by Appellant was now </w:t>
      </w:r>
      <w:r w:rsidRPr="00F61774">
        <w:rPr>
          <w:rFonts w:ascii="Courier New" w:hAnsi="Courier New" w:cs="Courier New"/>
          <w:i/>
          <w:sz w:val="27"/>
          <w:szCs w:val="27"/>
        </w:rPr>
        <w:t xml:space="preserve">res judicata </w:t>
      </w:r>
      <w:r w:rsidRPr="00F61774">
        <w:rPr>
          <w:rFonts w:ascii="Courier New" w:hAnsi="Courier New" w:cs="Courier New"/>
          <w:sz w:val="27"/>
          <w:szCs w:val="27"/>
        </w:rPr>
        <w:t>as the matter was once before this court with the same facts being raised by Appellant, the parties being the same and a judgment was handed down.  The court ruled that Appellant was correctly covered by the Code.</w:t>
      </w:r>
    </w:p>
    <w:p w:rsidR="00511C8D" w:rsidRPr="00F61774" w:rsidRDefault="00511C8D" w:rsidP="00511C8D">
      <w:pPr>
        <w:spacing w:after="0" w:line="360" w:lineRule="auto"/>
        <w:ind w:firstLine="720"/>
        <w:jc w:val="both"/>
        <w:rPr>
          <w:rFonts w:ascii="Courier New" w:hAnsi="Courier New" w:cs="Courier New"/>
          <w:sz w:val="27"/>
          <w:szCs w:val="27"/>
        </w:rPr>
      </w:pPr>
    </w:p>
    <w:p w:rsidR="00511C8D" w:rsidRPr="00F61774" w:rsidRDefault="00511C8D" w:rsidP="00511C8D">
      <w:pPr>
        <w:spacing w:after="0" w:line="360" w:lineRule="auto"/>
        <w:ind w:firstLine="720"/>
        <w:jc w:val="both"/>
        <w:rPr>
          <w:rFonts w:ascii="Courier New" w:hAnsi="Courier New" w:cs="Courier New"/>
          <w:b/>
          <w:sz w:val="27"/>
          <w:szCs w:val="27"/>
        </w:rPr>
      </w:pPr>
      <w:r w:rsidRPr="00F61774">
        <w:rPr>
          <w:rFonts w:ascii="Courier New" w:hAnsi="Courier New" w:cs="Courier New"/>
          <w:sz w:val="27"/>
          <w:szCs w:val="27"/>
        </w:rPr>
        <w:lastRenderedPageBreak/>
        <w:t>On the 27</w:t>
      </w:r>
      <w:r w:rsidRPr="00F61774">
        <w:rPr>
          <w:rFonts w:ascii="Courier New" w:hAnsi="Courier New" w:cs="Courier New"/>
          <w:sz w:val="27"/>
          <w:szCs w:val="27"/>
          <w:vertAlign w:val="superscript"/>
        </w:rPr>
        <w:t>th</w:t>
      </w:r>
      <w:r w:rsidRPr="00F61774">
        <w:rPr>
          <w:rFonts w:ascii="Courier New" w:hAnsi="Courier New" w:cs="Courier New"/>
          <w:sz w:val="27"/>
          <w:szCs w:val="27"/>
        </w:rPr>
        <w:t xml:space="preserve"> May, 2010 this court heard the matter of </w:t>
      </w:r>
      <w:r w:rsidRPr="00F61774">
        <w:rPr>
          <w:rFonts w:ascii="Courier New" w:hAnsi="Courier New" w:cs="Courier New"/>
          <w:b/>
          <w:sz w:val="27"/>
          <w:szCs w:val="27"/>
        </w:rPr>
        <w:t>Victor Gurajena V Interfresh LC/H/433/09.</w:t>
      </w:r>
    </w:p>
    <w:p w:rsidR="00511C8D" w:rsidRPr="00F61774" w:rsidRDefault="00511C8D" w:rsidP="00511C8D">
      <w:pPr>
        <w:spacing w:after="0" w:line="360" w:lineRule="auto"/>
        <w:ind w:firstLine="720"/>
        <w:jc w:val="both"/>
        <w:rPr>
          <w:rFonts w:ascii="Courier New" w:hAnsi="Courier New" w:cs="Courier New"/>
          <w:b/>
          <w:sz w:val="27"/>
          <w:szCs w:val="27"/>
        </w:rPr>
      </w:pPr>
    </w:p>
    <w:p w:rsidR="00511C8D" w:rsidRPr="00F61774" w:rsidRDefault="00511C8D" w:rsidP="00511C8D">
      <w:pPr>
        <w:spacing w:after="0" w:line="360" w:lineRule="auto"/>
        <w:ind w:firstLine="720"/>
        <w:jc w:val="both"/>
        <w:rPr>
          <w:rFonts w:ascii="Courier New" w:hAnsi="Courier New" w:cs="Courier New"/>
          <w:sz w:val="27"/>
          <w:szCs w:val="27"/>
        </w:rPr>
      </w:pPr>
      <w:r w:rsidRPr="00F61774">
        <w:rPr>
          <w:rFonts w:ascii="Courier New" w:hAnsi="Courier New" w:cs="Courier New"/>
          <w:sz w:val="27"/>
          <w:szCs w:val="27"/>
        </w:rPr>
        <w:t>Appellant was represented by a legal practitioner</w:t>
      </w:r>
      <w:r w:rsidR="00F61774" w:rsidRPr="00F61774">
        <w:rPr>
          <w:rFonts w:ascii="Courier New" w:hAnsi="Courier New" w:cs="Courier New"/>
          <w:sz w:val="27"/>
          <w:szCs w:val="27"/>
        </w:rPr>
        <w:t xml:space="preserve"> Mr. S. Mugadza.  Appellant rais</w:t>
      </w:r>
      <w:r w:rsidRPr="00F61774">
        <w:rPr>
          <w:rFonts w:ascii="Courier New" w:hAnsi="Courier New" w:cs="Courier New"/>
          <w:sz w:val="27"/>
          <w:szCs w:val="27"/>
        </w:rPr>
        <w:t xml:space="preserve">ed a point </w:t>
      </w:r>
      <w:r w:rsidRPr="00F61774">
        <w:rPr>
          <w:rFonts w:ascii="Courier New" w:hAnsi="Courier New" w:cs="Courier New"/>
          <w:i/>
          <w:sz w:val="27"/>
          <w:szCs w:val="27"/>
        </w:rPr>
        <w:t xml:space="preserve">in limine </w:t>
      </w:r>
      <w:r w:rsidRPr="00F61774">
        <w:rPr>
          <w:rFonts w:ascii="Courier New" w:hAnsi="Courier New" w:cs="Courier New"/>
          <w:sz w:val="27"/>
          <w:szCs w:val="27"/>
        </w:rPr>
        <w:t>that he was charged and dismissed in terms of Respondent’s Code of Conduct, that he was in Grade A4 and accordingly fell outside the jurisdiction of the Code.</w:t>
      </w:r>
      <w:r w:rsidR="00C27644" w:rsidRPr="00F61774">
        <w:rPr>
          <w:rFonts w:ascii="Courier New" w:hAnsi="Courier New" w:cs="Courier New"/>
          <w:sz w:val="27"/>
          <w:szCs w:val="27"/>
        </w:rPr>
        <w:t xml:space="preserve">  He relied on Section 3 thereof. </w:t>
      </w:r>
    </w:p>
    <w:p w:rsidR="00C27644" w:rsidRPr="00F61774" w:rsidRDefault="00C27644" w:rsidP="00511C8D">
      <w:pPr>
        <w:spacing w:after="0" w:line="360" w:lineRule="auto"/>
        <w:ind w:firstLine="720"/>
        <w:jc w:val="both"/>
        <w:rPr>
          <w:rFonts w:ascii="Courier New" w:hAnsi="Courier New" w:cs="Courier New"/>
          <w:sz w:val="27"/>
          <w:szCs w:val="27"/>
        </w:rPr>
      </w:pPr>
    </w:p>
    <w:p w:rsidR="00C27644" w:rsidRPr="00F61774" w:rsidRDefault="00C27644" w:rsidP="00511C8D">
      <w:pPr>
        <w:spacing w:after="0" w:line="360" w:lineRule="auto"/>
        <w:ind w:firstLine="720"/>
        <w:jc w:val="both"/>
        <w:rPr>
          <w:rFonts w:ascii="Courier New" w:hAnsi="Courier New" w:cs="Courier New"/>
          <w:i/>
          <w:sz w:val="27"/>
          <w:szCs w:val="27"/>
        </w:rPr>
      </w:pPr>
      <w:r w:rsidRPr="00F61774">
        <w:rPr>
          <w:rFonts w:ascii="Courier New" w:hAnsi="Courier New" w:cs="Courier New"/>
          <w:sz w:val="27"/>
          <w:szCs w:val="27"/>
        </w:rPr>
        <w:t xml:space="preserve">After considering the submissions by both parties, the court issued a judgment LC/H/156/10 </w:t>
      </w:r>
      <w:r w:rsidR="00F61774" w:rsidRPr="00F61774">
        <w:rPr>
          <w:rFonts w:ascii="Courier New" w:hAnsi="Courier New" w:cs="Courier New"/>
          <w:sz w:val="27"/>
          <w:szCs w:val="27"/>
        </w:rPr>
        <w:t>ruling</w:t>
      </w:r>
      <w:r w:rsidRPr="00F61774">
        <w:rPr>
          <w:rFonts w:ascii="Courier New" w:hAnsi="Courier New" w:cs="Courier New"/>
          <w:sz w:val="27"/>
          <w:szCs w:val="27"/>
        </w:rPr>
        <w:t xml:space="preserve"> that Appellant was properly covered under Respondent’s code of conduct</w:t>
      </w:r>
      <w:r w:rsidR="00F61774" w:rsidRPr="00F61774">
        <w:rPr>
          <w:rFonts w:ascii="Courier New" w:hAnsi="Courier New" w:cs="Courier New"/>
          <w:sz w:val="27"/>
          <w:szCs w:val="27"/>
        </w:rPr>
        <w:t>.  It</w:t>
      </w:r>
      <w:r w:rsidRPr="00F61774">
        <w:rPr>
          <w:rFonts w:ascii="Courier New" w:hAnsi="Courier New" w:cs="Courier New"/>
          <w:sz w:val="27"/>
          <w:szCs w:val="27"/>
        </w:rPr>
        <w:t xml:space="preserve"> the</w:t>
      </w:r>
      <w:r w:rsidR="00F61774" w:rsidRPr="00F61774">
        <w:rPr>
          <w:rFonts w:ascii="Courier New" w:hAnsi="Courier New" w:cs="Courier New"/>
          <w:sz w:val="27"/>
          <w:szCs w:val="27"/>
        </w:rPr>
        <w:t>n</w:t>
      </w:r>
      <w:r w:rsidRPr="00F61774">
        <w:rPr>
          <w:rFonts w:ascii="Courier New" w:hAnsi="Courier New" w:cs="Courier New"/>
          <w:sz w:val="27"/>
          <w:szCs w:val="27"/>
        </w:rPr>
        <w:t xml:space="preserve"> dismissed the point </w:t>
      </w:r>
      <w:r w:rsidRPr="00F61774">
        <w:rPr>
          <w:rFonts w:ascii="Courier New" w:hAnsi="Courier New" w:cs="Courier New"/>
          <w:i/>
          <w:sz w:val="27"/>
          <w:szCs w:val="27"/>
        </w:rPr>
        <w:t xml:space="preserve">in limine. </w:t>
      </w:r>
    </w:p>
    <w:p w:rsidR="00C27644" w:rsidRPr="00F61774" w:rsidRDefault="00C27644" w:rsidP="00511C8D">
      <w:pPr>
        <w:spacing w:after="0" w:line="360" w:lineRule="auto"/>
        <w:ind w:firstLine="720"/>
        <w:jc w:val="both"/>
        <w:rPr>
          <w:rFonts w:ascii="Courier New" w:hAnsi="Courier New" w:cs="Courier New"/>
          <w:i/>
          <w:sz w:val="27"/>
          <w:szCs w:val="27"/>
        </w:rPr>
      </w:pPr>
    </w:p>
    <w:p w:rsidR="00C27644" w:rsidRPr="00F61774" w:rsidRDefault="00C27644" w:rsidP="00511C8D">
      <w:pPr>
        <w:spacing w:after="0" w:line="360" w:lineRule="auto"/>
        <w:ind w:firstLine="720"/>
        <w:jc w:val="both"/>
        <w:rPr>
          <w:rFonts w:ascii="Courier New" w:hAnsi="Courier New" w:cs="Courier New"/>
          <w:sz w:val="27"/>
          <w:szCs w:val="27"/>
        </w:rPr>
      </w:pPr>
      <w:r w:rsidRPr="00F61774">
        <w:rPr>
          <w:rFonts w:ascii="Courier New" w:hAnsi="Courier New" w:cs="Courier New"/>
          <w:sz w:val="27"/>
          <w:szCs w:val="27"/>
        </w:rPr>
        <w:t xml:space="preserve">In casu Appellant now represented by a different legal practitioner has raised the same issue supporting it with the same arguments. </w:t>
      </w:r>
    </w:p>
    <w:p w:rsidR="00C27644" w:rsidRPr="00F61774" w:rsidRDefault="00C27644" w:rsidP="00511C8D">
      <w:pPr>
        <w:spacing w:after="0" w:line="360" w:lineRule="auto"/>
        <w:ind w:firstLine="720"/>
        <w:jc w:val="both"/>
        <w:rPr>
          <w:rFonts w:ascii="Courier New" w:hAnsi="Courier New" w:cs="Courier New"/>
          <w:b/>
          <w:sz w:val="27"/>
          <w:szCs w:val="27"/>
        </w:rPr>
      </w:pPr>
    </w:p>
    <w:p w:rsidR="00C27644" w:rsidRPr="00F61774" w:rsidRDefault="00C27644" w:rsidP="00C27644">
      <w:pPr>
        <w:spacing w:after="0" w:line="360" w:lineRule="auto"/>
        <w:ind w:left="720" w:firstLine="720"/>
        <w:jc w:val="both"/>
        <w:rPr>
          <w:rFonts w:ascii="Times New Roman" w:hAnsi="Times New Roman" w:cs="Times New Roman"/>
          <w:i/>
          <w:sz w:val="24"/>
          <w:szCs w:val="24"/>
        </w:rPr>
      </w:pPr>
      <w:r w:rsidRPr="00F61774">
        <w:rPr>
          <w:rFonts w:ascii="Times New Roman" w:hAnsi="Times New Roman" w:cs="Times New Roman"/>
          <w:i/>
          <w:sz w:val="24"/>
          <w:szCs w:val="24"/>
        </w:rPr>
        <w:t xml:space="preserve">‘It is trite that in order for the special plea of res judicata to succeed, it must be established that the judgment given in the prior action concerned the same subject matter: </w:t>
      </w:r>
    </w:p>
    <w:p w:rsidR="00C27644" w:rsidRPr="00F61774" w:rsidRDefault="00E30E8E" w:rsidP="00C27644">
      <w:pPr>
        <w:pStyle w:val="ListParagraph"/>
        <w:numPr>
          <w:ilvl w:val="0"/>
          <w:numId w:val="2"/>
        </w:numPr>
        <w:spacing w:after="0" w:line="360" w:lineRule="auto"/>
        <w:jc w:val="both"/>
        <w:rPr>
          <w:rFonts w:ascii="Times New Roman" w:hAnsi="Times New Roman" w:cs="Times New Roman"/>
          <w:i/>
          <w:sz w:val="24"/>
          <w:szCs w:val="24"/>
        </w:rPr>
      </w:pPr>
      <w:r w:rsidRPr="00F61774">
        <w:rPr>
          <w:rFonts w:ascii="Times New Roman" w:hAnsi="Times New Roman" w:cs="Times New Roman"/>
          <w:i/>
          <w:sz w:val="24"/>
          <w:szCs w:val="24"/>
        </w:rPr>
        <w:t xml:space="preserve">was founded on the same grounds and was </w:t>
      </w:r>
    </w:p>
    <w:p w:rsidR="00E30E8E" w:rsidRPr="00F61774" w:rsidRDefault="00E30E8E" w:rsidP="00C27644">
      <w:pPr>
        <w:pStyle w:val="ListParagraph"/>
        <w:numPr>
          <w:ilvl w:val="0"/>
          <w:numId w:val="2"/>
        </w:numPr>
        <w:spacing w:after="0" w:line="360" w:lineRule="auto"/>
        <w:jc w:val="both"/>
        <w:rPr>
          <w:rFonts w:ascii="Times New Roman" w:hAnsi="Times New Roman" w:cs="Times New Roman"/>
          <w:i/>
          <w:sz w:val="24"/>
          <w:szCs w:val="24"/>
        </w:rPr>
      </w:pPr>
      <w:r w:rsidRPr="00F61774">
        <w:rPr>
          <w:rFonts w:ascii="Times New Roman" w:hAnsi="Times New Roman" w:cs="Times New Roman"/>
          <w:i/>
          <w:sz w:val="24"/>
          <w:szCs w:val="24"/>
        </w:rPr>
        <w:t>between the same parties….”</w:t>
      </w:r>
    </w:p>
    <w:p w:rsidR="00E30E8E" w:rsidRPr="00F61774" w:rsidRDefault="00E30E8E" w:rsidP="00E30E8E">
      <w:pPr>
        <w:spacing w:after="0" w:line="360" w:lineRule="auto"/>
        <w:jc w:val="both"/>
        <w:rPr>
          <w:rFonts w:ascii="Times New Roman" w:hAnsi="Times New Roman" w:cs="Times New Roman"/>
          <w:sz w:val="24"/>
          <w:szCs w:val="24"/>
        </w:rPr>
      </w:pPr>
    </w:p>
    <w:p w:rsidR="00E30E8E" w:rsidRPr="00F61774" w:rsidRDefault="00E30E8E" w:rsidP="00E30E8E">
      <w:pPr>
        <w:spacing w:after="0" w:line="360" w:lineRule="auto"/>
        <w:jc w:val="both"/>
        <w:rPr>
          <w:rFonts w:ascii="Courier New" w:hAnsi="Courier New" w:cs="Courier New"/>
          <w:sz w:val="27"/>
          <w:szCs w:val="27"/>
        </w:rPr>
      </w:pPr>
      <w:r w:rsidRPr="00F61774">
        <w:rPr>
          <w:rFonts w:ascii="Courier New" w:hAnsi="Courier New" w:cs="Courier New"/>
          <w:sz w:val="27"/>
          <w:szCs w:val="27"/>
        </w:rPr>
        <w:t xml:space="preserve">per Reynolds J. </w:t>
      </w:r>
    </w:p>
    <w:p w:rsidR="00E30E8E" w:rsidRPr="00F61774" w:rsidRDefault="00E30E8E" w:rsidP="00E30E8E">
      <w:pPr>
        <w:spacing w:after="0" w:line="360" w:lineRule="auto"/>
        <w:jc w:val="both"/>
        <w:rPr>
          <w:rFonts w:ascii="Courier New" w:hAnsi="Courier New" w:cs="Courier New"/>
          <w:sz w:val="27"/>
          <w:szCs w:val="27"/>
        </w:rPr>
      </w:pPr>
    </w:p>
    <w:p w:rsidR="00E30E8E" w:rsidRPr="00F61774" w:rsidRDefault="00E30E8E" w:rsidP="00E30E8E">
      <w:pPr>
        <w:spacing w:after="0" w:line="360" w:lineRule="auto"/>
        <w:ind w:left="720"/>
        <w:jc w:val="both"/>
        <w:rPr>
          <w:rFonts w:ascii="Courier New" w:hAnsi="Courier New" w:cs="Courier New"/>
          <w:b/>
          <w:sz w:val="27"/>
          <w:szCs w:val="27"/>
        </w:rPr>
      </w:pPr>
      <w:r w:rsidRPr="00F61774">
        <w:rPr>
          <w:rFonts w:ascii="Courier New" w:hAnsi="Courier New" w:cs="Courier New"/>
          <w:b/>
          <w:sz w:val="27"/>
          <w:szCs w:val="27"/>
        </w:rPr>
        <w:t>Madondo V Fyfe and Others 1988 (1) ZLR 138 (HC) at 140 F.</w:t>
      </w:r>
    </w:p>
    <w:p w:rsidR="00E30E8E" w:rsidRPr="00F61774" w:rsidRDefault="00E30E8E" w:rsidP="00E30E8E">
      <w:pPr>
        <w:spacing w:after="0" w:line="360" w:lineRule="auto"/>
        <w:jc w:val="both"/>
        <w:rPr>
          <w:rFonts w:ascii="Courier New" w:hAnsi="Courier New" w:cs="Courier New"/>
          <w:b/>
          <w:sz w:val="27"/>
          <w:szCs w:val="27"/>
        </w:rPr>
      </w:pPr>
    </w:p>
    <w:p w:rsidR="00E30E8E" w:rsidRPr="00F61774" w:rsidRDefault="00E30E8E" w:rsidP="00E30E8E">
      <w:pPr>
        <w:spacing w:after="0" w:line="360" w:lineRule="auto"/>
        <w:jc w:val="both"/>
        <w:rPr>
          <w:rFonts w:ascii="Courier New" w:hAnsi="Courier New" w:cs="Courier New"/>
          <w:sz w:val="27"/>
          <w:szCs w:val="27"/>
        </w:rPr>
      </w:pPr>
      <w:r w:rsidRPr="00F61774">
        <w:rPr>
          <w:rFonts w:ascii="Courier New" w:hAnsi="Courier New" w:cs="Courier New"/>
          <w:b/>
          <w:sz w:val="27"/>
          <w:szCs w:val="27"/>
        </w:rPr>
        <w:lastRenderedPageBreak/>
        <w:tab/>
      </w:r>
      <w:r w:rsidRPr="00F61774">
        <w:rPr>
          <w:rFonts w:ascii="Courier New" w:hAnsi="Courier New" w:cs="Courier New"/>
          <w:sz w:val="27"/>
          <w:szCs w:val="27"/>
        </w:rPr>
        <w:t xml:space="preserve">In view of the above I find that Respondent has established the plea of </w:t>
      </w:r>
      <w:r w:rsidRPr="00F61774">
        <w:rPr>
          <w:rFonts w:ascii="Courier New" w:hAnsi="Courier New" w:cs="Courier New"/>
          <w:i/>
          <w:sz w:val="27"/>
          <w:szCs w:val="27"/>
        </w:rPr>
        <w:t xml:space="preserve">res judicata.  </w:t>
      </w:r>
      <w:r w:rsidRPr="00F61774">
        <w:rPr>
          <w:rFonts w:ascii="Courier New" w:hAnsi="Courier New" w:cs="Courier New"/>
          <w:sz w:val="27"/>
          <w:szCs w:val="27"/>
        </w:rPr>
        <w:t xml:space="preserve">If Appellant was not satisfied with the previous court’s ruling, it ought to have approached the Supreme Court on appeal instead of </w:t>
      </w:r>
      <w:r w:rsidR="00710544" w:rsidRPr="00F61774">
        <w:rPr>
          <w:rFonts w:ascii="Courier New" w:hAnsi="Courier New" w:cs="Courier New"/>
          <w:sz w:val="27"/>
          <w:szCs w:val="27"/>
        </w:rPr>
        <w:t>raising the same argument again before this court.  In a way Appellant is asking me to review</w:t>
      </w:r>
      <w:r w:rsidR="00F61774" w:rsidRPr="00F61774">
        <w:rPr>
          <w:rFonts w:ascii="Courier New" w:hAnsi="Courier New" w:cs="Courier New"/>
          <w:sz w:val="27"/>
          <w:szCs w:val="27"/>
        </w:rPr>
        <w:t xml:space="preserve"> the</w:t>
      </w:r>
      <w:r w:rsidR="00710544" w:rsidRPr="00F61774">
        <w:rPr>
          <w:rFonts w:ascii="Courier New" w:hAnsi="Courier New" w:cs="Courier New"/>
          <w:sz w:val="27"/>
          <w:szCs w:val="27"/>
        </w:rPr>
        <w:t xml:space="preserve"> previous Court’s decision which I cannot do. </w:t>
      </w:r>
    </w:p>
    <w:p w:rsidR="00710544" w:rsidRPr="00F61774" w:rsidRDefault="00710544" w:rsidP="00E30E8E">
      <w:pPr>
        <w:spacing w:after="0" w:line="360" w:lineRule="auto"/>
        <w:jc w:val="both"/>
        <w:rPr>
          <w:rFonts w:ascii="Courier New" w:hAnsi="Courier New" w:cs="Courier New"/>
          <w:sz w:val="27"/>
          <w:szCs w:val="27"/>
        </w:rPr>
      </w:pPr>
    </w:p>
    <w:p w:rsidR="00710544" w:rsidRPr="00F61774" w:rsidRDefault="00710544" w:rsidP="00E30E8E">
      <w:pPr>
        <w:spacing w:after="0" w:line="360" w:lineRule="auto"/>
        <w:jc w:val="both"/>
        <w:rPr>
          <w:rFonts w:ascii="Courier New" w:hAnsi="Courier New" w:cs="Courier New"/>
          <w:sz w:val="27"/>
          <w:szCs w:val="27"/>
        </w:rPr>
      </w:pPr>
      <w:r w:rsidRPr="00F61774">
        <w:rPr>
          <w:rFonts w:ascii="Courier New" w:hAnsi="Courier New" w:cs="Courier New"/>
          <w:sz w:val="27"/>
          <w:szCs w:val="27"/>
        </w:rPr>
        <w:tab/>
        <w:t xml:space="preserve">To that end, the Appellant’s ground of appeal is dismissed. </w:t>
      </w:r>
    </w:p>
    <w:p w:rsidR="00710544" w:rsidRPr="00F61774" w:rsidRDefault="00710544" w:rsidP="00E30E8E">
      <w:pPr>
        <w:spacing w:after="0" w:line="360" w:lineRule="auto"/>
        <w:jc w:val="both"/>
        <w:rPr>
          <w:rFonts w:ascii="Courier New" w:hAnsi="Courier New" w:cs="Courier New"/>
          <w:sz w:val="27"/>
          <w:szCs w:val="27"/>
        </w:rPr>
      </w:pPr>
    </w:p>
    <w:p w:rsidR="0066159D" w:rsidRPr="00F61774" w:rsidRDefault="00710544" w:rsidP="00710544">
      <w:pPr>
        <w:spacing w:after="0" w:line="360" w:lineRule="auto"/>
        <w:jc w:val="both"/>
        <w:rPr>
          <w:rFonts w:ascii="Courier New" w:hAnsi="Courier New" w:cs="Courier New"/>
          <w:sz w:val="27"/>
          <w:szCs w:val="27"/>
        </w:rPr>
      </w:pPr>
      <w:r w:rsidRPr="00F61774">
        <w:rPr>
          <w:rFonts w:ascii="Courier New" w:hAnsi="Courier New" w:cs="Courier New"/>
          <w:sz w:val="27"/>
          <w:szCs w:val="27"/>
        </w:rPr>
        <w:tab/>
        <w:t xml:space="preserve">The </w:t>
      </w:r>
      <w:r w:rsidR="00F61774" w:rsidRPr="00F61774">
        <w:rPr>
          <w:rFonts w:ascii="Courier New" w:hAnsi="Courier New" w:cs="Courier New"/>
          <w:sz w:val="27"/>
          <w:szCs w:val="27"/>
        </w:rPr>
        <w:t>Registrar</w:t>
      </w:r>
      <w:r w:rsidRPr="00F61774">
        <w:rPr>
          <w:rFonts w:ascii="Courier New" w:hAnsi="Courier New" w:cs="Courier New"/>
          <w:sz w:val="27"/>
          <w:szCs w:val="27"/>
        </w:rPr>
        <w:t xml:space="preserve"> is directed to reset the appeal for hearing on the remainder of the grounds.</w:t>
      </w:r>
    </w:p>
    <w:p w:rsidR="0066159D" w:rsidRPr="00F61774" w:rsidRDefault="0066159D" w:rsidP="0066159D">
      <w:pPr>
        <w:spacing w:after="0"/>
        <w:jc w:val="both"/>
        <w:rPr>
          <w:rFonts w:ascii="Courier New" w:hAnsi="Courier New" w:cs="Courier New"/>
          <w:sz w:val="27"/>
          <w:szCs w:val="27"/>
        </w:rPr>
      </w:pPr>
    </w:p>
    <w:p w:rsidR="0066159D" w:rsidRPr="00F61774" w:rsidRDefault="0066159D" w:rsidP="0066159D">
      <w:pPr>
        <w:spacing w:after="0"/>
        <w:jc w:val="both"/>
        <w:rPr>
          <w:rFonts w:ascii="Courier New" w:hAnsi="Courier New" w:cs="Courier New"/>
          <w:sz w:val="27"/>
          <w:szCs w:val="27"/>
        </w:rPr>
      </w:pPr>
    </w:p>
    <w:p w:rsidR="0066159D" w:rsidRPr="00F61774" w:rsidRDefault="0066159D" w:rsidP="0066159D">
      <w:pPr>
        <w:spacing w:after="0"/>
        <w:jc w:val="both"/>
        <w:rPr>
          <w:rFonts w:ascii="Courier New" w:hAnsi="Courier New" w:cs="Courier New"/>
          <w:sz w:val="27"/>
          <w:szCs w:val="27"/>
        </w:rPr>
      </w:pPr>
    </w:p>
    <w:p w:rsidR="00710544" w:rsidRPr="00F61774" w:rsidRDefault="00710544" w:rsidP="0066159D">
      <w:pPr>
        <w:spacing w:after="0"/>
        <w:jc w:val="both"/>
        <w:rPr>
          <w:rFonts w:ascii="Courier New" w:hAnsi="Courier New" w:cs="Courier New"/>
          <w:sz w:val="27"/>
          <w:szCs w:val="27"/>
        </w:rPr>
      </w:pPr>
    </w:p>
    <w:p w:rsidR="00710544" w:rsidRPr="00F61774" w:rsidRDefault="00710544" w:rsidP="0066159D">
      <w:pPr>
        <w:spacing w:after="0"/>
        <w:jc w:val="both"/>
        <w:rPr>
          <w:rFonts w:ascii="Courier New" w:hAnsi="Courier New" w:cs="Courier New"/>
          <w:sz w:val="27"/>
          <w:szCs w:val="27"/>
        </w:rPr>
      </w:pPr>
    </w:p>
    <w:p w:rsidR="00710544" w:rsidRPr="0066159D" w:rsidRDefault="00710544" w:rsidP="0066159D">
      <w:pPr>
        <w:spacing w:after="0"/>
        <w:jc w:val="both"/>
        <w:rPr>
          <w:rFonts w:ascii="Courier New" w:hAnsi="Courier New" w:cs="Courier New"/>
          <w:sz w:val="28"/>
          <w:szCs w:val="28"/>
        </w:rPr>
      </w:pPr>
    </w:p>
    <w:p w:rsidR="0066159D" w:rsidRPr="00D877CE" w:rsidRDefault="00710544" w:rsidP="0066159D">
      <w:pPr>
        <w:spacing w:after="0" w:line="360" w:lineRule="auto"/>
        <w:jc w:val="both"/>
        <w:rPr>
          <w:rFonts w:ascii="Courier New" w:hAnsi="Courier New" w:cs="Courier New"/>
          <w:b/>
          <w:i/>
          <w:sz w:val="26"/>
          <w:szCs w:val="26"/>
        </w:rPr>
      </w:pPr>
      <w:r>
        <w:rPr>
          <w:rFonts w:ascii="Courier New" w:hAnsi="Courier New" w:cs="Courier New"/>
          <w:b/>
          <w:i/>
          <w:sz w:val="26"/>
          <w:szCs w:val="26"/>
        </w:rPr>
        <w:t>Donsa-</w:t>
      </w:r>
      <w:r w:rsidR="00D877CE" w:rsidRPr="00D877CE">
        <w:rPr>
          <w:rFonts w:ascii="Courier New" w:hAnsi="Courier New" w:cs="Courier New"/>
          <w:b/>
          <w:i/>
          <w:sz w:val="26"/>
          <w:szCs w:val="26"/>
        </w:rPr>
        <w:t>Nkomo and Mutangi</w:t>
      </w:r>
      <w:r w:rsidR="0066159D" w:rsidRPr="00D877CE">
        <w:rPr>
          <w:rFonts w:ascii="Courier New" w:hAnsi="Courier New" w:cs="Courier New"/>
          <w:b/>
          <w:i/>
          <w:sz w:val="26"/>
          <w:szCs w:val="26"/>
        </w:rPr>
        <w:t xml:space="preserve"> – Appellant’s </w:t>
      </w:r>
      <w:r w:rsidR="00D877CE" w:rsidRPr="00D877CE">
        <w:rPr>
          <w:rFonts w:ascii="Courier New" w:hAnsi="Courier New" w:cs="Courier New"/>
          <w:b/>
          <w:i/>
          <w:sz w:val="26"/>
          <w:szCs w:val="26"/>
        </w:rPr>
        <w:t>Legal Practitioners</w:t>
      </w:r>
    </w:p>
    <w:p w:rsidR="00364288" w:rsidRPr="00710544" w:rsidRDefault="00710544" w:rsidP="00F61774">
      <w:pPr>
        <w:spacing w:after="0" w:line="360" w:lineRule="auto"/>
        <w:jc w:val="both"/>
        <w:rPr>
          <w:rFonts w:ascii="Courier New" w:hAnsi="Courier New" w:cs="Courier New"/>
          <w:i/>
          <w:sz w:val="26"/>
          <w:szCs w:val="26"/>
        </w:rPr>
      </w:pPr>
      <w:r>
        <w:rPr>
          <w:rFonts w:ascii="Courier New" w:hAnsi="Courier New" w:cs="Courier New"/>
          <w:b/>
          <w:i/>
          <w:sz w:val="26"/>
          <w:szCs w:val="26"/>
        </w:rPr>
        <w:t>Gula-</w:t>
      </w:r>
      <w:r w:rsidR="00D877CE" w:rsidRPr="00D877CE">
        <w:rPr>
          <w:rFonts w:ascii="Courier New" w:hAnsi="Courier New" w:cs="Courier New"/>
          <w:b/>
          <w:i/>
          <w:sz w:val="26"/>
          <w:szCs w:val="26"/>
        </w:rPr>
        <w:t xml:space="preserve">Ndebele and Partners </w:t>
      </w:r>
      <w:r w:rsidR="0066159D" w:rsidRPr="00D877CE">
        <w:rPr>
          <w:rFonts w:ascii="Courier New" w:hAnsi="Courier New" w:cs="Courier New"/>
          <w:b/>
          <w:i/>
          <w:sz w:val="26"/>
          <w:szCs w:val="26"/>
        </w:rPr>
        <w:t>– Respondent’s Legal Practitioners</w:t>
      </w:r>
    </w:p>
    <w:sectPr w:rsidR="00364288" w:rsidRPr="00710544" w:rsidSect="00C27644">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80D" w:rsidRDefault="0016280D" w:rsidP="0066159D">
      <w:pPr>
        <w:spacing w:after="0" w:line="240" w:lineRule="auto"/>
      </w:pPr>
      <w:r>
        <w:separator/>
      </w:r>
    </w:p>
  </w:endnote>
  <w:endnote w:type="continuationSeparator" w:id="1">
    <w:p w:rsidR="0016280D" w:rsidRDefault="0016280D" w:rsidP="006615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C27644" w:rsidRDefault="00EA472C">
        <w:pPr>
          <w:pStyle w:val="Footer"/>
          <w:jc w:val="right"/>
        </w:pPr>
        <w:fldSimple w:instr=" PAGE   \* MERGEFORMAT ">
          <w:r w:rsidR="00C16080">
            <w:rPr>
              <w:noProof/>
            </w:rPr>
            <w:t>2</w:t>
          </w:r>
        </w:fldSimple>
      </w:p>
    </w:sdtContent>
  </w:sdt>
  <w:p w:rsidR="00C27644" w:rsidRDefault="00C276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80D" w:rsidRDefault="0016280D" w:rsidP="0066159D">
      <w:pPr>
        <w:spacing w:after="0" w:line="240" w:lineRule="auto"/>
      </w:pPr>
      <w:r>
        <w:separator/>
      </w:r>
    </w:p>
  </w:footnote>
  <w:footnote w:type="continuationSeparator" w:id="1">
    <w:p w:rsidR="0016280D" w:rsidRDefault="0016280D" w:rsidP="006615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644" w:rsidRPr="0066159D" w:rsidRDefault="00C27644" w:rsidP="00C27644">
    <w:pPr>
      <w:pStyle w:val="Header"/>
      <w:jc w:val="right"/>
      <w:rPr>
        <w:rFonts w:ascii="Courier New" w:hAnsi="Courier New" w:cs="Courier New"/>
        <w:sz w:val="24"/>
        <w:szCs w:val="24"/>
      </w:rPr>
    </w:pPr>
    <w:r w:rsidRPr="0066159D">
      <w:rPr>
        <w:rFonts w:ascii="Courier New" w:hAnsi="Courier New" w:cs="Courier New"/>
        <w:b/>
        <w:sz w:val="24"/>
        <w:szCs w:val="24"/>
      </w:rPr>
      <w:t>JUDGMENT NO. LC/H/2</w:t>
    </w:r>
    <w:r>
      <w:rPr>
        <w:rFonts w:ascii="Courier New" w:hAnsi="Courier New" w:cs="Courier New"/>
        <w:b/>
        <w:sz w:val="24"/>
        <w:szCs w:val="24"/>
      </w:rPr>
      <w:t>74</w:t>
    </w:r>
    <w:r w:rsidRPr="0066159D">
      <w:rPr>
        <w:rFonts w:ascii="Courier New" w:hAnsi="Courier New" w:cs="Courier New"/>
        <w:b/>
        <w:sz w:val="24"/>
        <w:szCs w:val="24"/>
      </w:rPr>
      <w:t>/13</w:t>
    </w:r>
  </w:p>
  <w:p w:rsidR="00C27644" w:rsidRPr="0066159D" w:rsidRDefault="00C27644">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A6D95"/>
    <w:multiLevelType w:val="hybridMultilevel"/>
    <w:tmpl w:val="81CC0BAE"/>
    <w:lvl w:ilvl="0" w:tplc="C420AD86">
      <w:start w:val="2"/>
      <w:numFmt w:val="decimal"/>
      <w:lvlText w:val="%1."/>
      <w:lvlJc w:val="left"/>
      <w:pPr>
        <w:ind w:left="1440" w:hanging="360"/>
      </w:pPr>
      <w:rPr>
        <w:rFonts w:hint="default"/>
      </w:rPr>
    </w:lvl>
    <w:lvl w:ilvl="1" w:tplc="1C090019">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66159D"/>
    <w:rsid w:val="000631B6"/>
    <w:rsid w:val="000C21D7"/>
    <w:rsid w:val="0016280D"/>
    <w:rsid w:val="001A26A0"/>
    <w:rsid w:val="003263B7"/>
    <w:rsid w:val="00364288"/>
    <w:rsid w:val="00511C8D"/>
    <w:rsid w:val="0055224A"/>
    <w:rsid w:val="0066159D"/>
    <w:rsid w:val="006B3849"/>
    <w:rsid w:val="00710544"/>
    <w:rsid w:val="0076213E"/>
    <w:rsid w:val="009478AF"/>
    <w:rsid w:val="009E28A5"/>
    <w:rsid w:val="00C16080"/>
    <w:rsid w:val="00C26A8F"/>
    <w:rsid w:val="00C27644"/>
    <w:rsid w:val="00C47D42"/>
    <w:rsid w:val="00D774D5"/>
    <w:rsid w:val="00D877CE"/>
    <w:rsid w:val="00E30E8E"/>
    <w:rsid w:val="00EA472C"/>
    <w:rsid w:val="00F61774"/>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9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159D"/>
    <w:pPr>
      <w:spacing w:after="0" w:line="240" w:lineRule="auto"/>
    </w:pPr>
    <w:rPr>
      <w:lang w:val="en-US"/>
    </w:rPr>
  </w:style>
  <w:style w:type="paragraph" w:styleId="Header">
    <w:name w:val="header"/>
    <w:basedOn w:val="Normal"/>
    <w:link w:val="HeaderChar"/>
    <w:uiPriority w:val="99"/>
    <w:unhideWhenUsed/>
    <w:rsid w:val="00661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59D"/>
    <w:rPr>
      <w:lang w:val="en-US"/>
    </w:rPr>
  </w:style>
  <w:style w:type="paragraph" w:styleId="Footer">
    <w:name w:val="footer"/>
    <w:basedOn w:val="Normal"/>
    <w:link w:val="FooterChar"/>
    <w:uiPriority w:val="99"/>
    <w:unhideWhenUsed/>
    <w:rsid w:val="00661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59D"/>
    <w:rPr>
      <w:lang w:val="en-US"/>
    </w:rPr>
  </w:style>
  <w:style w:type="paragraph" w:styleId="ListParagraph">
    <w:name w:val="List Paragraph"/>
    <w:basedOn w:val="Normal"/>
    <w:uiPriority w:val="34"/>
    <w:qFormat/>
    <w:rsid w:val="0066159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2013-06-21T10:33:00Z</cp:lastPrinted>
  <dcterms:created xsi:type="dcterms:W3CDTF">2013-06-21T09:17:00Z</dcterms:created>
  <dcterms:modified xsi:type="dcterms:W3CDTF">2013-06-21T10:44:00Z</dcterms:modified>
</cp:coreProperties>
</file>