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6AD" w:rsidRDefault="00D556AD" w:rsidP="00D556AD">
      <w:pPr>
        <w:spacing w:line="360" w:lineRule="auto"/>
        <w:jc w:val="both"/>
        <w:rPr>
          <w:b/>
          <w:sz w:val="22"/>
          <w:szCs w:val="22"/>
        </w:rPr>
      </w:pPr>
      <w:r>
        <w:rPr>
          <w:b/>
          <w:sz w:val="22"/>
          <w:szCs w:val="22"/>
        </w:rPr>
        <w:t>IN THE LABOUR COURT OF ZIMBABWE</w:t>
      </w:r>
      <w:r>
        <w:rPr>
          <w:b/>
          <w:sz w:val="22"/>
          <w:szCs w:val="22"/>
        </w:rPr>
        <w:tab/>
        <w:t xml:space="preserve">                 JUDGMENT NO. LC/H/</w:t>
      </w:r>
      <w:r w:rsidR="00755557">
        <w:rPr>
          <w:b/>
          <w:sz w:val="22"/>
          <w:szCs w:val="22"/>
        </w:rPr>
        <w:t>274</w:t>
      </w:r>
      <w:r>
        <w:rPr>
          <w:b/>
          <w:sz w:val="22"/>
          <w:szCs w:val="22"/>
        </w:rPr>
        <w:t>/2016</w:t>
      </w:r>
    </w:p>
    <w:p w:rsidR="00D556AD" w:rsidRDefault="00D556AD" w:rsidP="00D556AD">
      <w:pPr>
        <w:spacing w:line="360" w:lineRule="auto"/>
        <w:jc w:val="both"/>
        <w:rPr>
          <w:b/>
          <w:sz w:val="22"/>
          <w:szCs w:val="22"/>
        </w:rPr>
      </w:pPr>
    </w:p>
    <w:p w:rsidR="00D556AD" w:rsidRDefault="00D556AD" w:rsidP="00D556AD">
      <w:pPr>
        <w:spacing w:line="360" w:lineRule="auto"/>
        <w:jc w:val="both"/>
        <w:rPr>
          <w:b/>
          <w:sz w:val="22"/>
          <w:szCs w:val="22"/>
        </w:rPr>
      </w:pPr>
      <w:r>
        <w:rPr>
          <w:b/>
          <w:sz w:val="22"/>
          <w:szCs w:val="22"/>
        </w:rPr>
        <w:t xml:space="preserve">HARARE </w:t>
      </w:r>
      <w:r w:rsidR="00880568">
        <w:rPr>
          <w:b/>
          <w:sz w:val="22"/>
          <w:szCs w:val="22"/>
        </w:rPr>
        <w:t>1 FEBRUARY</w:t>
      </w:r>
      <w:r>
        <w:rPr>
          <w:b/>
          <w:sz w:val="22"/>
          <w:szCs w:val="22"/>
        </w:rPr>
        <w:t xml:space="preserve"> 2016</w:t>
      </w:r>
      <w:r>
        <w:rPr>
          <w:b/>
          <w:sz w:val="22"/>
          <w:szCs w:val="22"/>
        </w:rPr>
        <w:tab/>
      </w:r>
      <w:r>
        <w:rPr>
          <w:b/>
          <w:sz w:val="22"/>
          <w:szCs w:val="22"/>
        </w:rPr>
        <w:tab/>
      </w:r>
      <w:r>
        <w:rPr>
          <w:b/>
          <w:sz w:val="22"/>
          <w:szCs w:val="22"/>
        </w:rPr>
        <w:tab/>
      </w:r>
      <w:r>
        <w:rPr>
          <w:b/>
          <w:sz w:val="22"/>
          <w:szCs w:val="22"/>
        </w:rPr>
        <w:tab/>
        <w:t xml:space="preserve">       CASE NO. LC/H/</w:t>
      </w:r>
      <w:r w:rsidR="00880568">
        <w:rPr>
          <w:b/>
          <w:sz w:val="22"/>
          <w:szCs w:val="22"/>
        </w:rPr>
        <w:t>696</w:t>
      </w:r>
      <w:r>
        <w:rPr>
          <w:b/>
          <w:sz w:val="22"/>
          <w:szCs w:val="22"/>
        </w:rPr>
        <w:t>/14</w:t>
      </w:r>
    </w:p>
    <w:p w:rsidR="00D556AD" w:rsidRDefault="00D556AD" w:rsidP="00D556AD">
      <w:pPr>
        <w:spacing w:line="360" w:lineRule="auto"/>
        <w:jc w:val="both"/>
        <w:rPr>
          <w:b/>
          <w:sz w:val="22"/>
          <w:szCs w:val="22"/>
        </w:rPr>
      </w:pPr>
    </w:p>
    <w:p w:rsidR="00D556AD" w:rsidRDefault="00D556AD" w:rsidP="00D556AD">
      <w:pPr>
        <w:spacing w:line="360" w:lineRule="auto"/>
        <w:jc w:val="both"/>
        <w:rPr>
          <w:b/>
          <w:sz w:val="22"/>
          <w:szCs w:val="22"/>
        </w:rPr>
      </w:pPr>
      <w:r>
        <w:rPr>
          <w:b/>
          <w:sz w:val="22"/>
          <w:szCs w:val="22"/>
        </w:rPr>
        <w:t xml:space="preserve">AND </w:t>
      </w:r>
      <w:r w:rsidR="00ED376D">
        <w:rPr>
          <w:b/>
          <w:sz w:val="22"/>
          <w:szCs w:val="22"/>
        </w:rPr>
        <w:t>6</w:t>
      </w:r>
      <w:r w:rsidR="00755557">
        <w:rPr>
          <w:b/>
          <w:sz w:val="22"/>
          <w:szCs w:val="22"/>
        </w:rPr>
        <w:t xml:space="preserve"> MAY</w:t>
      </w:r>
      <w:r>
        <w:rPr>
          <w:b/>
          <w:sz w:val="22"/>
          <w:szCs w:val="22"/>
        </w:rPr>
        <w:t xml:space="preserve"> 2016</w:t>
      </w:r>
    </w:p>
    <w:p w:rsidR="00D556AD" w:rsidRDefault="00D556AD" w:rsidP="00D556AD">
      <w:pPr>
        <w:jc w:val="both"/>
        <w:rPr>
          <w:b/>
          <w:sz w:val="22"/>
          <w:szCs w:val="22"/>
        </w:rPr>
      </w:pPr>
    </w:p>
    <w:p w:rsidR="00D556AD" w:rsidRDefault="00D556AD" w:rsidP="00D556AD">
      <w:pPr>
        <w:spacing w:line="360" w:lineRule="auto"/>
        <w:jc w:val="both"/>
      </w:pPr>
    </w:p>
    <w:p w:rsidR="00D556AD" w:rsidRDefault="00880568" w:rsidP="00D556AD">
      <w:pPr>
        <w:spacing w:line="360" w:lineRule="auto"/>
        <w:jc w:val="both"/>
        <w:rPr>
          <w:b/>
        </w:rPr>
      </w:pPr>
      <w:r>
        <w:rPr>
          <w:b/>
        </w:rPr>
        <w:t>VAR</w:t>
      </w:r>
      <w:r w:rsidR="00341C32">
        <w:rPr>
          <w:b/>
        </w:rPr>
        <w:t>ICHEM P</w:t>
      </w:r>
      <w:r w:rsidR="005A6AFB">
        <w:rPr>
          <w:b/>
        </w:rPr>
        <w:t>HARMACEUTICALS (PVT) LTD</w:t>
      </w:r>
      <w:r w:rsidR="005A6AFB">
        <w:rPr>
          <w:b/>
        </w:rPr>
        <w:tab/>
      </w:r>
      <w:r w:rsidR="005A6AFB">
        <w:rPr>
          <w:b/>
        </w:rPr>
        <w:tab/>
      </w:r>
      <w:r w:rsidR="005A6AFB">
        <w:rPr>
          <w:b/>
        </w:rPr>
        <w:tab/>
      </w:r>
      <w:r w:rsidR="00D556AD">
        <w:rPr>
          <w:b/>
        </w:rPr>
        <w:t>Appellant</w:t>
      </w:r>
    </w:p>
    <w:p w:rsidR="00D556AD" w:rsidRDefault="00D556AD" w:rsidP="00D556AD">
      <w:pPr>
        <w:spacing w:line="360" w:lineRule="auto"/>
        <w:jc w:val="both"/>
        <w:rPr>
          <w:b/>
        </w:rPr>
      </w:pPr>
    </w:p>
    <w:p w:rsidR="00D556AD" w:rsidRDefault="005A6AFB" w:rsidP="00D556AD">
      <w:pPr>
        <w:jc w:val="both"/>
        <w:rPr>
          <w:b/>
        </w:rPr>
      </w:pPr>
      <w:r>
        <w:rPr>
          <w:b/>
        </w:rPr>
        <w:t>LEARNMORE MATOVE</w:t>
      </w:r>
      <w:r>
        <w:rPr>
          <w:b/>
        </w:rPr>
        <w:tab/>
      </w:r>
      <w:r w:rsidR="00D556AD">
        <w:rPr>
          <w:b/>
        </w:rPr>
        <w:tab/>
      </w:r>
      <w:r w:rsidR="00D556AD">
        <w:rPr>
          <w:b/>
        </w:rPr>
        <w:tab/>
      </w:r>
      <w:r w:rsidR="00D556AD">
        <w:rPr>
          <w:b/>
        </w:rPr>
        <w:tab/>
      </w:r>
      <w:r w:rsidR="00D556AD">
        <w:rPr>
          <w:b/>
        </w:rPr>
        <w:tab/>
      </w:r>
      <w:r w:rsidR="00D556AD">
        <w:rPr>
          <w:b/>
        </w:rPr>
        <w:tab/>
      </w:r>
      <w:r w:rsidR="00D556AD">
        <w:rPr>
          <w:b/>
        </w:rPr>
        <w:tab/>
        <w:t xml:space="preserve">Respondent </w:t>
      </w:r>
      <w:r w:rsidR="00D556AD">
        <w:rPr>
          <w:b/>
        </w:rPr>
        <w:tab/>
      </w:r>
    </w:p>
    <w:p w:rsidR="00D556AD" w:rsidRDefault="00D556AD" w:rsidP="00D556AD">
      <w:pPr>
        <w:spacing w:line="360" w:lineRule="auto"/>
        <w:jc w:val="both"/>
        <w:rPr>
          <w:b/>
        </w:rPr>
      </w:pPr>
    </w:p>
    <w:p w:rsidR="00D556AD" w:rsidRDefault="00D556AD" w:rsidP="00D556AD">
      <w:pPr>
        <w:spacing w:line="360" w:lineRule="auto"/>
        <w:jc w:val="both"/>
        <w:outlineLvl w:val="0"/>
      </w:pPr>
      <w:r w:rsidRPr="00BA331A">
        <w:rPr>
          <w:b/>
        </w:rPr>
        <w:t>Before The Honourable</w:t>
      </w:r>
      <w:r>
        <w:t xml:space="preserve"> </w:t>
      </w:r>
      <w:r w:rsidRPr="00EC57B0">
        <w:rPr>
          <w:b/>
        </w:rPr>
        <w:t>G. Musariri, Judge</w:t>
      </w:r>
      <w:r>
        <w:rPr>
          <w:b/>
        </w:rPr>
        <w:t>:</w:t>
      </w:r>
    </w:p>
    <w:p w:rsidR="00D556AD" w:rsidRDefault="00D556AD" w:rsidP="00D556AD">
      <w:pPr>
        <w:spacing w:line="360" w:lineRule="auto"/>
        <w:jc w:val="both"/>
      </w:pPr>
    </w:p>
    <w:p w:rsidR="00D556AD" w:rsidRDefault="00D556AD" w:rsidP="00D556AD">
      <w:pPr>
        <w:spacing w:line="360" w:lineRule="auto"/>
        <w:jc w:val="both"/>
        <w:rPr>
          <w:b/>
        </w:rPr>
      </w:pPr>
      <w:r>
        <w:rPr>
          <w:b/>
        </w:rPr>
        <w:t xml:space="preserve">For Appellant </w:t>
      </w:r>
      <w:r>
        <w:rPr>
          <w:b/>
        </w:rPr>
        <w:tab/>
      </w:r>
      <w:r>
        <w:rPr>
          <w:b/>
        </w:rPr>
        <w:tab/>
        <w:t xml:space="preserve">Mr </w:t>
      </w:r>
      <w:r w:rsidR="00CA7A76">
        <w:rPr>
          <w:b/>
        </w:rPr>
        <w:t>V</w:t>
      </w:r>
      <w:r w:rsidR="005A6AFB">
        <w:rPr>
          <w:b/>
        </w:rPr>
        <w:t>. Muza, Attorney</w:t>
      </w:r>
    </w:p>
    <w:p w:rsidR="00D556AD" w:rsidRDefault="00D556AD" w:rsidP="00D556AD">
      <w:pPr>
        <w:jc w:val="both"/>
        <w:rPr>
          <w:b/>
        </w:rPr>
      </w:pPr>
      <w:r>
        <w:rPr>
          <w:b/>
        </w:rPr>
        <w:tab/>
      </w:r>
    </w:p>
    <w:p w:rsidR="00D556AD" w:rsidRDefault="00D556AD" w:rsidP="00D556AD">
      <w:pPr>
        <w:spacing w:line="360" w:lineRule="auto"/>
        <w:jc w:val="both"/>
        <w:rPr>
          <w:b/>
        </w:rPr>
      </w:pPr>
      <w:r>
        <w:rPr>
          <w:b/>
        </w:rPr>
        <w:t>For Respondent</w:t>
      </w:r>
      <w:r>
        <w:rPr>
          <w:b/>
        </w:rPr>
        <w:tab/>
      </w:r>
      <w:r>
        <w:rPr>
          <w:b/>
        </w:rPr>
        <w:tab/>
      </w:r>
      <w:r w:rsidR="00FC0883">
        <w:rPr>
          <w:b/>
        </w:rPr>
        <w:t>Mr G. Pendei, Attorney</w:t>
      </w:r>
    </w:p>
    <w:p w:rsidR="00D556AD" w:rsidRDefault="00D556AD" w:rsidP="00D556AD">
      <w:pPr>
        <w:spacing w:line="360" w:lineRule="auto"/>
        <w:jc w:val="both"/>
        <w:rPr>
          <w:b/>
          <w:sz w:val="28"/>
          <w:szCs w:val="28"/>
        </w:rPr>
      </w:pPr>
    </w:p>
    <w:p w:rsidR="00D556AD" w:rsidRDefault="00D556AD" w:rsidP="00D556AD">
      <w:pPr>
        <w:spacing w:line="360" w:lineRule="auto"/>
        <w:jc w:val="both"/>
        <w:outlineLvl w:val="0"/>
        <w:rPr>
          <w:b/>
        </w:rPr>
      </w:pPr>
      <w:r>
        <w:rPr>
          <w:b/>
        </w:rPr>
        <w:t>MUSARIRI, J:</w:t>
      </w:r>
    </w:p>
    <w:p w:rsidR="00A435B4" w:rsidRDefault="00C24742" w:rsidP="00AD763D">
      <w:pPr>
        <w:spacing w:line="360" w:lineRule="auto"/>
        <w:jc w:val="both"/>
      </w:pPr>
    </w:p>
    <w:p w:rsidR="005C5D3B" w:rsidRDefault="00AD763D" w:rsidP="00AD763D">
      <w:pPr>
        <w:spacing w:line="360" w:lineRule="auto"/>
        <w:jc w:val="both"/>
      </w:pPr>
      <w:r>
        <w:t>On 23 July 2014 the Appeals Committee of the NEC for the Chemicals</w:t>
      </w:r>
      <w:r w:rsidR="00F74839">
        <w:t xml:space="preserve"> &amp; Fertilizers Manufacturing Industry made a determination.  It ordered Appellant to reinstate Respondent’s employment or pay him damages in lieu of reinstatement.  Appellant then appealed to this Court against the determination.  </w:t>
      </w:r>
      <w:r w:rsidR="005C5D3B">
        <w:t xml:space="preserve">Respondent opposed the appeal.  </w:t>
      </w:r>
    </w:p>
    <w:p w:rsidR="005C5D3B" w:rsidRDefault="005C5D3B" w:rsidP="00D91ECF">
      <w:pPr>
        <w:jc w:val="both"/>
      </w:pPr>
    </w:p>
    <w:p w:rsidR="00605A34" w:rsidRDefault="005C5D3B" w:rsidP="00AD763D">
      <w:pPr>
        <w:spacing w:line="360" w:lineRule="auto"/>
        <w:jc w:val="both"/>
      </w:pPr>
      <w:r>
        <w:t>The grounds of appeal</w:t>
      </w:r>
      <w:r w:rsidR="00605A34">
        <w:t xml:space="preserve"> were three-fold as follows,</w:t>
      </w:r>
    </w:p>
    <w:p w:rsidR="00605A34" w:rsidRDefault="00605A34" w:rsidP="00D91ECF">
      <w:pPr>
        <w:jc w:val="both"/>
      </w:pPr>
    </w:p>
    <w:p w:rsidR="00AB41B3" w:rsidRPr="00D91ECF" w:rsidRDefault="00605A34" w:rsidP="00D91ECF">
      <w:pPr>
        <w:spacing w:line="276" w:lineRule="auto"/>
        <w:ind w:left="1440" w:hanging="720"/>
        <w:jc w:val="both"/>
        <w:rPr>
          <w:sz w:val="22"/>
          <w:szCs w:val="22"/>
        </w:rPr>
      </w:pPr>
      <w:r w:rsidRPr="00D91ECF">
        <w:rPr>
          <w:sz w:val="22"/>
          <w:szCs w:val="22"/>
        </w:rPr>
        <w:t>“1.</w:t>
      </w:r>
      <w:r w:rsidRPr="00D91ECF">
        <w:rPr>
          <w:sz w:val="22"/>
          <w:szCs w:val="22"/>
        </w:rPr>
        <w:tab/>
        <w:t>The Appeals Committee misdirected itself when it h</w:t>
      </w:r>
      <w:r w:rsidR="003B37C9" w:rsidRPr="00D91ECF">
        <w:rPr>
          <w:sz w:val="22"/>
          <w:szCs w:val="22"/>
        </w:rPr>
        <w:t>eld that the Respondent filed its appeal on time, when such appeal had as a matter of fact been file (sic) out of time.</w:t>
      </w:r>
    </w:p>
    <w:p w:rsidR="00AB41B3" w:rsidRPr="00D91ECF" w:rsidRDefault="00AB41B3" w:rsidP="00D91ECF">
      <w:pPr>
        <w:spacing w:line="276" w:lineRule="auto"/>
        <w:ind w:left="1440" w:hanging="720"/>
        <w:jc w:val="both"/>
        <w:rPr>
          <w:sz w:val="22"/>
          <w:szCs w:val="22"/>
        </w:rPr>
      </w:pPr>
      <w:r w:rsidRPr="00D91ECF">
        <w:rPr>
          <w:sz w:val="22"/>
          <w:szCs w:val="22"/>
        </w:rPr>
        <w:t xml:space="preserve"> 2.</w:t>
      </w:r>
      <w:r w:rsidRPr="00D91ECF">
        <w:rPr>
          <w:sz w:val="22"/>
          <w:szCs w:val="22"/>
        </w:rPr>
        <w:tab/>
        <w:t>The Appeals Committee failed to pay due regard to the evidence in the original record of Appeal incriminating the Respondent and hence fell into the blunder of acquitting him instead of confirming his guilt.</w:t>
      </w:r>
    </w:p>
    <w:p w:rsidR="00E42BE4" w:rsidRPr="00D91ECF" w:rsidRDefault="00AB41B3" w:rsidP="00D91ECF">
      <w:pPr>
        <w:spacing w:line="276" w:lineRule="auto"/>
        <w:ind w:left="1440" w:hanging="720"/>
        <w:jc w:val="both"/>
        <w:rPr>
          <w:sz w:val="22"/>
          <w:szCs w:val="22"/>
        </w:rPr>
      </w:pPr>
      <w:r w:rsidRPr="00D91ECF">
        <w:rPr>
          <w:sz w:val="22"/>
          <w:szCs w:val="22"/>
        </w:rPr>
        <w:t xml:space="preserve"> 3.</w:t>
      </w:r>
      <w:r w:rsidRPr="00D91ECF">
        <w:rPr>
          <w:sz w:val="22"/>
          <w:szCs w:val="22"/>
        </w:rPr>
        <w:tab/>
        <w:t xml:space="preserve">The Appeals Committee also misdirected itself when it ruled that the original hearing committee had not taken mitigating factors into account when in fact, </w:t>
      </w:r>
      <w:r w:rsidR="00E42BE4" w:rsidRPr="00D91ECF">
        <w:rPr>
          <w:sz w:val="22"/>
          <w:szCs w:val="22"/>
        </w:rPr>
        <w:t>the said mitigating facts had been considered when arriving at sentence.”</w:t>
      </w:r>
    </w:p>
    <w:p w:rsidR="00E42BE4" w:rsidRDefault="00E42BE4" w:rsidP="00D91ECF">
      <w:pPr>
        <w:jc w:val="both"/>
      </w:pPr>
    </w:p>
    <w:p w:rsidR="00E42BE4" w:rsidRDefault="00E42BE4" w:rsidP="00E42BE4">
      <w:pPr>
        <w:spacing w:line="360" w:lineRule="auto"/>
        <w:jc w:val="both"/>
      </w:pPr>
      <w:r>
        <w:t>Respondent replied thus,</w:t>
      </w:r>
    </w:p>
    <w:p w:rsidR="00E42BE4" w:rsidRDefault="00E42BE4" w:rsidP="00D91ECF">
      <w:pPr>
        <w:jc w:val="both"/>
      </w:pPr>
    </w:p>
    <w:p w:rsidR="00E42BE4" w:rsidRPr="00D91ECF" w:rsidRDefault="00E42BE4" w:rsidP="0064048F">
      <w:pPr>
        <w:spacing w:line="276" w:lineRule="auto"/>
        <w:jc w:val="both"/>
        <w:rPr>
          <w:sz w:val="22"/>
          <w:szCs w:val="22"/>
        </w:rPr>
      </w:pPr>
      <w:r>
        <w:tab/>
      </w:r>
      <w:r w:rsidRPr="00D91ECF">
        <w:rPr>
          <w:sz w:val="22"/>
          <w:szCs w:val="22"/>
        </w:rPr>
        <w:t>“Ad Ground 1</w:t>
      </w:r>
    </w:p>
    <w:p w:rsidR="00E42BE4" w:rsidRPr="00D91ECF" w:rsidRDefault="00E42BE4" w:rsidP="0064048F">
      <w:pPr>
        <w:spacing w:line="276" w:lineRule="auto"/>
        <w:jc w:val="both"/>
        <w:rPr>
          <w:sz w:val="22"/>
          <w:szCs w:val="22"/>
        </w:rPr>
      </w:pPr>
    </w:p>
    <w:p w:rsidR="008A13DA" w:rsidRPr="00D91ECF" w:rsidRDefault="00683903" w:rsidP="00D91ECF">
      <w:pPr>
        <w:spacing w:line="276" w:lineRule="auto"/>
        <w:ind w:left="720"/>
        <w:jc w:val="both"/>
        <w:rPr>
          <w:sz w:val="22"/>
          <w:szCs w:val="22"/>
        </w:rPr>
      </w:pPr>
      <w:r w:rsidRPr="00D91ECF">
        <w:rPr>
          <w:sz w:val="22"/>
          <w:szCs w:val="22"/>
        </w:rPr>
        <w:t>This matter</w:t>
      </w:r>
      <w:r w:rsidR="00D45A2B">
        <w:rPr>
          <w:sz w:val="22"/>
          <w:szCs w:val="22"/>
        </w:rPr>
        <w:t xml:space="preserve"> was</w:t>
      </w:r>
      <w:r w:rsidRPr="00D91ECF">
        <w:rPr>
          <w:sz w:val="22"/>
          <w:szCs w:val="22"/>
        </w:rPr>
        <w:t xml:space="preserve"> adequately addressed by the NEC Appeals Committee and it is very </w:t>
      </w:r>
      <w:r w:rsidR="00617E22" w:rsidRPr="00D91ECF">
        <w:rPr>
          <w:sz w:val="22"/>
          <w:szCs w:val="22"/>
        </w:rPr>
        <w:t>clear</w:t>
      </w:r>
      <w:r w:rsidRPr="00D91ECF">
        <w:rPr>
          <w:sz w:val="22"/>
          <w:szCs w:val="22"/>
        </w:rPr>
        <w:t xml:space="preserve"> from the record that Respondent’s appeal was noted on time and even if it were out of time which is</w:t>
      </w:r>
      <w:r w:rsidR="008A13DA" w:rsidRPr="00D91ECF">
        <w:rPr>
          <w:sz w:val="22"/>
          <w:szCs w:val="22"/>
        </w:rPr>
        <w:t xml:space="preserve"> denied the NEC made a finding that the Appellant ought to have dealt with the merits of the matter.</w:t>
      </w:r>
    </w:p>
    <w:p w:rsidR="008A13DA" w:rsidRPr="00D91ECF" w:rsidRDefault="008A13DA" w:rsidP="0064048F">
      <w:pPr>
        <w:spacing w:line="276" w:lineRule="auto"/>
        <w:jc w:val="both"/>
        <w:rPr>
          <w:sz w:val="22"/>
          <w:szCs w:val="22"/>
        </w:rPr>
      </w:pPr>
    </w:p>
    <w:p w:rsidR="008A13DA" w:rsidRPr="00D91ECF" w:rsidRDefault="008A13DA" w:rsidP="0064048F">
      <w:pPr>
        <w:spacing w:line="276" w:lineRule="auto"/>
        <w:jc w:val="both"/>
        <w:rPr>
          <w:sz w:val="22"/>
          <w:szCs w:val="22"/>
        </w:rPr>
      </w:pPr>
      <w:r w:rsidRPr="00D91ECF">
        <w:rPr>
          <w:sz w:val="22"/>
          <w:szCs w:val="22"/>
        </w:rPr>
        <w:tab/>
        <w:t>Ad Ground 2</w:t>
      </w:r>
    </w:p>
    <w:p w:rsidR="008A13DA" w:rsidRPr="00D91ECF" w:rsidRDefault="008A13DA" w:rsidP="0064048F">
      <w:pPr>
        <w:spacing w:line="276" w:lineRule="auto"/>
        <w:jc w:val="both"/>
        <w:rPr>
          <w:sz w:val="22"/>
          <w:szCs w:val="22"/>
        </w:rPr>
      </w:pPr>
    </w:p>
    <w:p w:rsidR="005E144A" w:rsidRPr="00D91ECF" w:rsidRDefault="008A13DA" w:rsidP="0064048F">
      <w:pPr>
        <w:spacing w:line="276" w:lineRule="auto"/>
        <w:jc w:val="both"/>
        <w:rPr>
          <w:sz w:val="22"/>
          <w:szCs w:val="22"/>
        </w:rPr>
      </w:pPr>
      <w:r w:rsidRPr="00D91ECF">
        <w:rPr>
          <w:sz w:val="22"/>
          <w:szCs w:val="22"/>
        </w:rPr>
        <w:tab/>
        <w:t>This is a generalization of facts.</w:t>
      </w:r>
    </w:p>
    <w:p w:rsidR="005E144A" w:rsidRPr="00D91ECF" w:rsidRDefault="005E144A" w:rsidP="0064048F">
      <w:pPr>
        <w:spacing w:line="276" w:lineRule="auto"/>
        <w:jc w:val="both"/>
        <w:rPr>
          <w:sz w:val="22"/>
          <w:szCs w:val="22"/>
        </w:rPr>
      </w:pPr>
    </w:p>
    <w:p w:rsidR="00AD763D" w:rsidRPr="00D91ECF" w:rsidRDefault="005E144A" w:rsidP="00D91ECF">
      <w:pPr>
        <w:spacing w:line="276" w:lineRule="auto"/>
        <w:ind w:left="720"/>
        <w:jc w:val="both"/>
        <w:rPr>
          <w:sz w:val="22"/>
          <w:szCs w:val="22"/>
        </w:rPr>
      </w:pPr>
      <w:r w:rsidRPr="00D91ECF">
        <w:rPr>
          <w:sz w:val="22"/>
          <w:szCs w:val="22"/>
        </w:rPr>
        <w:t>The NEC dealt at large with whether or not the Respondents</w:t>
      </w:r>
      <w:r w:rsidR="00EC30DA" w:rsidRPr="00D91ECF">
        <w:rPr>
          <w:sz w:val="22"/>
          <w:szCs w:val="22"/>
        </w:rPr>
        <w:t xml:space="preserve"> are guilty as charged.  It correctly found that the charges were baseless.  In any event the appeals authority did not only reinstate the Respondents on the basis of the fact that they were not guilty.  There were glaring irregularities which made </w:t>
      </w:r>
      <w:r w:rsidR="0015214C" w:rsidRPr="00D91ECF">
        <w:rPr>
          <w:sz w:val="22"/>
          <w:szCs w:val="22"/>
        </w:rPr>
        <w:t xml:space="preserve">the NEC into setting aside the dismissal of the respondents like the fact that the person who disposed of the respondents’ </w:t>
      </w:r>
      <w:r w:rsidR="00D5480D" w:rsidRPr="00D91ECF">
        <w:rPr>
          <w:sz w:val="22"/>
          <w:szCs w:val="22"/>
        </w:rPr>
        <w:t>appeal was</w:t>
      </w:r>
      <w:r w:rsidR="00E54C54" w:rsidRPr="00D91ECF">
        <w:rPr>
          <w:sz w:val="22"/>
          <w:szCs w:val="22"/>
        </w:rPr>
        <w:t xml:space="preserve"> not qualified to do so, the appeals officer did not deal with the merits of the matter among other issues.  The resultant decision of setting aside the appeals determination can therefore not be faulted.</w:t>
      </w:r>
    </w:p>
    <w:p w:rsidR="00E54C54" w:rsidRPr="00D91ECF" w:rsidRDefault="00E54C54" w:rsidP="0064048F">
      <w:pPr>
        <w:spacing w:line="276" w:lineRule="auto"/>
        <w:jc w:val="both"/>
        <w:rPr>
          <w:sz w:val="22"/>
          <w:szCs w:val="22"/>
        </w:rPr>
      </w:pPr>
    </w:p>
    <w:p w:rsidR="00E54C54" w:rsidRPr="00D91ECF" w:rsidRDefault="00D91ECF" w:rsidP="0064048F">
      <w:pPr>
        <w:spacing w:line="276" w:lineRule="auto"/>
        <w:jc w:val="both"/>
        <w:rPr>
          <w:sz w:val="22"/>
          <w:szCs w:val="22"/>
        </w:rPr>
      </w:pPr>
      <w:r>
        <w:rPr>
          <w:sz w:val="22"/>
          <w:szCs w:val="22"/>
        </w:rPr>
        <w:tab/>
      </w:r>
      <w:r w:rsidR="00E54C54" w:rsidRPr="00D91ECF">
        <w:rPr>
          <w:sz w:val="22"/>
          <w:szCs w:val="22"/>
        </w:rPr>
        <w:t>Ad Ground 3</w:t>
      </w:r>
    </w:p>
    <w:p w:rsidR="00E54C54" w:rsidRPr="00D91ECF" w:rsidRDefault="00E54C54" w:rsidP="0064048F">
      <w:pPr>
        <w:spacing w:line="276" w:lineRule="auto"/>
        <w:jc w:val="both"/>
        <w:rPr>
          <w:sz w:val="22"/>
          <w:szCs w:val="22"/>
        </w:rPr>
      </w:pPr>
    </w:p>
    <w:p w:rsidR="00E54C54" w:rsidRPr="00D91ECF" w:rsidRDefault="00E54C54" w:rsidP="00D91ECF">
      <w:pPr>
        <w:spacing w:line="276" w:lineRule="auto"/>
        <w:ind w:left="720"/>
        <w:jc w:val="both"/>
        <w:rPr>
          <w:sz w:val="22"/>
          <w:szCs w:val="22"/>
        </w:rPr>
      </w:pPr>
      <w:r w:rsidRPr="00D91ECF">
        <w:rPr>
          <w:sz w:val="22"/>
          <w:szCs w:val="22"/>
        </w:rPr>
        <w:t xml:space="preserve">The NEC again did not err in this regard as the record of proceedings clearly points </w:t>
      </w:r>
      <w:r w:rsidR="00D91ECF">
        <w:rPr>
          <w:sz w:val="22"/>
          <w:szCs w:val="22"/>
        </w:rPr>
        <w:t xml:space="preserve">   </w:t>
      </w:r>
      <w:r w:rsidRPr="00D91ECF">
        <w:rPr>
          <w:sz w:val="22"/>
          <w:szCs w:val="22"/>
        </w:rPr>
        <w:t>to the inescapable conclusion that mitigation was not considered.”</w:t>
      </w:r>
    </w:p>
    <w:p w:rsidR="00E54C54" w:rsidRDefault="00E54C54" w:rsidP="00E42BE4">
      <w:pPr>
        <w:spacing w:line="360" w:lineRule="auto"/>
        <w:jc w:val="both"/>
      </w:pPr>
    </w:p>
    <w:p w:rsidR="00E54C54" w:rsidRDefault="00E54C54" w:rsidP="00E42BE4">
      <w:pPr>
        <w:spacing w:line="360" w:lineRule="auto"/>
        <w:jc w:val="both"/>
      </w:pPr>
      <w:r>
        <w:t>I consider that the matter turns on the 1</w:t>
      </w:r>
      <w:r w:rsidRPr="00E54C54">
        <w:rPr>
          <w:vertAlign w:val="superscript"/>
        </w:rPr>
        <w:t>st</w:t>
      </w:r>
      <w:r>
        <w:t xml:space="preserve"> ground of appeal.  The relevant provision in the</w:t>
      </w:r>
      <w:r w:rsidR="00F45FB1">
        <w:t xml:space="preserve"> applicable Collective Bargaining Agreement (CBA) provides for an appeal to the Chief Executive against a ruling by the Disciplinary Committee “within five working days.”  Respondent</w:t>
      </w:r>
      <w:r w:rsidR="008C1CF6">
        <w:t xml:space="preserve"> was dismissed on </w:t>
      </w:r>
      <w:r w:rsidR="008C1CF6" w:rsidRPr="008C1CF6">
        <w:rPr>
          <w:u w:val="single"/>
        </w:rPr>
        <w:t>11</w:t>
      </w:r>
      <w:r w:rsidR="008C1CF6" w:rsidRPr="008C1CF6">
        <w:rPr>
          <w:u w:val="single"/>
          <w:vertAlign w:val="superscript"/>
        </w:rPr>
        <w:t>th</w:t>
      </w:r>
      <w:r w:rsidR="008C1CF6" w:rsidRPr="008C1CF6">
        <w:rPr>
          <w:u w:val="single"/>
        </w:rPr>
        <w:t xml:space="preserve"> April 2014</w:t>
      </w:r>
      <w:r w:rsidR="008C1CF6">
        <w:t xml:space="preserve">.  He appealed </w:t>
      </w:r>
      <w:r w:rsidR="00C17B1D">
        <w:t xml:space="preserve">against the dismissal </w:t>
      </w:r>
      <w:r w:rsidR="008C1CF6">
        <w:t xml:space="preserve">on the </w:t>
      </w:r>
      <w:r w:rsidR="008C1CF6" w:rsidRPr="00854567">
        <w:rPr>
          <w:u w:val="single"/>
        </w:rPr>
        <w:t>26</w:t>
      </w:r>
      <w:r w:rsidR="008C1CF6" w:rsidRPr="00854567">
        <w:rPr>
          <w:u w:val="single"/>
          <w:vertAlign w:val="superscript"/>
        </w:rPr>
        <w:t>th</w:t>
      </w:r>
      <w:r w:rsidR="008C1CF6" w:rsidRPr="00854567">
        <w:rPr>
          <w:u w:val="single"/>
        </w:rPr>
        <w:t xml:space="preserve"> April 2014</w:t>
      </w:r>
      <w:r w:rsidR="008C1CF6">
        <w:t xml:space="preserve">.  </w:t>
      </w:r>
      <w:r w:rsidR="00BB459D">
        <w:t>That was (thirteen)</w:t>
      </w:r>
      <w:r w:rsidR="008C1CF6">
        <w:t xml:space="preserve"> 13 days after his dismissal.  Nonetheless the </w:t>
      </w:r>
      <w:r w:rsidR="0079710E">
        <w:t xml:space="preserve">NEC found that the appeal was noted on time.  Its reasoning therefor is </w:t>
      </w:r>
      <w:r w:rsidR="00DD4F8A">
        <w:t>u</w:t>
      </w:r>
      <w:r w:rsidR="0079710E">
        <w:t>nclear.</w:t>
      </w:r>
    </w:p>
    <w:p w:rsidR="0079710E" w:rsidRDefault="0079710E" w:rsidP="008C0E44">
      <w:pPr>
        <w:jc w:val="both"/>
      </w:pPr>
    </w:p>
    <w:p w:rsidR="0079710E" w:rsidRDefault="0079710E" w:rsidP="00E42BE4">
      <w:pPr>
        <w:spacing w:line="360" w:lineRule="auto"/>
        <w:jc w:val="both"/>
      </w:pPr>
      <w:r>
        <w:t xml:space="preserve">In his Heads of Argument (para 2.3) Respondent argued that </w:t>
      </w:r>
      <w:r w:rsidR="00123468">
        <w:t>Appellant closed its factory from the 17</w:t>
      </w:r>
      <w:r w:rsidR="00123468" w:rsidRPr="00123468">
        <w:rPr>
          <w:vertAlign w:val="superscript"/>
        </w:rPr>
        <w:t>th</w:t>
      </w:r>
      <w:r w:rsidR="00123468">
        <w:t xml:space="preserve"> April 2014 to the 5</w:t>
      </w:r>
      <w:r w:rsidR="00123468" w:rsidRPr="00123468">
        <w:rPr>
          <w:vertAlign w:val="superscript"/>
        </w:rPr>
        <w:t>th</w:t>
      </w:r>
      <w:r w:rsidR="00BB459D">
        <w:t xml:space="preserve"> May </w:t>
      </w:r>
      <w:r w:rsidR="00CD6C3C">
        <w:t>2014 thereby</w:t>
      </w:r>
      <w:r w:rsidR="00123468">
        <w:t xml:space="preserve"> interrupting the </w:t>
      </w:r>
      <w:r w:rsidR="00123468" w:rsidRPr="00BB459D">
        <w:rPr>
          <w:u w:val="single"/>
        </w:rPr>
        <w:t>dies</w:t>
      </w:r>
      <w:r w:rsidR="00123468">
        <w:t xml:space="preserve"> </w:t>
      </w:r>
      <w:r w:rsidR="00123468" w:rsidRPr="00BB459D">
        <w:rPr>
          <w:u w:val="single"/>
        </w:rPr>
        <w:t>induciae</w:t>
      </w:r>
      <w:r w:rsidR="00123468">
        <w:t>.  The mere fact that Appellant accepted Respondent’s appeal on the 24</w:t>
      </w:r>
      <w:r w:rsidR="00123468" w:rsidRPr="00123468">
        <w:rPr>
          <w:vertAlign w:val="superscript"/>
        </w:rPr>
        <w:t>th</w:t>
      </w:r>
      <w:r w:rsidR="00123468">
        <w:t xml:space="preserve"> </w:t>
      </w:r>
      <w:r w:rsidR="00123468">
        <w:lastRenderedPageBreak/>
        <w:t>April 2014 during the shut down shows that service of documents was possible duri</w:t>
      </w:r>
      <w:r w:rsidR="009F7E80">
        <w:t>n</w:t>
      </w:r>
      <w:r w:rsidR="00123468">
        <w:t>g the shut down.</w:t>
      </w:r>
    </w:p>
    <w:p w:rsidR="00FA0C83" w:rsidRDefault="00FA0C83" w:rsidP="00753B0F">
      <w:pPr>
        <w:jc w:val="both"/>
      </w:pPr>
    </w:p>
    <w:p w:rsidR="00FA0C83" w:rsidRDefault="00A03BE6" w:rsidP="00E42BE4">
      <w:pPr>
        <w:spacing w:line="360" w:lineRule="auto"/>
        <w:jc w:val="both"/>
      </w:pPr>
      <w:r>
        <w:t>In any event, as argued by Appellant</w:t>
      </w:r>
      <w:r w:rsidR="005B288A">
        <w:t>,</w:t>
      </w:r>
      <w:r>
        <w:t xml:space="preserve"> at worst service could </w:t>
      </w:r>
      <w:r w:rsidR="005B288A">
        <w:t>have been</w:t>
      </w:r>
      <w:r>
        <w:t xml:space="preserve"> effected by affixing the document/s to the </w:t>
      </w:r>
      <w:r w:rsidR="001F00F6">
        <w:t>gate or principal door as the Sheriff does when he cannot find anyone at the premises.  The CBA requires the noting of an appeal within 5 working days.  The phrase “working days</w:t>
      </w:r>
      <w:r w:rsidR="00C62001">
        <w:t>” does not exclude a shut down.  If same occurs during normal working days the employee must nonetheless serve his appeal.  Accordingly</w:t>
      </w:r>
      <w:r w:rsidR="00F77773">
        <w:t xml:space="preserve"> Appellant rightly ignored the appeal served out of time.  </w:t>
      </w:r>
      <w:r w:rsidR="00F77773" w:rsidRPr="005B288A">
        <w:rPr>
          <w:u w:val="single"/>
        </w:rPr>
        <w:t>The CBA does not permit condonation of a belated appeal</w:t>
      </w:r>
      <w:r w:rsidR="00F77773">
        <w:t xml:space="preserve">.  Evidently I am persuaded by and agree with Appellant that the NEC wrongly </w:t>
      </w:r>
      <w:r w:rsidR="000E4653">
        <w:t>determined the</w:t>
      </w:r>
      <w:r w:rsidR="00F77773">
        <w:t xml:space="preserve"> matter.  There being no valid appeal </w:t>
      </w:r>
      <w:r w:rsidR="000E4653">
        <w:t>determined by</w:t>
      </w:r>
      <w:r w:rsidR="00FB7552">
        <w:t xml:space="preserve"> the Chief Executive, the NEC did not come into the picture.</w:t>
      </w:r>
    </w:p>
    <w:p w:rsidR="00FB7552" w:rsidRDefault="00FB7552" w:rsidP="00E42BE4">
      <w:pPr>
        <w:spacing w:line="360" w:lineRule="auto"/>
        <w:jc w:val="both"/>
      </w:pPr>
    </w:p>
    <w:p w:rsidR="00FB7552" w:rsidRDefault="007052FC" w:rsidP="00E42BE4">
      <w:pPr>
        <w:spacing w:line="360" w:lineRule="auto"/>
        <w:jc w:val="both"/>
      </w:pPr>
      <w:r>
        <w:t>In the circumstances the appeal has merit and must be upheld.</w:t>
      </w:r>
    </w:p>
    <w:p w:rsidR="00A13D34" w:rsidRDefault="00A13D34" w:rsidP="00E42BE4">
      <w:pPr>
        <w:spacing w:line="360" w:lineRule="auto"/>
        <w:jc w:val="both"/>
      </w:pPr>
    </w:p>
    <w:p w:rsidR="00D5480D" w:rsidRDefault="00D5480D" w:rsidP="00E42BE4">
      <w:pPr>
        <w:spacing w:line="360" w:lineRule="auto"/>
        <w:jc w:val="both"/>
      </w:pPr>
    </w:p>
    <w:p w:rsidR="00A13D34" w:rsidRDefault="00A13D34" w:rsidP="00E42BE4">
      <w:pPr>
        <w:spacing w:line="360" w:lineRule="auto"/>
        <w:jc w:val="both"/>
      </w:pPr>
    </w:p>
    <w:p w:rsidR="00A13D34" w:rsidRDefault="00A13D34" w:rsidP="00A13D34">
      <w:pPr>
        <w:spacing w:line="360" w:lineRule="auto"/>
        <w:jc w:val="both"/>
        <w:rPr>
          <w:b/>
        </w:rPr>
      </w:pPr>
      <w:r w:rsidRPr="00FE7CF1">
        <w:rPr>
          <w:b/>
        </w:rPr>
        <w:t>Where</w:t>
      </w:r>
      <w:r>
        <w:rPr>
          <w:b/>
        </w:rPr>
        <w:t>fore it is ordered that,</w:t>
      </w:r>
    </w:p>
    <w:p w:rsidR="00A13D34" w:rsidRDefault="00A13D34" w:rsidP="00A13D34">
      <w:pPr>
        <w:spacing w:line="360" w:lineRule="auto"/>
        <w:jc w:val="both"/>
        <w:rPr>
          <w:b/>
        </w:rPr>
      </w:pPr>
    </w:p>
    <w:p w:rsidR="00A13D34" w:rsidRDefault="00A13D34" w:rsidP="00D5480D">
      <w:pPr>
        <w:pStyle w:val="ListParagraph"/>
        <w:numPr>
          <w:ilvl w:val="0"/>
          <w:numId w:val="1"/>
        </w:numPr>
        <w:spacing w:line="600" w:lineRule="auto"/>
        <w:jc w:val="both"/>
        <w:rPr>
          <w:b/>
        </w:rPr>
      </w:pPr>
      <w:r w:rsidRPr="001C50BD">
        <w:rPr>
          <w:b/>
        </w:rPr>
        <w:t xml:space="preserve">The </w:t>
      </w:r>
      <w:r>
        <w:rPr>
          <w:b/>
        </w:rPr>
        <w:t xml:space="preserve">appeal be and is hereby </w:t>
      </w:r>
      <w:r w:rsidR="00241D43">
        <w:rPr>
          <w:b/>
        </w:rPr>
        <w:t>upheld;</w:t>
      </w:r>
    </w:p>
    <w:p w:rsidR="00A13D34" w:rsidRPr="004B71FB" w:rsidRDefault="00241D43" w:rsidP="00D5480D">
      <w:pPr>
        <w:pStyle w:val="ListParagraph"/>
        <w:numPr>
          <w:ilvl w:val="0"/>
          <w:numId w:val="1"/>
        </w:numPr>
        <w:spacing w:line="600" w:lineRule="auto"/>
        <w:rPr>
          <w:b/>
        </w:rPr>
      </w:pPr>
      <w:r>
        <w:rPr>
          <w:b/>
        </w:rPr>
        <w:t xml:space="preserve">The determination by the NEC (Chemicals &amp; Fertilizers Manufacturing </w:t>
      </w:r>
      <w:r w:rsidR="004B71FB">
        <w:rPr>
          <w:b/>
        </w:rPr>
        <w:t>Industry) dated the 23</w:t>
      </w:r>
      <w:r w:rsidR="004B71FB" w:rsidRPr="004B71FB">
        <w:rPr>
          <w:b/>
          <w:vertAlign w:val="superscript"/>
        </w:rPr>
        <w:t>rd</w:t>
      </w:r>
      <w:r w:rsidR="004B71FB">
        <w:rPr>
          <w:b/>
        </w:rPr>
        <w:t xml:space="preserve"> July 2014 is set aside; and </w:t>
      </w:r>
    </w:p>
    <w:p w:rsidR="00A13D34" w:rsidRPr="00A23A60" w:rsidRDefault="00A13D34" w:rsidP="00D5480D">
      <w:pPr>
        <w:pStyle w:val="ListParagraph"/>
        <w:numPr>
          <w:ilvl w:val="0"/>
          <w:numId w:val="1"/>
        </w:numPr>
        <w:spacing w:line="600" w:lineRule="auto"/>
        <w:jc w:val="both"/>
        <w:rPr>
          <w:b/>
        </w:rPr>
      </w:pPr>
      <w:r w:rsidRPr="00A23A60">
        <w:rPr>
          <w:b/>
        </w:rPr>
        <w:t>Each party shall bear its own costs.</w:t>
      </w:r>
    </w:p>
    <w:p w:rsidR="00A13D34" w:rsidRDefault="00A13D34" w:rsidP="00CD6C3C">
      <w:pPr>
        <w:spacing w:line="360" w:lineRule="auto"/>
        <w:jc w:val="both"/>
        <w:rPr>
          <w:b/>
        </w:rPr>
      </w:pPr>
    </w:p>
    <w:p w:rsidR="00CD6C3C" w:rsidRPr="00CD6C3C" w:rsidRDefault="00CD6C3C" w:rsidP="00CD6C3C">
      <w:pPr>
        <w:spacing w:line="360" w:lineRule="auto"/>
        <w:jc w:val="both"/>
        <w:rPr>
          <w:b/>
        </w:rPr>
      </w:pPr>
      <w:bookmarkStart w:id="0" w:name="_GoBack"/>
      <w:bookmarkEnd w:id="0"/>
    </w:p>
    <w:p w:rsidR="00A13D34" w:rsidRPr="008C1574" w:rsidRDefault="00A13D34" w:rsidP="00A13D34">
      <w:pPr>
        <w:pStyle w:val="ListParagraph"/>
        <w:spacing w:line="360" w:lineRule="auto"/>
        <w:jc w:val="both"/>
        <w:rPr>
          <w:b/>
        </w:rPr>
      </w:pPr>
    </w:p>
    <w:p w:rsidR="00A13D34" w:rsidRDefault="00A13D34" w:rsidP="00A13D34">
      <w:pPr>
        <w:pStyle w:val="ListParagraph"/>
        <w:spacing w:line="360" w:lineRule="auto"/>
        <w:jc w:val="both"/>
        <w:rPr>
          <w:b/>
        </w:rPr>
      </w:pPr>
      <w:r>
        <w:rPr>
          <w:b/>
        </w:rPr>
        <w:tab/>
      </w:r>
      <w:r>
        <w:rPr>
          <w:b/>
        </w:rPr>
        <w:tab/>
      </w:r>
      <w:r>
        <w:rPr>
          <w:b/>
        </w:rPr>
        <w:tab/>
      </w:r>
      <w:r>
        <w:rPr>
          <w:b/>
        </w:rPr>
        <w:tab/>
      </w:r>
      <w:r>
        <w:rPr>
          <w:b/>
        </w:rPr>
        <w:tab/>
      </w:r>
      <w:r>
        <w:rPr>
          <w:b/>
        </w:rPr>
        <w:tab/>
        <w:t>G. MUSARIRI</w:t>
      </w:r>
    </w:p>
    <w:p w:rsidR="00A13D34" w:rsidRDefault="00A13D34" w:rsidP="005B288A">
      <w:pPr>
        <w:pStyle w:val="ListParagraph"/>
        <w:spacing w:line="360" w:lineRule="auto"/>
        <w:jc w:val="both"/>
      </w:pPr>
      <w:r>
        <w:rPr>
          <w:b/>
        </w:rPr>
        <w:tab/>
      </w:r>
      <w:r>
        <w:rPr>
          <w:b/>
        </w:rPr>
        <w:tab/>
      </w:r>
      <w:r>
        <w:rPr>
          <w:b/>
        </w:rPr>
        <w:tab/>
      </w:r>
      <w:r>
        <w:rPr>
          <w:b/>
        </w:rPr>
        <w:tab/>
      </w:r>
      <w:r>
        <w:rPr>
          <w:b/>
        </w:rPr>
        <w:tab/>
      </w:r>
      <w:r>
        <w:rPr>
          <w:b/>
        </w:rPr>
        <w:tab/>
        <w:t>J-U-D-G-E</w:t>
      </w:r>
    </w:p>
    <w:sectPr w:rsidR="00A13D34" w:rsidSect="008C0E44">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742" w:rsidRDefault="00C24742" w:rsidP="008C0E44">
      <w:r>
        <w:separator/>
      </w:r>
    </w:p>
  </w:endnote>
  <w:endnote w:type="continuationSeparator" w:id="0">
    <w:p w:rsidR="00C24742" w:rsidRDefault="00C24742" w:rsidP="008C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023058"/>
      <w:docPartObj>
        <w:docPartGallery w:val="Page Numbers (Bottom of Page)"/>
        <w:docPartUnique/>
      </w:docPartObj>
    </w:sdtPr>
    <w:sdtEndPr>
      <w:rPr>
        <w:noProof/>
      </w:rPr>
    </w:sdtEndPr>
    <w:sdtContent>
      <w:p w:rsidR="008C0E44" w:rsidRDefault="008C0E44">
        <w:pPr>
          <w:pStyle w:val="Footer"/>
          <w:jc w:val="center"/>
        </w:pPr>
        <w:r>
          <w:fldChar w:fldCharType="begin"/>
        </w:r>
        <w:r>
          <w:instrText xml:space="preserve"> PAGE   \* MERGEFORMAT </w:instrText>
        </w:r>
        <w:r>
          <w:fldChar w:fldCharType="separate"/>
        </w:r>
        <w:r w:rsidR="00CD6C3C">
          <w:rPr>
            <w:noProof/>
          </w:rPr>
          <w:t>3</w:t>
        </w:r>
        <w:r>
          <w:rPr>
            <w:noProof/>
          </w:rPr>
          <w:fldChar w:fldCharType="end"/>
        </w:r>
      </w:p>
    </w:sdtContent>
  </w:sdt>
  <w:p w:rsidR="008C0E44" w:rsidRDefault="008C0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742" w:rsidRDefault="00C24742" w:rsidP="008C0E44">
      <w:r>
        <w:separator/>
      </w:r>
    </w:p>
  </w:footnote>
  <w:footnote w:type="continuationSeparator" w:id="0">
    <w:p w:rsidR="00C24742" w:rsidRDefault="00C24742" w:rsidP="008C0E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E44" w:rsidRPr="008C0E44" w:rsidRDefault="008C0E44">
    <w:pPr>
      <w:pStyle w:val="Header"/>
      <w:rPr>
        <w:lang w:val="en-ZW"/>
      </w:rPr>
    </w:pPr>
    <w:r>
      <w:rPr>
        <w:lang w:val="en-ZW"/>
      </w:rPr>
      <w:tab/>
    </w:r>
    <w:r>
      <w:rPr>
        <w:lang w:val="en-ZW"/>
      </w:rPr>
      <w:tab/>
      <w:t>JUDGMENT NO. LC/H/</w:t>
    </w:r>
    <w:r w:rsidR="00755557">
      <w:rPr>
        <w:lang w:val="en-ZW"/>
      </w:rPr>
      <w:t>274</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A2B85"/>
    <w:multiLevelType w:val="hybridMultilevel"/>
    <w:tmpl w:val="58CA921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6AD"/>
    <w:rsid w:val="000E4653"/>
    <w:rsid w:val="00107111"/>
    <w:rsid w:val="00123468"/>
    <w:rsid w:val="0015214C"/>
    <w:rsid w:val="001F00F6"/>
    <w:rsid w:val="00241D43"/>
    <w:rsid w:val="0031571E"/>
    <w:rsid w:val="00341C32"/>
    <w:rsid w:val="003B37C9"/>
    <w:rsid w:val="004A48F9"/>
    <w:rsid w:val="004B71FB"/>
    <w:rsid w:val="00534DC1"/>
    <w:rsid w:val="005A6AFB"/>
    <w:rsid w:val="005B288A"/>
    <w:rsid w:val="005C5D3B"/>
    <w:rsid w:val="005E144A"/>
    <w:rsid w:val="00605A34"/>
    <w:rsid w:val="00617E22"/>
    <w:rsid w:val="0064048F"/>
    <w:rsid w:val="00683903"/>
    <w:rsid w:val="006B1CF0"/>
    <w:rsid w:val="007052FC"/>
    <w:rsid w:val="00753B0F"/>
    <w:rsid w:val="00755557"/>
    <w:rsid w:val="0079710E"/>
    <w:rsid w:val="00854567"/>
    <w:rsid w:val="00880568"/>
    <w:rsid w:val="008A13DA"/>
    <w:rsid w:val="008C0E44"/>
    <w:rsid w:val="008C1CF6"/>
    <w:rsid w:val="00902F28"/>
    <w:rsid w:val="009E7152"/>
    <w:rsid w:val="009F7E80"/>
    <w:rsid w:val="00A03BE6"/>
    <w:rsid w:val="00A13D34"/>
    <w:rsid w:val="00AB41B3"/>
    <w:rsid w:val="00AD763D"/>
    <w:rsid w:val="00AF15B4"/>
    <w:rsid w:val="00B411D7"/>
    <w:rsid w:val="00BB459D"/>
    <w:rsid w:val="00C17B1D"/>
    <w:rsid w:val="00C24742"/>
    <w:rsid w:val="00C62001"/>
    <w:rsid w:val="00CA7A76"/>
    <w:rsid w:val="00CD6C3C"/>
    <w:rsid w:val="00D45A2B"/>
    <w:rsid w:val="00D5480D"/>
    <w:rsid w:val="00D556AD"/>
    <w:rsid w:val="00D91ECF"/>
    <w:rsid w:val="00DD4F8A"/>
    <w:rsid w:val="00E42BE4"/>
    <w:rsid w:val="00E54C54"/>
    <w:rsid w:val="00EC30DA"/>
    <w:rsid w:val="00ED376D"/>
    <w:rsid w:val="00F446FF"/>
    <w:rsid w:val="00F45FB1"/>
    <w:rsid w:val="00F74839"/>
    <w:rsid w:val="00F77773"/>
    <w:rsid w:val="00FA0C83"/>
    <w:rsid w:val="00FB7552"/>
    <w:rsid w:val="00FC088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6A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D34"/>
    <w:pPr>
      <w:ind w:left="720"/>
      <w:contextualSpacing/>
    </w:pPr>
  </w:style>
  <w:style w:type="paragraph" w:styleId="Header">
    <w:name w:val="header"/>
    <w:basedOn w:val="Normal"/>
    <w:link w:val="HeaderChar"/>
    <w:uiPriority w:val="99"/>
    <w:unhideWhenUsed/>
    <w:rsid w:val="008C0E44"/>
    <w:pPr>
      <w:tabs>
        <w:tab w:val="center" w:pos="4513"/>
        <w:tab w:val="right" w:pos="9026"/>
      </w:tabs>
    </w:pPr>
  </w:style>
  <w:style w:type="character" w:customStyle="1" w:styleId="HeaderChar">
    <w:name w:val="Header Char"/>
    <w:basedOn w:val="DefaultParagraphFont"/>
    <w:link w:val="Header"/>
    <w:uiPriority w:val="99"/>
    <w:rsid w:val="008C0E44"/>
    <w:rPr>
      <w:rFonts w:ascii="Tahoma" w:eastAsia="Times New Roman" w:hAnsi="Tahoma" w:cs="Times New Roman"/>
      <w:sz w:val="24"/>
      <w:szCs w:val="24"/>
      <w:lang w:val="en-US"/>
    </w:rPr>
  </w:style>
  <w:style w:type="paragraph" w:styleId="Footer">
    <w:name w:val="footer"/>
    <w:basedOn w:val="Normal"/>
    <w:link w:val="FooterChar"/>
    <w:uiPriority w:val="99"/>
    <w:unhideWhenUsed/>
    <w:rsid w:val="008C0E44"/>
    <w:pPr>
      <w:tabs>
        <w:tab w:val="center" w:pos="4513"/>
        <w:tab w:val="right" w:pos="9026"/>
      </w:tabs>
    </w:pPr>
  </w:style>
  <w:style w:type="character" w:customStyle="1" w:styleId="FooterChar">
    <w:name w:val="Footer Char"/>
    <w:basedOn w:val="DefaultParagraphFont"/>
    <w:link w:val="Footer"/>
    <w:uiPriority w:val="99"/>
    <w:rsid w:val="008C0E44"/>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ED376D"/>
    <w:rPr>
      <w:rFonts w:cs="Tahoma"/>
      <w:sz w:val="16"/>
      <w:szCs w:val="16"/>
    </w:rPr>
  </w:style>
  <w:style w:type="character" w:customStyle="1" w:styleId="BalloonTextChar">
    <w:name w:val="Balloon Text Char"/>
    <w:basedOn w:val="DefaultParagraphFont"/>
    <w:link w:val="BalloonText"/>
    <w:uiPriority w:val="99"/>
    <w:semiHidden/>
    <w:rsid w:val="00ED376D"/>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6A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D34"/>
    <w:pPr>
      <w:ind w:left="720"/>
      <w:contextualSpacing/>
    </w:pPr>
  </w:style>
  <w:style w:type="paragraph" w:styleId="Header">
    <w:name w:val="header"/>
    <w:basedOn w:val="Normal"/>
    <w:link w:val="HeaderChar"/>
    <w:uiPriority w:val="99"/>
    <w:unhideWhenUsed/>
    <w:rsid w:val="008C0E44"/>
    <w:pPr>
      <w:tabs>
        <w:tab w:val="center" w:pos="4513"/>
        <w:tab w:val="right" w:pos="9026"/>
      </w:tabs>
    </w:pPr>
  </w:style>
  <w:style w:type="character" w:customStyle="1" w:styleId="HeaderChar">
    <w:name w:val="Header Char"/>
    <w:basedOn w:val="DefaultParagraphFont"/>
    <w:link w:val="Header"/>
    <w:uiPriority w:val="99"/>
    <w:rsid w:val="008C0E44"/>
    <w:rPr>
      <w:rFonts w:ascii="Tahoma" w:eastAsia="Times New Roman" w:hAnsi="Tahoma" w:cs="Times New Roman"/>
      <w:sz w:val="24"/>
      <w:szCs w:val="24"/>
      <w:lang w:val="en-US"/>
    </w:rPr>
  </w:style>
  <w:style w:type="paragraph" w:styleId="Footer">
    <w:name w:val="footer"/>
    <w:basedOn w:val="Normal"/>
    <w:link w:val="FooterChar"/>
    <w:uiPriority w:val="99"/>
    <w:unhideWhenUsed/>
    <w:rsid w:val="008C0E44"/>
    <w:pPr>
      <w:tabs>
        <w:tab w:val="center" w:pos="4513"/>
        <w:tab w:val="right" w:pos="9026"/>
      </w:tabs>
    </w:pPr>
  </w:style>
  <w:style w:type="character" w:customStyle="1" w:styleId="FooterChar">
    <w:name w:val="Footer Char"/>
    <w:basedOn w:val="DefaultParagraphFont"/>
    <w:link w:val="Footer"/>
    <w:uiPriority w:val="99"/>
    <w:rsid w:val="008C0E44"/>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ED376D"/>
    <w:rPr>
      <w:rFonts w:cs="Tahoma"/>
      <w:sz w:val="16"/>
      <w:szCs w:val="16"/>
    </w:rPr>
  </w:style>
  <w:style w:type="character" w:customStyle="1" w:styleId="BalloonTextChar">
    <w:name w:val="Balloon Text Char"/>
    <w:basedOn w:val="DefaultParagraphFont"/>
    <w:link w:val="BalloonText"/>
    <w:uiPriority w:val="99"/>
    <w:semiHidden/>
    <w:rsid w:val="00ED376D"/>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25</cp:revision>
  <cp:lastPrinted>2016-05-03T08:28:00Z</cp:lastPrinted>
  <dcterms:created xsi:type="dcterms:W3CDTF">2016-04-26T08:20:00Z</dcterms:created>
  <dcterms:modified xsi:type="dcterms:W3CDTF">2016-05-03T08:29:00Z</dcterms:modified>
</cp:coreProperties>
</file>