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357" w:rsidRDefault="00322357" w:rsidP="00322357">
      <w:pPr>
        <w:spacing w:line="360" w:lineRule="auto"/>
        <w:jc w:val="both"/>
        <w:rPr>
          <w:b/>
          <w:sz w:val="22"/>
          <w:szCs w:val="22"/>
        </w:rPr>
      </w:pPr>
      <w:proofErr w:type="gramStart"/>
      <w:r>
        <w:rPr>
          <w:b/>
          <w:sz w:val="22"/>
          <w:szCs w:val="22"/>
        </w:rPr>
        <w:t xml:space="preserve">IN THE LABOUR COURT </w:t>
      </w:r>
      <w:r w:rsidR="009073E4">
        <w:rPr>
          <w:b/>
          <w:sz w:val="22"/>
          <w:szCs w:val="22"/>
        </w:rPr>
        <w:t>OF ZIMBABWE</w:t>
      </w:r>
      <w:r w:rsidR="009073E4">
        <w:rPr>
          <w:b/>
          <w:sz w:val="22"/>
          <w:szCs w:val="22"/>
        </w:rPr>
        <w:tab/>
        <w:t xml:space="preserve">                   </w:t>
      </w:r>
      <w:r>
        <w:rPr>
          <w:b/>
          <w:sz w:val="22"/>
          <w:szCs w:val="22"/>
        </w:rPr>
        <w:t>JUDGMENT NO.</w:t>
      </w:r>
      <w:proofErr w:type="gramEnd"/>
      <w:r>
        <w:rPr>
          <w:b/>
          <w:sz w:val="22"/>
          <w:szCs w:val="22"/>
        </w:rPr>
        <w:t xml:space="preserve"> LC/H/</w:t>
      </w:r>
      <w:r w:rsidR="009073E4">
        <w:rPr>
          <w:b/>
          <w:sz w:val="22"/>
          <w:szCs w:val="22"/>
        </w:rPr>
        <w:t>40</w:t>
      </w:r>
      <w:r>
        <w:rPr>
          <w:b/>
          <w:sz w:val="22"/>
          <w:szCs w:val="22"/>
        </w:rPr>
        <w:t>/2016</w:t>
      </w:r>
    </w:p>
    <w:p w:rsidR="00322357" w:rsidRDefault="00322357" w:rsidP="00322357">
      <w:pPr>
        <w:spacing w:line="360" w:lineRule="auto"/>
        <w:jc w:val="both"/>
        <w:rPr>
          <w:b/>
          <w:sz w:val="22"/>
          <w:szCs w:val="22"/>
        </w:rPr>
      </w:pPr>
      <w:r>
        <w:rPr>
          <w:b/>
          <w:sz w:val="22"/>
          <w:szCs w:val="22"/>
        </w:rPr>
        <w:t>HARARE, 27 MAY 2015</w:t>
      </w:r>
      <w:r>
        <w:rPr>
          <w:b/>
          <w:sz w:val="22"/>
          <w:szCs w:val="22"/>
        </w:rPr>
        <w:tab/>
      </w:r>
      <w:r>
        <w:rPr>
          <w:b/>
          <w:sz w:val="22"/>
          <w:szCs w:val="22"/>
        </w:rPr>
        <w:tab/>
      </w:r>
      <w:r>
        <w:rPr>
          <w:b/>
          <w:sz w:val="22"/>
          <w:szCs w:val="22"/>
        </w:rPr>
        <w:tab/>
        <w:t xml:space="preserve">           </w:t>
      </w:r>
      <w:r>
        <w:rPr>
          <w:b/>
          <w:sz w:val="22"/>
          <w:szCs w:val="22"/>
        </w:rPr>
        <w:tab/>
      </w:r>
      <w:r>
        <w:rPr>
          <w:b/>
          <w:sz w:val="22"/>
          <w:szCs w:val="22"/>
        </w:rPr>
        <w:tab/>
        <w:t>CASE NO. LC/H/236/11</w:t>
      </w:r>
    </w:p>
    <w:p w:rsidR="00322357" w:rsidRDefault="00322357" w:rsidP="00322357">
      <w:pPr>
        <w:spacing w:line="360" w:lineRule="auto"/>
        <w:jc w:val="both"/>
        <w:rPr>
          <w:b/>
          <w:sz w:val="22"/>
          <w:szCs w:val="22"/>
        </w:rPr>
      </w:pPr>
      <w:r>
        <w:rPr>
          <w:b/>
          <w:sz w:val="22"/>
          <w:szCs w:val="22"/>
        </w:rPr>
        <w:t xml:space="preserve">AND </w:t>
      </w:r>
      <w:r w:rsidR="009073E4">
        <w:rPr>
          <w:b/>
          <w:sz w:val="22"/>
          <w:szCs w:val="22"/>
        </w:rPr>
        <w:t>22 JANUARY</w:t>
      </w:r>
      <w:r>
        <w:rPr>
          <w:b/>
          <w:sz w:val="22"/>
          <w:szCs w:val="22"/>
        </w:rPr>
        <w:t>, 2016</w:t>
      </w:r>
    </w:p>
    <w:p w:rsidR="00322357" w:rsidRDefault="00322357" w:rsidP="00322357">
      <w:pPr>
        <w:spacing w:line="360" w:lineRule="auto"/>
        <w:jc w:val="both"/>
      </w:pPr>
      <w:r>
        <w:t>In the matter between:-</w:t>
      </w:r>
    </w:p>
    <w:p w:rsidR="00322357" w:rsidRDefault="00322357" w:rsidP="00322357">
      <w:pPr>
        <w:spacing w:line="360" w:lineRule="auto"/>
        <w:jc w:val="both"/>
      </w:pPr>
    </w:p>
    <w:p w:rsidR="00322357" w:rsidRDefault="00322357" w:rsidP="00322357">
      <w:pPr>
        <w:spacing w:line="360" w:lineRule="auto"/>
        <w:jc w:val="both"/>
        <w:rPr>
          <w:b/>
        </w:rPr>
      </w:pPr>
      <w:r>
        <w:rPr>
          <w:b/>
        </w:rPr>
        <w:t>UZ-UCSF COLLABORATIVE RESEARCH PROGRAMME</w:t>
      </w:r>
      <w:r>
        <w:rPr>
          <w:b/>
        </w:rPr>
        <w:tab/>
      </w:r>
      <w:r>
        <w:rPr>
          <w:b/>
        </w:rPr>
        <w:tab/>
        <w:t>Appellant</w:t>
      </w:r>
    </w:p>
    <w:p w:rsidR="00322357" w:rsidRDefault="00322357" w:rsidP="00322357">
      <w:pPr>
        <w:spacing w:line="360" w:lineRule="auto"/>
        <w:jc w:val="both"/>
        <w:rPr>
          <w:sz w:val="22"/>
          <w:szCs w:val="22"/>
        </w:rPr>
      </w:pPr>
      <w:r>
        <w:rPr>
          <w:sz w:val="22"/>
          <w:szCs w:val="22"/>
        </w:rPr>
        <w:t>And</w:t>
      </w:r>
    </w:p>
    <w:p w:rsidR="00322357" w:rsidRDefault="00322357" w:rsidP="00322357">
      <w:pPr>
        <w:spacing w:line="360" w:lineRule="auto"/>
        <w:jc w:val="both"/>
        <w:rPr>
          <w:b/>
        </w:rPr>
      </w:pPr>
      <w:r>
        <w:rPr>
          <w:b/>
        </w:rPr>
        <w:t>TSERAYI MACHINDA</w:t>
      </w:r>
      <w:r>
        <w:rPr>
          <w:b/>
        </w:rPr>
        <w:tab/>
      </w:r>
      <w:r>
        <w:rPr>
          <w:b/>
        </w:rPr>
        <w:tab/>
      </w:r>
      <w:r>
        <w:rPr>
          <w:b/>
        </w:rPr>
        <w:tab/>
      </w:r>
      <w:r>
        <w:rPr>
          <w:b/>
        </w:rPr>
        <w:tab/>
      </w:r>
      <w:r>
        <w:rPr>
          <w:b/>
        </w:rPr>
        <w:tab/>
      </w:r>
      <w:r>
        <w:rPr>
          <w:b/>
        </w:rPr>
        <w:tab/>
      </w:r>
      <w:r>
        <w:rPr>
          <w:b/>
        </w:rPr>
        <w:tab/>
        <w:t>Respondent</w:t>
      </w:r>
    </w:p>
    <w:p w:rsidR="00322357" w:rsidRDefault="00322357" w:rsidP="00322357">
      <w:pPr>
        <w:spacing w:line="360" w:lineRule="auto"/>
        <w:jc w:val="both"/>
        <w:rPr>
          <w:b/>
        </w:rPr>
      </w:pPr>
    </w:p>
    <w:p w:rsidR="00322357" w:rsidRDefault="00322357" w:rsidP="00322357">
      <w:pPr>
        <w:spacing w:line="360" w:lineRule="auto"/>
        <w:jc w:val="both"/>
      </w:pPr>
      <w:r>
        <w:t>Before The Honourable E. Makamure, Judge</w:t>
      </w:r>
    </w:p>
    <w:p w:rsidR="00322357" w:rsidRDefault="00322357" w:rsidP="00322357">
      <w:pPr>
        <w:spacing w:line="360" w:lineRule="auto"/>
        <w:jc w:val="both"/>
      </w:pPr>
    </w:p>
    <w:p w:rsidR="00322357" w:rsidRDefault="00322357" w:rsidP="00322357">
      <w:pPr>
        <w:spacing w:line="360" w:lineRule="auto"/>
        <w:jc w:val="both"/>
        <w:rPr>
          <w:b/>
        </w:rPr>
      </w:pPr>
      <w:r>
        <w:rPr>
          <w:b/>
        </w:rPr>
        <w:t>For Appellant</w:t>
      </w:r>
      <w:r>
        <w:rPr>
          <w:b/>
        </w:rPr>
        <w:tab/>
      </w:r>
      <w:r>
        <w:rPr>
          <w:b/>
        </w:rPr>
        <w:tab/>
        <w:t>Mr H. Mutasa (Legal Practitioner)</w:t>
      </w:r>
    </w:p>
    <w:p w:rsidR="00322357" w:rsidRDefault="00322357" w:rsidP="00322357">
      <w:pPr>
        <w:spacing w:line="360" w:lineRule="auto"/>
        <w:jc w:val="both"/>
        <w:rPr>
          <w:b/>
        </w:rPr>
      </w:pPr>
      <w:r>
        <w:rPr>
          <w:b/>
        </w:rPr>
        <w:t>For Respondent</w:t>
      </w:r>
      <w:r>
        <w:rPr>
          <w:b/>
        </w:rPr>
        <w:tab/>
      </w:r>
      <w:r>
        <w:rPr>
          <w:b/>
        </w:rPr>
        <w:tab/>
        <w:t>Mr T. Gumbo (Legal Practitioner)</w:t>
      </w:r>
    </w:p>
    <w:p w:rsidR="00322357" w:rsidRDefault="00322357" w:rsidP="00322357">
      <w:pPr>
        <w:spacing w:line="360" w:lineRule="auto"/>
        <w:jc w:val="both"/>
        <w:rPr>
          <w:b/>
          <w:sz w:val="28"/>
          <w:szCs w:val="28"/>
        </w:rPr>
      </w:pPr>
    </w:p>
    <w:p w:rsidR="00322357" w:rsidRDefault="00322357" w:rsidP="00322357">
      <w:pPr>
        <w:spacing w:line="360" w:lineRule="auto"/>
        <w:jc w:val="both"/>
        <w:rPr>
          <w:b/>
        </w:rPr>
      </w:pPr>
      <w:r>
        <w:rPr>
          <w:b/>
        </w:rPr>
        <w:t>MAKAMURE, J:</w:t>
      </w:r>
    </w:p>
    <w:p w:rsidR="007C095A" w:rsidRDefault="007C095A" w:rsidP="00E313BA">
      <w:pPr>
        <w:spacing w:line="360" w:lineRule="auto"/>
        <w:jc w:val="both"/>
      </w:pPr>
    </w:p>
    <w:p w:rsidR="00E313BA" w:rsidRDefault="00E313BA" w:rsidP="00E313BA">
      <w:pPr>
        <w:spacing w:line="360" w:lineRule="auto"/>
        <w:jc w:val="both"/>
      </w:pPr>
      <w:r>
        <w:tab/>
        <w:t>This is an appeal agains</w:t>
      </w:r>
      <w:r w:rsidR="00A05A67">
        <w:t>t the decision of an arbitrator</w:t>
      </w:r>
      <w:r>
        <w:t xml:space="preserve"> wherein the Arbitrator set aside</w:t>
      </w:r>
      <w:r w:rsidR="00A05A67">
        <w:t xml:space="preserve"> the employer’s decision to dismiss</w:t>
      </w:r>
      <w:r>
        <w:t xml:space="preserve"> the</w:t>
      </w:r>
      <w:r w:rsidR="00E16F1A">
        <w:t xml:space="preserve"> respondent and made an award ordering the respondent’s reinstatement with an alternative</w:t>
      </w:r>
      <w:r w:rsidR="00EC2F8B">
        <w:t xml:space="preserve"> of an award for damages should reinstatement be no longer </w:t>
      </w:r>
      <w:r w:rsidR="00C17B6D">
        <w:t>possible.  The employer was aggrieved by that determination and</w:t>
      </w:r>
      <w:r w:rsidR="00804AA6">
        <w:t xml:space="preserve"> appeals to this court on the following grounds</w:t>
      </w:r>
      <w:r w:rsidR="00387ED3">
        <w:t>:</w:t>
      </w:r>
    </w:p>
    <w:p w:rsidR="002819C8" w:rsidRDefault="002819C8" w:rsidP="00081972">
      <w:pPr>
        <w:jc w:val="both"/>
      </w:pPr>
    </w:p>
    <w:p w:rsidR="00387ED3" w:rsidRPr="00081972" w:rsidRDefault="00081972" w:rsidP="00081972">
      <w:pPr>
        <w:pStyle w:val="ListParagraph"/>
        <w:numPr>
          <w:ilvl w:val="0"/>
          <w:numId w:val="1"/>
        </w:numPr>
        <w:spacing w:line="276" w:lineRule="auto"/>
        <w:jc w:val="both"/>
        <w:rPr>
          <w:sz w:val="20"/>
          <w:szCs w:val="20"/>
        </w:rPr>
      </w:pPr>
      <w:r>
        <w:rPr>
          <w:sz w:val="20"/>
          <w:szCs w:val="20"/>
        </w:rPr>
        <w:t>“</w:t>
      </w:r>
      <w:r w:rsidR="00387ED3" w:rsidRPr="00081972">
        <w:rPr>
          <w:sz w:val="20"/>
          <w:szCs w:val="20"/>
        </w:rPr>
        <w:t>The Honourable Arbitrator erred in law when he found that the charge preferred against the Respondent was not work related but that of a social nature concerning two adults.</w:t>
      </w:r>
    </w:p>
    <w:p w:rsidR="00387ED3" w:rsidRPr="00081972" w:rsidRDefault="00387ED3" w:rsidP="00081972">
      <w:pPr>
        <w:pStyle w:val="ListParagraph"/>
        <w:numPr>
          <w:ilvl w:val="0"/>
          <w:numId w:val="1"/>
        </w:numPr>
        <w:spacing w:line="276" w:lineRule="auto"/>
        <w:jc w:val="both"/>
        <w:rPr>
          <w:sz w:val="20"/>
          <w:szCs w:val="20"/>
        </w:rPr>
      </w:pPr>
      <w:r w:rsidRPr="00081972">
        <w:rPr>
          <w:sz w:val="20"/>
          <w:szCs w:val="20"/>
        </w:rPr>
        <w:t xml:space="preserve">The Honourable </w:t>
      </w:r>
      <w:r w:rsidR="00F20EA3" w:rsidRPr="00081972">
        <w:rPr>
          <w:sz w:val="20"/>
          <w:szCs w:val="20"/>
        </w:rPr>
        <w:t>Arbitrator erred in law when he found that the decision of the Disciplinary Committee was too severe so as to induce a sense of shock.</w:t>
      </w:r>
    </w:p>
    <w:p w:rsidR="00F20EA3" w:rsidRPr="00081972" w:rsidRDefault="00F20EA3" w:rsidP="00081972">
      <w:pPr>
        <w:pStyle w:val="ListParagraph"/>
        <w:numPr>
          <w:ilvl w:val="0"/>
          <w:numId w:val="1"/>
        </w:numPr>
        <w:spacing w:line="276" w:lineRule="auto"/>
        <w:jc w:val="both"/>
        <w:rPr>
          <w:sz w:val="20"/>
          <w:szCs w:val="20"/>
        </w:rPr>
      </w:pPr>
      <w:r w:rsidRPr="00081972">
        <w:rPr>
          <w:sz w:val="20"/>
          <w:szCs w:val="20"/>
        </w:rPr>
        <w:t>The Honourable Arbitrator seriously</w:t>
      </w:r>
      <w:r w:rsidR="00F60B6B" w:rsidRPr="00081972">
        <w:rPr>
          <w:sz w:val="20"/>
          <w:szCs w:val="20"/>
        </w:rPr>
        <w:t xml:space="preserve"> misdirected himself when he proceeded on the basis that the Respondent’s dismissal had been prompted by the financial prejudice on the part of the Appellant and also a breakdown of the relationship between Respondent and one Ruvarashe Hwanyanya (“</w:t>
      </w:r>
      <w:r w:rsidR="00F60B6B" w:rsidRPr="00081972">
        <w:rPr>
          <w:i/>
          <w:sz w:val="20"/>
          <w:szCs w:val="20"/>
        </w:rPr>
        <w:t>Hwanyanya</w:t>
      </w:r>
      <w:r w:rsidR="00F60B6B" w:rsidRPr="00081972">
        <w:rPr>
          <w:sz w:val="20"/>
          <w:szCs w:val="20"/>
        </w:rPr>
        <w:t>”).</w:t>
      </w:r>
    </w:p>
    <w:p w:rsidR="002819C8" w:rsidRPr="00081972" w:rsidRDefault="002819C8" w:rsidP="00081972">
      <w:pPr>
        <w:pStyle w:val="ListParagraph"/>
        <w:numPr>
          <w:ilvl w:val="0"/>
          <w:numId w:val="1"/>
        </w:numPr>
        <w:spacing w:line="276" w:lineRule="auto"/>
        <w:jc w:val="both"/>
        <w:rPr>
          <w:sz w:val="20"/>
          <w:szCs w:val="20"/>
        </w:rPr>
      </w:pPr>
      <w:r w:rsidRPr="00081972">
        <w:rPr>
          <w:sz w:val="20"/>
          <w:szCs w:val="20"/>
        </w:rPr>
        <w:t xml:space="preserve">The Honourable </w:t>
      </w:r>
      <w:r w:rsidR="003D79DE" w:rsidRPr="00081972">
        <w:rPr>
          <w:sz w:val="20"/>
          <w:szCs w:val="20"/>
        </w:rPr>
        <w:t>Arbitrator erred in law when he found that the Appellant violated Section 7 (a) (i) of S.I. 15/06 when it imposed the penalty of dismissal against the Respondent.</w:t>
      </w:r>
    </w:p>
    <w:p w:rsidR="003D79DE" w:rsidRPr="00081972" w:rsidRDefault="003D79DE" w:rsidP="00081972">
      <w:pPr>
        <w:pStyle w:val="ListParagraph"/>
        <w:numPr>
          <w:ilvl w:val="0"/>
          <w:numId w:val="1"/>
        </w:numPr>
        <w:spacing w:line="276" w:lineRule="auto"/>
        <w:jc w:val="both"/>
        <w:rPr>
          <w:sz w:val="20"/>
          <w:szCs w:val="20"/>
        </w:rPr>
      </w:pPr>
      <w:r w:rsidRPr="00081972">
        <w:rPr>
          <w:sz w:val="20"/>
          <w:szCs w:val="20"/>
        </w:rPr>
        <w:t>The Honourable Arbitrator erred in law when he found that the Appellant ought to have protected its reputation through transferring the Respondent to another Station as opposed to issuing the penalty of dismissal.</w:t>
      </w:r>
    </w:p>
    <w:p w:rsidR="003D79DE" w:rsidRPr="00081972" w:rsidRDefault="003D79DE" w:rsidP="00081972">
      <w:pPr>
        <w:pStyle w:val="ListParagraph"/>
        <w:numPr>
          <w:ilvl w:val="0"/>
          <w:numId w:val="1"/>
        </w:numPr>
        <w:spacing w:line="276" w:lineRule="auto"/>
        <w:jc w:val="both"/>
        <w:rPr>
          <w:sz w:val="20"/>
          <w:szCs w:val="20"/>
        </w:rPr>
      </w:pPr>
      <w:r w:rsidRPr="00081972">
        <w:rPr>
          <w:sz w:val="20"/>
          <w:szCs w:val="20"/>
        </w:rPr>
        <w:lastRenderedPageBreak/>
        <w:t>The Honourable Arbitrator erred in law when he found that the Disciplinary Committee did not allow Respondent to address it in mitigation.  In view of the undisputed evidence, such a finding was so grossly unreasonable that no court applying its mind to the facts would have arrived at the conclusion.</w:t>
      </w:r>
    </w:p>
    <w:p w:rsidR="0061697C" w:rsidRPr="00081972" w:rsidRDefault="0061697C" w:rsidP="00081972">
      <w:pPr>
        <w:pStyle w:val="ListParagraph"/>
        <w:numPr>
          <w:ilvl w:val="0"/>
          <w:numId w:val="1"/>
        </w:numPr>
        <w:spacing w:line="276" w:lineRule="auto"/>
        <w:jc w:val="both"/>
        <w:rPr>
          <w:sz w:val="20"/>
          <w:szCs w:val="20"/>
        </w:rPr>
      </w:pPr>
      <w:r w:rsidRPr="00081972">
        <w:rPr>
          <w:sz w:val="20"/>
          <w:szCs w:val="20"/>
        </w:rPr>
        <w:t>The Honourable Arbitrator erred in law when he found that the Appellant had failed to follow the prescribed procedure when it dismissed the Respondent.</w:t>
      </w:r>
    </w:p>
    <w:p w:rsidR="0061697C" w:rsidRPr="00081972" w:rsidRDefault="0061697C" w:rsidP="00081972">
      <w:pPr>
        <w:pStyle w:val="ListParagraph"/>
        <w:numPr>
          <w:ilvl w:val="0"/>
          <w:numId w:val="1"/>
        </w:numPr>
        <w:spacing w:line="276" w:lineRule="auto"/>
        <w:jc w:val="both"/>
        <w:rPr>
          <w:sz w:val="20"/>
          <w:szCs w:val="20"/>
        </w:rPr>
      </w:pPr>
      <w:r w:rsidRPr="00081972">
        <w:rPr>
          <w:sz w:val="20"/>
          <w:szCs w:val="20"/>
        </w:rPr>
        <w:t>The Honourable Arbitrator seriously misdirected himself when he proceeded on the basis that one Ruv</w:t>
      </w:r>
      <w:r w:rsidR="008D775E" w:rsidRPr="00081972">
        <w:rPr>
          <w:sz w:val="20"/>
          <w:szCs w:val="20"/>
        </w:rPr>
        <w:t>arashe Hwanyanya had published her H.I.V test results with a view to enticing the Respondent into marriage.</w:t>
      </w:r>
    </w:p>
    <w:p w:rsidR="00FB08CE" w:rsidRPr="00081972" w:rsidRDefault="004E1E88" w:rsidP="00081972">
      <w:pPr>
        <w:pStyle w:val="ListParagraph"/>
        <w:numPr>
          <w:ilvl w:val="0"/>
          <w:numId w:val="1"/>
        </w:numPr>
        <w:spacing w:line="276" w:lineRule="auto"/>
        <w:jc w:val="both"/>
        <w:rPr>
          <w:sz w:val="20"/>
          <w:szCs w:val="20"/>
        </w:rPr>
      </w:pPr>
      <w:r w:rsidRPr="00081972">
        <w:rPr>
          <w:sz w:val="20"/>
          <w:szCs w:val="20"/>
        </w:rPr>
        <w:t>The Honourable Arbitrator seriously misdirected himself when he proceeded on the basis that the dismissal of the Respondent was at the instance of Hwanyanya as a way of seeking relief against the Responden</w:t>
      </w:r>
      <w:r w:rsidR="00FB08CE" w:rsidRPr="00081972">
        <w:rPr>
          <w:sz w:val="20"/>
          <w:szCs w:val="20"/>
        </w:rPr>
        <w:t>t.</w:t>
      </w:r>
    </w:p>
    <w:p w:rsidR="00FB08CE" w:rsidRDefault="00FB08CE" w:rsidP="00081972">
      <w:pPr>
        <w:jc w:val="both"/>
      </w:pPr>
    </w:p>
    <w:p w:rsidR="00872F8F" w:rsidRDefault="00872F8F" w:rsidP="00872F8F">
      <w:pPr>
        <w:jc w:val="both"/>
      </w:pPr>
    </w:p>
    <w:p w:rsidR="006F4F64" w:rsidRDefault="006F4F64" w:rsidP="00872F8F">
      <w:pPr>
        <w:jc w:val="both"/>
      </w:pPr>
    </w:p>
    <w:p w:rsidR="00FB08CE" w:rsidRDefault="00FB08CE" w:rsidP="00985BCB">
      <w:pPr>
        <w:spacing w:line="360" w:lineRule="auto"/>
        <w:ind w:firstLine="720"/>
        <w:jc w:val="both"/>
      </w:pPr>
      <w:r>
        <w:t>The brief</w:t>
      </w:r>
      <w:r w:rsidR="0044521D">
        <w:t xml:space="preserve"> facts of the case are that the</w:t>
      </w:r>
      <w:r>
        <w:t xml:space="preserve"> respondent was </w:t>
      </w:r>
      <w:r w:rsidR="0044521D">
        <w:t xml:space="preserve">the Director </w:t>
      </w:r>
      <w:r>
        <w:t>of its Community Based Voluntary Testi</w:t>
      </w:r>
      <w:r w:rsidR="00744D12">
        <w:t xml:space="preserve">ng and </w:t>
      </w:r>
      <w:r w:rsidR="00FD0518">
        <w:t>Counseling</w:t>
      </w:r>
      <w:r w:rsidR="00744D12">
        <w:t xml:space="preserve"> </w:t>
      </w:r>
      <w:proofErr w:type="spellStart"/>
      <w:r w:rsidR="00744D12">
        <w:t>Programme</w:t>
      </w:r>
      <w:proofErr w:type="spellEnd"/>
      <w:r w:rsidR="00744D12">
        <w:t xml:space="preserve"> </w:t>
      </w:r>
      <w:r w:rsidR="0044521D">
        <w:t>(</w:t>
      </w:r>
      <w:r w:rsidR="00A57796">
        <w:t>CBVCT</w:t>
      </w:r>
      <w:r w:rsidR="0044521D">
        <w:t>). He</w:t>
      </w:r>
      <w:r w:rsidR="00744D12">
        <w:t xml:space="preserve"> was based</w:t>
      </w:r>
      <w:r w:rsidR="007A4EBD">
        <w:t xml:space="preserve"> a</w:t>
      </w:r>
      <w:r w:rsidR="00A57796">
        <w:t xml:space="preserve">t Mutoko Centre.  The </w:t>
      </w:r>
      <w:proofErr w:type="spellStart"/>
      <w:r w:rsidR="00A57796">
        <w:t>programme</w:t>
      </w:r>
      <w:proofErr w:type="spellEnd"/>
      <w:r w:rsidR="007A4EBD">
        <w:t xml:space="preserve"> focused</w:t>
      </w:r>
      <w:r w:rsidR="0044521D">
        <w:t xml:space="preserve"> on</w:t>
      </w:r>
      <w:r w:rsidR="007A4EBD">
        <w:t xml:space="preserve"> studying behavior patterns with a view to preventing H.I.V. and </w:t>
      </w:r>
      <w:r w:rsidR="00EA4C0D">
        <w:t xml:space="preserve">Aids infections.  </w:t>
      </w:r>
      <w:r w:rsidR="00E231DC">
        <w:t>Persons</w:t>
      </w:r>
      <w:r w:rsidR="00EA4C0D">
        <w:t xml:space="preserve"> came to the Appellant’s New Start </w:t>
      </w:r>
      <w:r w:rsidR="00081972">
        <w:t>Centre</w:t>
      </w:r>
      <w:r w:rsidR="00E231DC">
        <w:t xml:space="preserve"> for testing</w:t>
      </w:r>
      <w:r w:rsidR="00081972">
        <w:t>. One</w:t>
      </w:r>
      <w:r w:rsidR="00985BCB">
        <w:t xml:space="preserve"> such person was a woman called </w:t>
      </w:r>
      <w:proofErr w:type="spellStart"/>
      <w:r w:rsidR="00985BCB">
        <w:t>Ruvarashe</w:t>
      </w:r>
      <w:proofErr w:type="spellEnd"/>
      <w:r w:rsidR="00985BCB">
        <w:t xml:space="preserve"> </w:t>
      </w:r>
      <w:proofErr w:type="spellStart"/>
      <w:r w:rsidR="00985BCB">
        <w:t>Hwanyanya</w:t>
      </w:r>
      <w:proofErr w:type="spellEnd"/>
      <w:r w:rsidR="000C6C16">
        <w:t xml:space="preserve"> (</w:t>
      </w:r>
      <w:proofErr w:type="spellStart"/>
      <w:r w:rsidR="000C6C16">
        <w:t>Hwanyanya</w:t>
      </w:r>
      <w:proofErr w:type="spellEnd"/>
      <w:r w:rsidR="000C6C16">
        <w:t>)</w:t>
      </w:r>
      <w:r w:rsidR="00985BCB">
        <w:t>.</w:t>
      </w:r>
    </w:p>
    <w:p w:rsidR="00FD0518" w:rsidRDefault="00FD0518" w:rsidP="00FD0518">
      <w:pPr>
        <w:ind w:firstLine="720"/>
        <w:jc w:val="both"/>
      </w:pPr>
    </w:p>
    <w:p w:rsidR="00985BCB" w:rsidRDefault="00985BCB" w:rsidP="00985BCB">
      <w:pPr>
        <w:spacing w:line="360" w:lineRule="auto"/>
        <w:ind w:firstLine="720"/>
        <w:jc w:val="both"/>
      </w:pPr>
      <w:r>
        <w:t xml:space="preserve">The respondent developed a relationship with </w:t>
      </w:r>
      <w:proofErr w:type="spellStart"/>
      <w:r>
        <w:t>Hwanyanya</w:t>
      </w:r>
      <w:proofErr w:type="spellEnd"/>
      <w:r w:rsidR="00A01211">
        <w:t xml:space="preserve">. The relationship developed outside </w:t>
      </w:r>
      <w:r w:rsidR="006F4F64">
        <w:t>or away</w:t>
      </w:r>
      <w:r w:rsidR="00A01211">
        <w:t xml:space="preserve"> from the workplace.  This resulted</w:t>
      </w:r>
      <w:r>
        <w:t xml:space="preserve"> in the birth of a child.  Respondent denied paternity</w:t>
      </w:r>
      <w:r w:rsidR="005E55F5">
        <w:t xml:space="preserve"> and responsibility for that minor child</w:t>
      </w:r>
      <w:r>
        <w:t>.  That is when Hwanyanya reported the respondent to his employers</w:t>
      </w:r>
      <w:r w:rsidR="00200A5F">
        <w:t>. This led</w:t>
      </w:r>
      <w:r>
        <w:t xml:space="preserve"> to disciplinary proceedings being conducted against him.  The respondent was charged for </w:t>
      </w:r>
      <w:r w:rsidR="00081972">
        <w:t>violating</w:t>
      </w:r>
      <w:r>
        <w:t xml:space="preserve"> Section 4 (a) of the National Code of Conduct Statutory Instrument 15 of 2006.  He was charged thus</w:t>
      </w:r>
      <w:r w:rsidR="00200A5F">
        <w:t xml:space="preserve"> (page 36):</w:t>
      </w:r>
    </w:p>
    <w:p w:rsidR="006D78F6" w:rsidRDefault="006D78F6" w:rsidP="00081972">
      <w:pPr>
        <w:ind w:firstLine="720"/>
        <w:jc w:val="both"/>
      </w:pPr>
    </w:p>
    <w:p w:rsidR="006D78F6" w:rsidRPr="00081972" w:rsidRDefault="006D78F6" w:rsidP="00081972">
      <w:pPr>
        <w:spacing w:line="276" w:lineRule="auto"/>
        <w:ind w:left="720"/>
        <w:jc w:val="both"/>
        <w:rPr>
          <w:sz w:val="20"/>
          <w:szCs w:val="20"/>
        </w:rPr>
      </w:pPr>
      <w:r w:rsidRPr="00081972">
        <w:rPr>
          <w:sz w:val="20"/>
          <w:szCs w:val="20"/>
        </w:rPr>
        <w:t>“You are being charged with contravention of Section 4 (a) of SI 15 OF 2006 – a</w:t>
      </w:r>
      <w:r w:rsidR="00E80AC7">
        <w:rPr>
          <w:sz w:val="20"/>
          <w:szCs w:val="20"/>
        </w:rPr>
        <w:t>n act of conduct or omission in</w:t>
      </w:r>
      <w:r w:rsidRPr="00081972">
        <w:rPr>
          <w:sz w:val="20"/>
          <w:szCs w:val="20"/>
        </w:rPr>
        <w:t xml:space="preserve">consistent with the </w:t>
      </w:r>
      <w:r w:rsidR="006E4487" w:rsidRPr="00081972">
        <w:rPr>
          <w:sz w:val="20"/>
          <w:szCs w:val="20"/>
        </w:rPr>
        <w:t xml:space="preserve">fulfillment of the express conditions of </w:t>
      </w:r>
      <w:r w:rsidR="00C87957">
        <w:rPr>
          <w:sz w:val="20"/>
          <w:szCs w:val="20"/>
        </w:rPr>
        <w:t>your contract; the condition</w:t>
      </w:r>
      <w:r w:rsidR="006F4F64">
        <w:rPr>
          <w:sz w:val="20"/>
          <w:szCs w:val="20"/>
        </w:rPr>
        <w:t>s</w:t>
      </w:r>
      <w:r w:rsidR="00C87957">
        <w:rPr>
          <w:sz w:val="20"/>
          <w:szCs w:val="20"/>
        </w:rPr>
        <w:t xml:space="preserve"> </w:t>
      </w:r>
      <w:r w:rsidR="006E4487" w:rsidRPr="00081972">
        <w:rPr>
          <w:sz w:val="20"/>
          <w:szCs w:val="20"/>
        </w:rPr>
        <w:t>which are that you had an impropriate</w:t>
      </w:r>
      <w:r w:rsidR="008F6133">
        <w:rPr>
          <w:sz w:val="20"/>
          <w:szCs w:val="20"/>
        </w:rPr>
        <w:t xml:space="preserve"> relationship with a potential/S</w:t>
      </w:r>
      <w:r w:rsidR="006E4487" w:rsidRPr="00081972">
        <w:rPr>
          <w:sz w:val="20"/>
          <w:szCs w:val="20"/>
        </w:rPr>
        <w:t xml:space="preserve">tudy participant </w:t>
      </w:r>
      <w:proofErr w:type="spellStart"/>
      <w:r w:rsidR="006E4487" w:rsidRPr="00081972">
        <w:rPr>
          <w:sz w:val="20"/>
          <w:szCs w:val="20"/>
        </w:rPr>
        <w:t>Ruvarashe</w:t>
      </w:r>
      <w:proofErr w:type="spellEnd"/>
      <w:r w:rsidR="006E4487" w:rsidRPr="00081972">
        <w:rPr>
          <w:sz w:val="20"/>
          <w:szCs w:val="20"/>
        </w:rPr>
        <w:t xml:space="preserve"> </w:t>
      </w:r>
      <w:proofErr w:type="spellStart"/>
      <w:r w:rsidR="006E4487" w:rsidRPr="00081972">
        <w:rPr>
          <w:sz w:val="20"/>
          <w:szCs w:val="20"/>
        </w:rPr>
        <w:t>Hwanyanya</w:t>
      </w:r>
      <w:proofErr w:type="spellEnd"/>
      <w:r w:rsidR="006E4487" w:rsidRPr="00081972">
        <w:rPr>
          <w:sz w:val="20"/>
          <w:szCs w:val="20"/>
        </w:rPr>
        <w:t xml:space="preserve"> who subsequently fell pregnant and you denied responsibility.”</w:t>
      </w:r>
    </w:p>
    <w:p w:rsidR="00BF26D2" w:rsidRDefault="00BF26D2" w:rsidP="0082768C">
      <w:pPr>
        <w:ind w:firstLine="720"/>
        <w:jc w:val="both"/>
      </w:pPr>
    </w:p>
    <w:p w:rsidR="00A57796" w:rsidRDefault="00C658FB" w:rsidP="00985BCB">
      <w:pPr>
        <w:spacing w:line="360" w:lineRule="auto"/>
        <w:ind w:firstLine="720"/>
        <w:jc w:val="both"/>
      </w:pPr>
      <w:r>
        <w:t>As</w:t>
      </w:r>
      <w:r w:rsidR="00BF26D2">
        <w:t xml:space="preserve"> noted earlier, the respondent was dismissed from employment leading to the matter being arbitrated upon.  The Learned Arbitrator made a finding, among others, that the relationship between respondent and Hwanyanya occurred</w:t>
      </w:r>
      <w:r w:rsidR="000D20E8">
        <w:t xml:space="preserve"> between two </w:t>
      </w:r>
      <w:r w:rsidR="00ED1B41">
        <w:t>consenting</w:t>
      </w:r>
      <w:r w:rsidR="000D20E8">
        <w:t xml:space="preserve"> adults.  The Learned Arbitrator noted that the respondent was </w:t>
      </w:r>
      <w:r w:rsidR="000D20E8">
        <w:lastRenderedPageBreak/>
        <w:t xml:space="preserve">suspended from duty twice.  </w:t>
      </w:r>
      <w:r w:rsidR="001F4B63">
        <w:t xml:space="preserve"> The Learned Arbitrator observed that t</w:t>
      </w:r>
      <w:r w:rsidR="000D20E8">
        <w:t xml:space="preserve">he appellant leveled misconduct charges against the respondent but did not follow the matter to finality.  Neither did it withdraw those </w:t>
      </w:r>
      <w:r>
        <w:t xml:space="preserve">initial </w:t>
      </w:r>
      <w:r w:rsidR="000D20E8">
        <w:t>charges.  Without having</w:t>
      </w:r>
      <w:r w:rsidR="004925FA">
        <w:t xml:space="preserve"> </w:t>
      </w:r>
      <w:r w:rsidR="001F4B63">
        <w:t>not so</w:t>
      </w:r>
      <w:r w:rsidR="000D20E8">
        <w:t xml:space="preserve"> </w:t>
      </w:r>
      <w:r w:rsidR="004925FA">
        <w:t>with</w:t>
      </w:r>
      <w:r w:rsidR="001F4B63">
        <w:t>drawn the</w:t>
      </w:r>
      <w:r w:rsidR="000D20E8">
        <w:t xml:space="preserve"> initial charges the appellant proceeded to level the charges which led to the present proceedings.  The Learned Arbitrator noted that once a charge has been preferred, Section </w:t>
      </w:r>
      <w:r w:rsidR="00D467A6">
        <w:t>6 (2</w:t>
      </w:r>
      <w:r w:rsidR="00C42263">
        <w:t>) (a) and (b)</w:t>
      </w:r>
      <w:r w:rsidR="00F87FAF">
        <w:t xml:space="preserve"> of SI 15/06 require either</w:t>
      </w:r>
      <w:r w:rsidR="000D20E8">
        <w:t xml:space="preserve"> completion of the </w:t>
      </w:r>
      <w:r w:rsidR="004862C2">
        <w:t xml:space="preserve">whole process or a withdrawal of the charges.  </w:t>
      </w:r>
    </w:p>
    <w:p w:rsidR="00A57796" w:rsidRDefault="00A57796" w:rsidP="00A57796">
      <w:pPr>
        <w:ind w:firstLine="720"/>
        <w:jc w:val="both"/>
      </w:pPr>
    </w:p>
    <w:p w:rsidR="00BF26D2" w:rsidRDefault="004862C2" w:rsidP="00985BCB">
      <w:pPr>
        <w:spacing w:line="360" w:lineRule="auto"/>
        <w:ind w:firstLine="720"/>
        <w:jc w:val="both"/>
      </w:pPr>
      <w:r>
        <w:t>It is also to be noted that the said Hwanyanya in a letter dated 6 June 2006 (p37)</w:t>
      </w:r>
      <w:r w:rsidR="0073046E">
        <w:t>,</w:t>
      </w:r>
      <w:r>
        <w:t xml:space="preserve"> distanced herself from a letter dated 15</w:t>
      </w:r>
      <w:r w:rsidRPr="004862C2">
        <w:rPr>
          <w:vertAlign w:val="superscript"/>
        </w:rPr>
        <w:t>th</w:t>
      </w:r>
      <w:r>
        <w:t xml:space="preserve"> March 2006 which is the basis of the disciplinary proceedings. </w:t>
      </w:r>
      <w:r w:rsidR="0073046E">
        <w:t>In other words the appellant could not meaningful charge the respondent in the presence of such conflicting reports.</w:t>
      </w:r>
      <w:r>
        <w:t xml:space="preserve"> The arbitrator noted that the Civil Courts dismissed the said Hwanyanya’s application for</w:t>
      </w:r>
      <w:r w:rsidR="00C340CA">
        <w:t xml:space="preserve"> maintenance of her minor child by the respondent.  The Learned Arbitrator made a finding that the reason for the disciplinary</w:t>
      </w:r>
      <w:r w:rsidR="0073046E">
        <w:t xml:space="preserve"> proceeding</w:t>
      </w:r>
      <w:r w:rsidR="00C340CA">
        <w:t xml:space="preserve"> being </w:t>
      </w:r>
      <w:r w:rsidR="0073046E">
        <w:t>conducted</w:t>
      </w:r>
      <w:r w:rsidR="00C340CA">
        <w:t xml:space="preserve"> against the respondent emanated</w:t>
      </w:r>
      <w:r w:rsidR="00ED1B41">
        <w:t xml:space="preserve"> from the fact that the relationship between respondent and </w:t>
      </w:r>
      <w:proofErr w:type="spellStart"/>
      <w:r w:rsidR="00ED1B41">
        <w:t>Hwanyanya</w:t>
      </w:r>
      <w:proofErr w:type="spellEnd"/>
      <w:r w:rsidR="00642C32">
        <w:t xml:space="preserve"> had broken down. </w:t>
      </w:r>
      <w:r w:rsidR="00570160">
        <w:t xml:space="preserve"> </w:t>
      </w:r>
      <w:r w:rsidR="0073046E">
        <w:t>In the result t</w:t>
      </w:r>
      <w:r w:rsidR="00570160">
        <w:t>he Learned Arbitrator</w:t>
      </w:r>
      <w:r w:rsidR="00CA34AF">
        <w:t>,</w:t>
      </w:r>
      <w:r w:rsidR="00570160">
        <w:t xml:space="preserve"> while</w:t>
      </w:r>
      <w:r w:rsidR="00A77914">
        <w:t xml:space="preserve"> </w:t>
      </w:r>
      <w:r w:rsidR="00E42E7F">
        <w:t>accepting</w:t>
      </w:r>
      <w:r w:rsidR="00570160">
        <w:t xml:space="preserve"> that what the respondent did was </w:t>
      </w:r>
      <w:r w:rsidR="00E42E7F">
        <w:t xml:space="preserve">morally </w:t>
      </w:r>
      <w:r w:rsidR="00570160">
        <w:t>reprehensible,</w:t>
      </w:r>
      <w:r w:rsidR="00CA34AF">
        <w:t xml:space="preserve"> made a finding</w:t>
      </w:r>
      <w:r w:rsidR="00570160">
        <w:t xml:space="preserve"> that did</w:t>
      </w:r>
      <w:r w:rsidR="00E42E7F">
        <w:t xml:space="preserve"> it</w:t>
      </w:r>
      <w:r w:rsidR="00570160">
        <w:t xml:space="preserve"> not amount to a violation of section 4 of SI 15/06.  It was a finding of the Learned Arbitrator that there was no proof that the respondent did not satisfactorily discharge his contractual obligations nor was it alleged that the said relationship was consummated during working hours.  Thus the</w:t>
      </w:r>
      <w:r w:rsidR="00F95608">
        <w:t xml:space="preserve"> Learned Arbitrator concluded that this was a civil matter and not a labour matter.</w:t>
      </w:r>
    </w:p>
    <w:p w:rsidR="00BF6964" w:rsidRDefault="00BF6964" w:rsidP="0082768C">
      <w:pPr>
        <w:ind w:firstLine="720"/>
        <w:jc w:val="both"/>
      </w:pPr>
    </w:p>
    <w:p w:rsidR="00642C32" w:rsidRDefault="002075DE" w:rsidP="00985BCB">
      <w:pPr>
        <w:spacing w:line="360" w:lineRule="auto"/>
        <w:ind w:firstLine="720"/>
        <w:jc w:val="both"/>
      </w:pPr>
      <w:r>
        <w:t xml:space="preserve">It is instructive to note that the respondent was disciplined for engaging in an inappropriate </w:t>
      </w:r>
      <w:r w:rsidR="0087406C">
        <w:t>relationship with a “potential/S</w:t>
      </w:r>
      <w:r>
        <w:t xml:space="preserve">tudy participant.”  This makes it unclear as to </w:t>
      </w:r>
      <w:r w:rsidR="00FF080B">
        <w:t>whether or not the relationship enga</w:t>
      </w:r>
      <w:r w:rsidR="00517BD3">
        <w:t>ged in was with a participant or</w:t>
      </w:r>
      <w:r w:rsidR="00FF080B">
        <w:t xml:space="preserve"> a non participant of the appellant</w:t>
      </w:r>
      <w:r w:rsidR="0087406C">
        <w:t>’s</w:t>
      </w:r>
      <w:r w:rsidR="00FF080B">
        <w:t xml:space="preserve"> program.  </w:t>
      </w:r>
    </w:p>
    <w:p w:rsidR="00642C32" w:rsidRDefault="00642C32" w:rsidP="00642C32">
      <w:pPr>
        <w:ind w:firstLine="720"/>
        <w:jc w:val="both"/>
      </w:pPr>
    </w:p>
    <w:p w:rsidR="00BF6964" w:rsidRDefault="002075DE" w:rsidP="00985BCB">
      <w:pPr>
        <w:spacing w:line="360" w:lineRule="auto"/>
        <w:ind w:firstLine="720"/>
        <w:jc w:val="both"/>
      </w:pPr>
      <w:r>
        <w:t xml:space="preserve">  The respondent’s position is that the said Hwanyany</w:t>
      </w:r>
      <w:r w:rsidR="00080D64">
        <w:t xml:space="preserve">a was not part of the program. </w:t>
      </w:r>
      <w:r>
        <w:t xml:space="preserve">  Obviously the </w:t>
      </w:r>
      <w:r w:rsidR="00444ADA">
        <w:t xml:space="preserve">respondent’s moral </w:t>
      </w:r>
      <w:r w:rsidR="008968A9">
        <w:t>blameworthiness</w:t>
      </w:r>
      <w:r w:rsidR="0076064D">
        <w:t xml:space="preserve"> is high</w:t>
      </w:r>
      <w:r w:rsidR="007E2F58">
        <w:t xml:space="preserve">. </w:t>
      </w:r>
      <w:r w:rsidR="0076064D">
        <w:t xml:space="preserve"> </w:t>
      </w:r>
      <w:r w:rsidR="007E2F58">
        <w:t>However</w:t>
      </w:r>
      <w:r w:rsidR="0076064D">
        <w:t xml:space="preserve"> that happened outside the workplace.  That was the </w:t>
      </w:r>
      <w:r w:rsidR="00FD0518">
        <w:t>finding</w:t>
      </w:r>
      <w:r w:rsidR="0076064D">
        <w:t xml:space="preserve"> of the Learned Arbitrator</w:t>
      </w:r>
      <w:r w:rsidR="007E2F58">
        <w:t>.</w:t>
      </w:r>
      <w:r w:rsidR="0076064D">
        <w:t xml:space="preserve"> </w:t>
      </w:r>
      <w:r w:rsidR="009C7D16">
        <w:t>I mak</w:t>
      </w:r>
      <w:r w:rsidR="0076064D">
        <w:t>e a similar observation.  There was, as the Arbitrator found</w:t>
      </w:r>
      <w:r w:rsidR="009C7D16">
        <w:t>,</w:t>
      </w:r>
      <w:r w:rsidR="0076064D">
        <w:t xml:space="preserve"> no evidence led to </w:t>
      </w:r>
      <w:r w:rsidR="0076064D">
        <w:lastRenderedPageBreak/>
        <w:t xml:space="preserve">prove that as a result of the respondent’s conduct, the success of the </w:t>
      </w:r>
      <w:proofErr w:type="spellStart"/>
      <w:r w:rsidR="0076064D">
        <w:t>programme</w:t>
      </w:r>
      <w:proofErr w:type="spellEnd"/>
      <w:r w:rsidR="0076064D">
        <w:t xml:space="preserve"> was compromised</w:t>
      </w:r>
      <w:r w:rsidR="009C7D16">
        <w:t xml:space="preserve"> say,</w:t>
      </w:r>
      <w:r w:rsidR="0076064D">
        <w:t xml:space="preserve"> for example</w:t>
      </w:r>
      <w:r w:rsidR="00F25E7F">
        <w:t>,</w:t>
      </w:r>
      <w:r w:rsidR="0076064D">
        <w:t xml:space="preserve"> with the consequence that participants withdrew from</w:t>
      </w:r>
      <w:r w:rsidR="00CB1F6C">
        <w:t xml:space="preserve"> the program</w:t>
      </w:r>
      <w:r w:rsidR="00517BD3">
        <w:t>.</w:t>
      </w:r>
      <w:r w:rsidR="00CB1F6C">
        <w:t xml:space="preserve"> </w:t>
      </w:r>
    </w:p>
    <w:p w:rsidR="00642C32" w:rsidRDefault="00642C32" w:rsidP="00642C32">
      <w:pPr>
        <w:ind w:firstLine="720"/>
        <w:jc w:val="both"/>
      </w:pPr>
    </w:p>
    <w:p w:rsidR="009104E2" w:rsidRDefault="009104E2" w:rsidP="009104E2">
      <w:pPr>
        <w:spacing w:line="360" w:lineRule="auto"/>
        <w:ind w:firstLine="720"/>
        <w:jc w:val="both"/>
      </w:pPr>
      <w:r>
        <w:t xml:space="preserve">In </w:t>
      </w:r>
      <w:proofErr w:type="spellStart"/>
      <w:r>
        <w:rPr>
          <w:i/>
        </w:rPr>
        <w:t>Chinyange</w:t>
      </w:r>
      <w:proofErr w:type="spellEnd"/>
      <w:r>
        <w:t xml:space="preserve"> v </w:t>
      </w:r>
      <w:proofErr w:type="spellStart"/>
      <w:r w:rsidRPr="00E553F4">
        <w:rPr>
          <w:i/>
        </w:rPr>
        <w:t>Jaggers</w:t>
      </w:r>
      <w:proofErr w:type="spellEnd"/>
      <w:r w:rsidRPr="00E553F4">
        <w:rPr>
          <w:i/>
        </w:rPr>
        <w:t xml:space="preserve"> Wholesalers</w:t>
      </w:r>
      <w:r>
        <w:t xml:space="preserve"> SC 24/04 the Supreme Court stated that where </w:t>
      </w:r>
      <w:proofErr w:type="gramStart"/>
      <w:r>
        <w:t>a misdirection</w:t>
      </w:r>
      <w:proofErr w:type="gramEnd"/>
      <w:r>
        <w:t xml:space="preserve"> has been alleged the appellant must show</w:t>
      </w:r>
      <w:r w:rsidR="00F25E7F">
        <w:t xml:space="preserve"> or prove</w:t>
      </w:r>
      <w:r>
        <w:t xml:space="preserve"> that the misdirection </w:t>
      </w:r>
      <w:r w:rsidR="00F25E7F">
        <w:t>amounts to</w:t>
      </w:r>
      <w:r>
        <w:t xml:space="preserve"> point of law.  No misdirection has been proved against the Learned Arbitrator</w:t>
      </w:r>
      <w:r w:rsidR="00642C32">
        <w:t>’s</w:t>
      </w:r>
      <w:r>
        <w:t xml:space="preserve"> findings.</w:t>
      </w:r>
    </w:p>
    <w:p w:rsidR="00642C32" w:rsidRDefault="00642C32" w:rsidP="00642C32">
      <w:pPr>
        <w:ind w:firstLine="720"/>
        <w:jc w:val="both"/>
      </w:pPr>
    </w:p>
    <w:p w:rsidR="009104E2" w:rsidRDefault="009104E2" w:rsidP="009104E2">
      <w:pPr>
        <w:spacing w:line="360" w:lineRule="auto"/>
        <w:ind w:firstLine="720"/>
        <w:jc w:val="both"/>
      </w:pPr>
      <w:r>
        <w:t xml:space="preserve">It </w:t>
      </w:r>
      <w:r w:rsidR="00DF25DA">
        <w:t>would appear</w:t>
      </w:r>
      <w:r>
        <w:t xml:space="preserve"> from the facts that </w:t>
      </w:r>
      <w:proofErr w:type="spellStart"/>
      <w:r>
        <w:t>Hwanyanya</w:t>
      </w:r>
      <w:proofErr w:type="spellEnd"/>
      <w:r>
        <w:t xml:space="preserve"> was aggrieved by the respondent’s failure to marry her and also his failure to maintain her minor child.  Clearly there is a grievance but that is of a civil nature. This court has no jurisdiction </w:t>
      </w:r>
      <w:r w:rsidR="00642C32">
        <w:t xml:space="preserve">to </w:t>
      </w:r>
      <w:r>
        <w:t>deal with civil matter</w:t>
      </w:r>
      <w:r w:rsidR="00642C32">
        <w:t>s</w:t>
      </w:r>
      <w:r>
        <w:t xml:space="preserve">. </w:t>
      </w:r>
      <w:r w:rsidR="00642C32">
        <w:t>So</w:t>
      </w:r>
      <w:r>
        <w:t xml:space="preserve"> had the respondent accepted responsibility, </w:t>
      </w:r>
      <w:proofErr w:type="spellStart"/>
      <w:r>
        <w:t>Hwanyanya</w:t>
      </w:r>
      <w:proofErr w:type="spellEnd"/>
      <w:r>
        <w:t xml:space="preserve"> would not have approached the appellant. </w:t>
      </w:r>
      <w:r w:rsidR="00642C32">
        <w:t>Consequently the Labour dispute</w:t>
      </w:r>
      <w:r>
        <w:t xml:space="preserve"> </w:t>
      </w:r>
      <w:r w:rsidR="00642C32">
        <w:t>re</w:t>
      </w:r>
      <w:r>
        <w:t>solution system would not have been involved.</w:t>
      </w:r>
    </w:p>
    <w:p w:rsidR="00642C32" w:rsidRDefault="00642C32" w:rsidP="00642C32">
      <w:pPr>
        <w:ind w:firstLine="720"/>
        <w:jc w:val="both"/>
      </w:pPr>
    </w:p>
    <w:p w:rsidR="009104E2" w:rsidRDefault="009104E2" w:rsidP="009104E2">
      <w:pPr>
        <w:spacing w:line="360" w:lineRule="auto"/>
        <w:ind w:firstLine="720"/>
        <w:jc w:val="both"/>
      </w:pPr>
      <w:r>
        <w:t>In Sable Chemicals Industries Limited v David Peter Easterbrook SC 18/10 the Supreme Court stated that:</w:t>
      </w:r>
    </w:p>
    <w:p w:rsidR="009104E2" w:rsidRDefault="009104E2" w:rsidP="009104E2">
      <w:pPr>
        <w:ind w:firstLine="720"/>
        <w:jc w:val="both"/>
      </w:pPr>
    </w:p>
    <w:p w:rsidR="009104E2" w:rsidRDefault="009104E2" w:rsidP="009104E2">
      <w:pPr>
        <w:spacing w:line="276" w:lineRule="auto"/>
        <w:ind w:left="720"/>
        <w:jc w:val="both"/>
        <w:rPr>
          <w:sz w:val="22"/>
          <w:szCs w:val="22"/>
        </w:rPr>
      </w:pPr>
      <w:r w:rsidRPr="00D7367F">
        <w:rPr>
          <w:sz w:val="22"/>
          <w:szCs w:val="22"/>
        </w:rPr>
        <w:t>“The position is also settled that a serious misdirection on the facts amounts to a misdirection in law as the giving of reasons that are bad in law constitu</w:t>
      </w:r>
      <w:r>
        <w:rPr>
          <w:sz w:val="22"/>
          <w:szCs w:val="22"/>
        </w:rPr>
        <w:t>tes a failure to hear and deter</w:t>
      </w:r>
      <w:r w:rsidRPr="00D7367F">
        <w:rPr>
          <w:sz w:val="22"/>
          <w:szCs w:val="22"/>
        </w:rPr>
        <w:t xml:space="preserve">mine according to law.  For an appellant to avail himself of a misdirection as to the evidence, the nature and circumstances of the case must be such that it is reasonably probable that the tribunal would not have determined as it did had there been no misdirection; in other words, that the determination was irrational – see </w:t>
      </w:r>
      <w:r w:rsidRPr="00C65E67">
        <w:rPr>
          <w:i/>
          <w:sz w:val="22"/>
          <w:szCs w:val="22"/>
        </w:rPr>
        <w:t>Hama</w:t>
      </w:r>
      <w:r w:rsidRPr="00D7367F">
        <w:rPr>
          <w:sz w:val="22"/>
          <w:szCs w:val="22"/>
        </w:rPr>
        <w:t xml:space="preserve"> v </w:t>
      </w:r>
      <w:r w:rsidRPr="00C65E67">
        <w:rPr>
          <w:i/>
          <w:sz w:val="22"/>
          <w:szCs w:val="22"/>
        </w:rPr>
        <w:t>National Railways of Zimbabwe</w:t>
      </w:r>
      <w:r w:rsidRPr="00D7367F">
        <w:rPr>
          <w:sz w:val="22"/>
          <w:szCs w:val="22"/>
        </w:rPr>
        <w:t xml:space="preserve"> 1996 (1) ZLR (S) 607 A-B”</w:t>
      </w:r>
    </w:p>
    <w:p w:rsidR="00495772" w:rsidRPr="00D7367F" w:rsidRDefault="00495772" w:rsidP="009104E2">
      <w:pPr>
        <w:spacing w:line="276" w:lineRule="auto"/>
        <w:ind w:left="720"/>
        <w:jc w:val="both"/>
        <w:rPr>
          <w:sz w:val="22"/>
          <w:szCs w:val="22"/>
        </w:rPr>
      </w:pPr>
    </w:p>
    <w:p w:rsidR="00CB1F6C" w:rsidRDefault="00495772" w:rsidP="00495772">
      <w:pPr>
        <w:spacing w:line="360" w:lineRule="auto"/>
        <w:ind w:firstLine="720"/>
        <w:jc w:val="both"/>
      </w:pPr>
      <w:r>
        <w:t>The nature and circumstances of present matter are such that the Arbitrator had to make the findings that he did.  I cannot say that the Arbitrator’s decision was irrational.</w:t>
      </w:r>
    </w:p>
    <w:p w:rsidR="00495772" w:rsidRDefault="00495772" w:rsidP="0082768C">
      <w:pPr>
        <w:ind w:firstLine="720"/>
        <w:jc w:val="both"/>
      </w:pPr>
    </w:p>
    <w:p w:rsidR="00625CF6" w:rsidRDefault="00CB1F6C" w:rsidP="00625CF6">
      <w:pPr>
        <w:spacing w:line="360" w:lineRule="auto"/>
        <w:ind w:firstLine="720"/>
        <w:jc w:val="both"/>
      </w:pPr>
      <w:r>
        <w:t>On the question of penalty,</w:t>
      </w:r>
      <w:r w:rsidR="00EC3EB6">
        <w:t xml:space="preserve"> (grounds 3</w:t>
      </w:r>
      <w:proofErr w:type="gramStart"/>
      <w:r w:rsidR="00EC3EB6">
        <w:t>,4,5</w:t>
      </w:r>
      <w:proofErr w:type="gramEnd"/>
      <w:r w:rsidR="00EC3EB6">
        <w:t>),</w:t>
      </w:r>
      <w:r>
        <w:t xml:space="preserve"> </w:t>
      </w:r>
      <w:r w:rsidR="009E0A60">
        <w:t>the law is clear.  Once an employer has taken a serious view</w:t>
      </w:r>
      <w:r w:rsidR="00517BD3">
        <w:t xml:space="preserve"> of</w:t>
      </w:r>
      <w:r w:rsidR="000E13AC">
        <w:t xml:space="preserve"> the misconduct to the exte</w:t>
      </w:r>
      <w:r w:rsidR="009E0A60">
        <w:t xml:space="preserve">nt </w:t>
      </w:r>
      <w:r w:rsidR="000E13AC">
        <w:t>that</w:t>
      </w:r>
      <w:r w:rsidR="00180039">
        <w:t xml:space="preserve"> he/it </w:t>
      </w:r>
      <w:r w:rsidR="00495772">
        <w:t>views</w:t>
      </w:r>
      <w:r w:rsidR="00180039">
        <w:t xml:space="preserve"> dismissal as the appropriate penalty, a superior court should not </w:t>
      </w:r>
      <w:r w:rsidR="00E2038C">
        <w:t>interfere</w:t>
      </w:r>
      <w:r w:rsidR="00180039">
        <w:t xml:space="preserve"> with the employer’s</w:t>
      </w:r>
      <w:r w:rsidR="00625CF6">
        <w:t xml:space="preserve"> discretion.</w:t>
      </w:r>
      <w:r w:rsidR="00EC3EB6">
        <w:t xml:space="preserve"> </w:t>
      </w:r>
      <w:r w:rsidR="00044C07">
        <w:t>[</w:t>
      </w:r>
      <w:r w:rsidR="00EC3EB6">
        <w:t>(</w:t>
      </w:r>
      <w:proofErr w:type="gramStart"/>
      <w:r w:rsidR="00EC3EB6">
        <w:t>see</w:t>
      </w:r>
      <w:proofErr w:type="gramEnd"/>
      <w:r w:rsidR="00EC3EB6">
        <w:t xml:space="preserve"> </w:t>
      </w:r>
      <w:r w:rsidR="00EC3EB6" w:rsidRPr="00EC3EB6">
        <w:rPr>
          <w:i/>
        </w:rPr>
        <w:t>Circle Cement (</w:t>
      </w:r>
      <w:proofErr w:type="spellStart"/>
      <w:r w:rsidR="00EC3EB6" w:rsidRPr="00EC3EB6">
        <w:rPr>
          <w:i/>
        </w:rPr>
        <w:t>Pvt</w:t>
      </w:r>
      <w:proofErr w:type="spellEnd"/>
      <w:r w:rsidR="00EC3EB6" w:rsidRPr="00EC3EB6">
        <w:rPr>
          <w:i/>
        </w:rPr>
        <w:t>) Ltd</w:t>
      </w:r>
      <w:r w:rsidR="00EC3EB6">
        <w:t xml:space="preserve"> v </w:t>
      </w:r>
      <w:proofErr w:type="spellStart"/>
      <w:r w:rsidR="00EC3EB6" w:rsidRPr="00EC3EB6">
        <w:rPr>
          <w:i/>
        </w:rPr>
        <w:t>Chipo</w:t>
      </w:r>
      <w:proofErr w:type="spellEnd"/>
      <w:r w:rsidR="00EC3EB6" w:rsidRPr="00EC3EB6">
        <w:rPr>
          <w:i/>
        </w:rPr>
        <w:t xml:space="preserve"> </w:t>
      </w:r>
      <w:proofErr w:type="spellStart"/>
      <w:r w:rsidR="00EC3EB6" w:rsidRPr="00EC3EB6">
        <w:rPr>
          <w:i/>
        </w:rPr>
        <w:t>Nyawasha</w:t>
      </w:r>
      <w:proofErr w:type="spellEnd"/>
      <w:r w:rsidR="00EC3EB6">
        <w:t xml:space="preserve"> SC 60-03)</w:t>
      </w:r>
      <w:r w:rsidR="00044C07">
        <w:t>]</w:t>
      </w:r>
      <w:r w:rsidR="00EC3EB6">
        <w:t>.</w:t>
      </w:r>
      <w:r w:rsidR="00625CF6">
        <w:t xml:space="preserve">  The appeal court can only interfere where an employer has improperly </w:t>
      </w:r>
      <w:r w:rsidR="00FD0518">
        <w:t>exercised</w:t>
      </w:r>
      <w:r w:rsidR="00625CF6">
        <w:t xml:space="preserve"> this </w:t>
      </w:r>
      <w:r w:rsidR="00625CF6">
        <w:lastRenderedPageBreak/>
        <w:t>discretion.  In the present case however the question of penalty would</w:t>
      </w:r>
      <w:r w:rsidR="002B2AD6">
        <w:t xml:space="preserve"> only</w:t>
      </w:r>
      <w:r w:rsidR="00625CF6">
        <w:t xml:space="preserve"> call for consideration had the conviction been supportable. The </w:t>
      </w:r>
      <w:r w:rsidR="00495772">
        <w:t>employer’s decision as correctly found by the Arbitrator is not supportable. The Arbitrator’s</w:t>
      </w:r>
      <w:r w:rsidR="00DD3C92">
        <w:t xml:space="preserve"> findings in my view are </w:t>
      </w:r>
      <w:r w:rsidR="00044C07">
        <w:t>beyond re</w:t>
      </w:r>
      <w:r w:rsidR="00DD3C92">
        <w:t xml:space="preserve">proach.  In </w:t>
      </w:r>
      <w:proofErr w:type="spellStart"/>
      <w:r w:rsidR="00DD3C92" w:rsidRPr="003F6574">
        <w:rPr>
          <w:i/>
        </w:rPr>
        <w:t>Passmore</w:t>
      </w:r>
      <w:proofErr w:type="spellEnd"/>
      <w:r w:rsidR="00DD3C92" w:rsidRPr="003F6574">
        <w:rPr>
          <w:i/>
        </w:rPr>
        <w:t xml:space="preserve"> </w:t>
      </w:r>
      <w:proofErr w:type="spellStart"/>
      <w:r w:rsidR="00DD3C92" w:rsidRPr="003F6574">
        <w:rPr>
          <w:i/>
        </w:rPr>
        <w:t>Malimanjani</w:t>
      </w:r>
      <w:proofErr w:type="spellEnd"/>
      <w:r w:rsidR="00DD3C92">
        <w:t xml:space="preserve"> v </w:t>
      </w:r>
      <w:r w:rsidR="00DD3C92" w:rsidRPr="003F6574">
        <w:rPr>
          <w:i/>
        </w:rPr>
        <w:t>Central Africa Building Society (CABS)</w:t>
      </w:r>
      <w:r w:rsidR="003F6574">
        <w:t xml:space="preserve"> SC 47/07</w:t>
      </w:r>
      <w:r w:rsidR="002B2AD6">
        <w:t xml:space="preserve"> the Supreme Court stated that:</w:t>
      </w:r>
    </w:p>
    <w:p w:rsidR="00E553F4" w:rsidRDefault="00E553F4" w:rsidP="00E553F4">
      <w:pPr>
        <w:ind w:firstLine="720"/>
        <w:jc w:val="both"/>
      </w:pPr>
    </w:p>
    <w:p w:rsidR="00E553F4" w:rsidRPr="00E553F4" w:rsidRDefault="00E553F4" w:rsidP="00E553F4">
      <w:pPr>
        <w:spacing w:line="276" w:lineRule="auto"/>
        <w:ind w:left="720"/>
        <w:jc w:val="both"/>
        <w:rPr>
          <w:sz w:val="22"/>
          <w:szCs w:val="22"/>
        </w:rPr>
      </w:pPr>
      <w:r w:rsidRPr="00E553F4">
        <w:rPr>
          <w:sz w:val="22"/>
          <w:szCs w:val="22"/>
        </w:rPr>
        <w:t>“It is trite that an appeal court does not interfere with the exercise of discretion by a lower court unless it is shown that the discretion was improperly exercised.”</w:t>
      </w:r>
    </w:p>
    <w:p w:rsidR="00D7367F" w:rsidRDefault="00D7367F" w:rsidP="00273DE0">
      <w:pPr>
        <w:jc w:val="both"/>
      </w:pPr>
    </w:p>
    <w:p w:rsidR="00A82F7B" w:rsidRDefault="00A82F7B" w:rsidP="00F724E6">
      <w:pPr>
        <w:spacing w:line="360" w:lineRule="auto"/>
        <w:ind w:firstLine="720"/>
        <w:jc w:val="both"/>
      </w:pPr>
      <w:r>
        <w:t xml:space="preserve">In </w:t>
      </w:r>
      <w:r w:rsidRPr="00B37C81">
        <w:rPr>
          <w:i/>
        </w:rPr>
        <w:t>Chaduka NO &amp; Anor</w:t>
      </w:r>
      <w:r>
        <w:t xml:space="preserve"> v </w:t>
      </w:r>
      <w:r w:rsidRPr="00B37C81">
        <w:rPr>
          <w:i/>
        </w:rPr>
        <w:t>Mandizvidza</w:t>
      </w:r>
      <w:r>
        <w:t xml:space="preserve"> 2002 (1) ZLR 72 (S) the Supreme Court </w:t>
      </w:r>
      <w:r w:rsidR="00495772">
        <w:t>in</w:t>
      </w:r>
      <w:r w:rsidR="00C65E67">
        <w:t xml:space="preserve"> dealing with a</w:t>
      </w:r>
      <w:r w:rsidR="008824B6">
        <w:t xml:space="preserve"> matter </w:t>
      </w:r>
      <w:r w:rsidR="00495772">
        <w:t>that was</w:t>
      </w:r>
      <w:r w:rsidR="008824B6">
        <w:t xml:space="preserve"> constitutional in nature, </w:t>
      </w:r>
      <w:r>
        <w:t>discourag</w:t>
      </w:r>
      <w:r w:rsidR="00C65E67">
        <w:t>ed the courts from interfering i</w:t>
      </w:r>
      <w:r>
        <w:t>n affair</w:t>
      </w:r>
      <w:r w:rsidR="008824B6">
        <w:t>s between two consenting adults.</w:t>
      </w:r>
      <w:r w:rsidR="00273DE0">
        <w:t xml:space="preserve"> The decision between </w:t>
      </w:r>
      <w:proofErr w:type="spellStart"/>
      <w:r w:rsidR="00273DE0">
        <w:t>Hwanyanya</w:t>
      </w:r>
      <w:proofErr w:type="spellEnd"/>
      <w:r w:rsidR="00273DE0">
        <w:t xml:space="preserve"> and the respondent was between two consenting adults. </w:t>
      </w:r>
      <w:bookmarkStart w:id="0" w:name="_GoBack"/>
      <w:bookmarkEnd w:id="0"/>
      <w:r w:rsidR="00273DE0">
        <w:t>Further</w:t>
      </w:r>
      <w:r w:rsidR="007B6777">
        <w:t xml:space="preserve"> this matter</w:t>
      </w:r>
      <w:r w:rsidR="00273DE0">
        <w:t xml:space="preserve"> does not fall within the jurisdiction of the Labour </w:t>
      </w:r>
      <w:r w:rsidR="00F525EE">
        <w:t>Court, it being purely a civil matter.</w:t>
      </w:r>
    </w:p>
    <w:p w:rsidR="0040648B" w:rsidRDefault="0040648B" w:rsidP="008B141F">
      <w:pPr>
        <w:ind w:firstLine="720"/>
        <w:jc w:val="both"/>
      </w:pPr>
    </w:p>
    <w:p w:rsidR="0040648B" w:rsidRDefault="0040648B" w:rsidP="00F724E6">
      <w:pPr>
        <w:spacing w:line="360" w:lineRule="auto"/>
        <w:ind w:firstLine="720"/>
        <w:jc w:val="both"/>
      </w:pPr>
      <w:r>
        <w:t xml:space="preserve">In </w:t>
      </w:r>
      <w:r w:rsidR="00F43D2A">
        <w:t>view of the foregoing I find that there is no merit in the appeal.  The appeal fails.</w:t>
      </w:r>
    </w:p>
    <w:p w:rsidR="00F43D2A" w:rsidRDefault="00F43D2A" w:rsidP="008B141F">
      <w:pPr>
        <w:jc w:val="both"/>
      </w:pPr>
    </w:p>
    <w:p w:rsidR="00F43D2A" w:rsidRDefault="00F43D2A" w:rsidP="00F43D2A">
      <w:pPr>
        <w:spacing w:line="360" w:lineRule="auto"/>
        <w:jc w:val="both"/>
      </w:pPr>
      <w:r>
        <w:t>Accordingly it is ordered that the appeal be and is hereby dismissed with costs.</w:t>
      </w:r>
    </w:p>
    <w:p w:rsidR="00F43D2A" w:rsidRDefault="00F43D2A" w:rsidP="00F43D2A">
      <w:pPr>
        <w:spacing w:line="360" w:lineRule="auto"/>
        <w:jc w:val="both"/>
      </w:pPr>
    </w:p>
    <w:p w:rsidR="00F43D2A" w:rsidRDefault="00F43D2A" w:rsidP="00F43D2A">
      <w:pPr>
        <w:spacing w:line="360" w:lineRule="auto"/>
        <w:jc w:val="both"/>
      </w:pPr>
    </w:p>
    <w:p w:rsidR="00F43D2A" w:rsidRDefault="00F43D2A" w:rsidP="00F43D2A">
      <w:pPr>
        <w:spacing w:line="360" w:lineRule="auto"/>
        <w:jc w:val="both"/>
      </w:pPr>
      <w:r w:rsidRPr="008B141F">
        <w:rPr>
          <w:i/>
        </w:rPr>
        <w:t>Gill, Dodlonton &amp; Gerrans</w:t>
      </w:r>
      <w:r>
        <w:t>, appellant’s legal practitioners</w:t>
      </w:r>
    </w:p>
    <w:p w:rsidR="00F43D2A" w:rsidRDefault="00F43D2A" w:rsidP="00F43D2A">
      <w:pPr>
        <w:spacing w:line="360" w:lineRule="auto"/>
        <w:jc w:val="both"/>
      </w:pPr>
      <w:r w:rsidRPr="008B141F">
        <w:rPr>
          <w:i/>
        </w:rPr>
        <w:t>Kantor &amp; Immerman</w:t>
      </w:r>
      <w:r>
        <w:t>, respondent’s legal practitioners</w:t>
      </w:r>
    </w:p>
    <w:sectPr w:rsidR="00F43D2A" w:rsidSect="00640694">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EE4" w:rsidRDefault="003A5EE4" w:rsidP="00640694">
      <w:r>
        <w:separator/>
      </w:r>
    </w:p>
  </w:endnote>
  <w:endnote w:type="continuationSeparator" w:id="0">
    <w:p w:rsidR="003A5EE4" w:rsidRDefault="003A5EE4" w:rsidP="00640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489080"/>
      <w:docPartObj>
        <w:docPartGallery w:val="Page Numbers (Bottom of Page)"/>
        <w:docPartUnique/>
      </w:docPartObj>
    </w:sdtPr>
    <w:sdtEndPr>
      <w:rPr>
        <w:noProof/>
      </w:rPr>
    </w:sdtEndPr>
    <w:sdtContent>
      <w:p w:rsidR="00640694" w:rsidRDefault="00640694">
        <w:pPr>
          <w:pStyle w:val="Footer"/>
          <w:jc w:val="center"/>
        </w:pPr>
        <w:r>
          <w:fldChar w:fldCharType="begin"/>
        </w:r>
        <w:r>
          <w:instrText xml:space="preserve"> PAGE   \* MERGEFORMAT </w:instrText>
        </w:r>
        <w:r>
          <w:fldChar w:fldCharType="separate"/>
        </w:r>
        <w:r w:rsidR="00E01F1F">
          <w:rPr>
            <w:noProof/>
          </w:rPr>
          <w:t>5</w:t>
        </w:r>
        <w:r>
          <w:rPr>
            <w:noProof/>
          </w:rPr>
          <w:fldChar w:fldCharType="end"/>
        </w:r>
      </w:p>
    </w:sdtContent>
  </w:sdt>
  <w:p w:rsidR="00640694" w:rsidRDefault="006406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EE4" w:rsidRDefault="003A5EE4" w:rsidP="00640694">
      <w:r>
        <w:separator/>
      </w:r>
    </w:p>
  </w:footnote>
  <w:footnote w:type="continuationSeparator" w:id="0">
    <w:p w:rsidR="003A5EE4" w:rsidRDefault="003A5EE4" w:rsidP="006406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694" w:rsidRDefault="00640694">
    <w:pPr>
      <w:pStyle w:val="Header"/>
    </w:pPr>
    <w:r>
      <w:tab/>
    </w:r>
    <w:r>
      <w:tab/>
      <w:t>JUDGMENT NO LC/H/</w:t>
    </w:r>
    <w:r w:rsidR="009073E4">
      <w:t>40</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070FD"/>
    <w:multiLevelType w:val="hybridMultilevel"/>
    <w:tmpl w:val="BE402C2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357"/>
    <w:rsid w:val="00044C07"/>
    <w:rsid w:val="00080D64"/>
    <w:rsid w:val="00081972"/>
    <w:rsid w:val="000C6C16"/>
    <w:rsid w:val="000D20E8"/>
    <w:rsid w:val="000E13AC"/>
    <w:rsid w:val="001026AB"/>
    <w:rsid w:val="00180039"/>
    <w:rsid w:val="001F4B63"/>
    <w:rsid w:val="00200A5F"/>
    <w:rsid w:val="002075DE"/>
    <w:rsid w:val="00220787"/>
    <w:rsid w:val="00273DE0"/>
    <w:rsid w:val="002819C8"/>
    <w:rsid w:val="002B2AD6"/>
    <w:rsid w:val="00322357"/>
    <w:rsid w:val="00387ED3"/>
    <w:rsid w:val="003A5EE4"/>
    <w:rsid w:val="003D79DE"/>
    <w:rsid w:val="003F6574"/>
    <w:rsid w:val="0040648B"/>
    <w:rsid w:val="00444ADA"/>
    <w:rsid w:val="0044521D"/>
    <w:rsid w:val="004862C2"/>
    <w:rsid w:val="004925FA"/>
    <w:rsid w:val="00495772"/>
    <w:rsid w:val="004E1E88"/>
    <w:rsid w:val="00517BD3"/>
    <w:rsid w:val="00570160"/>
    <w:rsid w:val="005E55F5"/>
    <w:rsid w:val="005F46B8"/>
    <w:rsid w:val="0061697C"/>
    <w:rsid w:val="00625CF6"/>
    <w:rsid w:val="00640694"/>
    <w:rsid w:val="00642C32"/>
    <w:rsid w:val="00655D87"/>
    <w:rsid w:val="006D78F6"/>
    <w:rsid w:val="006E4487"/>
    <w:rsid w:val="006F4F64"/>
    <w:rsid w:val="007076F2"/>
    <w:rsid w:val="0073046E"/>
    <w:rsid w:val="00744D12"/>
    <w:rsid w:val="0076064D"/>
    <w:rsid w:val="00765768"/>
    <w:rsid w:val="007A4EBD"/>
    <w:rsid w:val="007B6777"/>
    <w:rsid w:val="007C095A"/>
    <w:rsid w:val="007E2F58"/>
    <w:rsid w:val="00804AA6"/>
    <w:rsid w:val="0082768C"/>
    <w:rsid w:val="00840BDD"/>
    <w:rsid w:val="00843177"/>
    <w:rsid w:val="0086238E"/>
    <w:rsid w:val="00872F8F"/>
    <w:rsid w:val="0087406C"/>
    <w:rsid w:val="008824B6"/>
    <w:rsid w:val="008968A9"/>
    <w:rsid w:val="008B141F"/>
    <w:rsid w:val="008D775E"/>
    <w:rsid w:val="008F6133"/>
    <w:rsid w:val="009073E4"/>
    <w:rsid w:val="009104E2"/>
    <w:rsid w:val="00911BD0"/>
    <w:rsid w:val="00967F8A"/>
    <w:rsid w:val="0097637F"/>
    <w:rsid w:val="00985BCB"/>
    <w:rsid w:val="009C7D16"/>
    <w:rsid w:val="009E0A60"/>
    <w:rsid w:val="00A01211"/>
    <w:rsid w:val="00A05A67"/>
    <w:rsid w:val="00A34577"/>
    <w:rsid w:val="00A57796"/>
    <w:rsid w:val="00A77914"/>
    <w:rsid w:val="00A82F7B"/>
    <w:rsid w:val="00AC35CF"/>
    <w:rsid w:val="00AF3827"/>
    <w:rsid w:val="00B26D79"/>
    <w:rsid w:val="00B37C81"/>
    <w:rsid w:val="00BF26D2"/>
    <w:rsid w:val="00BF6187"/>
    <w:rsid w:val="00BF6964"/>
    <w:rsid w:val="00C17B6D"/>
    <w:rsid w:val="00C340CA"/>
    <w:rsid w:val="00C42263"/>
    <w:rsid w:val="00C658FB"/>
    <w:rsid w:val="00C65E67"/>
    <w:rsid w:val="00C87957"/>
    <w:rsid w:val="00CA34AF"/>
    <w:rsid w:val="00CB1F6C"/>
    <w:rsid w:val="00D01710"/>
    <w:rsid w:val="00D467A6"/>
    <w:rsid w:val="00D7367F"/>
    <w:rsid w:val="00D87AAC"/>
    <w:rsid w:val="00D90A11"/>
    <w:rsid w:val="00DD3C92"/>
    <w:rsid w:val="00DF25DA"/>
    <w:rsid w:val="00E01F1F"/>
    <w:rsid w:val="00E16F1A"/>
    <w:rsid w:val="00E2038C"/>
    <w:rsid w:val="00E231DC"/>
    <w:rsid w:val="00E313BA"/>
    <w:rsid w:val="00E42E7F"/>
    <w:rsid w:val="00E5208D"/>
    <w:rsid w:val="00E553F4"/>
    <w:rsid w:val="00E80AC7"/>
    <w:rsid w:val="00EA4C0D"/>
    <w:rsid w:val="00EC2F8B"/>
    <w:rsid w:val="00EC3EB6"/>
    <w:rsid w:val="00ED1B41"/>
    <w:rsid w:val="00F20EA3"/>
    <w:rsid w:val="00F25E7F"/>
    <w:rsid w:val="00F333DA"/>
    <w:rsid w:val="00F43D2A"/>
    <w:rsid w:val="00F525EE"/>
    <w:rsid w:val="00F60B6B"/>
    <w:rsid w:val="00F724E6"/>
    <w:rsid w:val="00F87FAF"/>
    <w:rsid w:val="00F95608"/>
    <w:rsid w:val="00FB08CE"/>
    <w:rsid w:val="00FC0CD8"/>
    <w:rsid w:val="00FD0518"/>
    <w:rsid w:val="00FF080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35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ED3"/>
    <w:pPr>
      <w:ind w:left="720"/>
      <w:contextualSpacing/>
    </w:pPr>
  </w:style>
  <w:style w:type="paragraph" w:styleId="Header">
    <w:name w:val="header"/>
    <w:basedOn w:val="Normal"/>
    <w:link w:val="HeaderChar"/>
    <w:uiPriority w:val="99"/>
    <w:unhideWhenUsed/>
    <w:rsid w:val="00640694"/>
    <w:pPr>
      <w:tabs>
        <w:tab w:val="center" w:pos="4513"/>
        <w:tab w:val="right" w:pos="9026"/>
      </w:tabs>
    </w:pPr>
  </w:style>
  <w:style w:type="character" w:customStyle="1" w:styleId="HeaderChar">
    <w:name w:val="Header Char"/>
    <w:basedOn w:val="DefaultParagraphFont"/>
    <w:link w:val="Header"/>
    <w:uiPriority w:val="99"/>
    <w:rsid w:val="00640694"/>
    <w:rPr>
      <w:rFonts w:ascii="Tahoma" w:eastAsia="Times New Roman" w:hAnsi="Tahoma" w:cs="Times New Roman"/>
      <w:sz w:val="24"/>
      <w:szCs w:val="24"/>
      <w:lang w:val="en-US"/>
    </w:rPr>
  </w:style>
  <w:style w:type="paragraph" w:styleId="Footer">
    <w:name w:val="footer"/>
    <w:basedOn w:val="Normal"/>
    <w:link w:val="FooterChar"/>
    <w:uiPriority w:val="99"/>
    <w:unhideWhenUsed/>
    <w:rsid w:val="00640694"/>
    <w:pPr>
      <w:tabs>
        <w:tab w:val="center" w:pos="4513"/>
        <w:tab w:val="right" w:pos="9026"/>
      </w:tabs>
    </w:pPr>
  </w:style>
  <w:style w:type="character" w:customStyle="1" w:styleId="FooterChar">
    <w:name w:val="Footer Char"/>
    <w:basedOn w:val="DefaultParagraphFont"/>
    <w:link w:val="Footer"/>
    <w:uiPriority w:val="99"/>
    <w:rsid w:val="00640694"/>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35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ED3"/>
    <w:pPr>
      <w:ind w:left="720"/>
      <w:contextualSpacing/>
    </w:pPr>
  </w:style>
  <w:style w:type="paragraph" w:styleId="Header">
    <w:name w:val="header"/>
    <w:basedOn w:val="Normal"/>
    <w:link w:val="HeaderChar"/>
    <w:uiPriority w:val="99"/>
    <w:unhideWhenUsed/>
    <w:rsid w:val="00640694"/>
    <w:pPr>
      <w:tabs>
        <w:tab w:val="center" w:pos="4513"/>
        <w:tab w:val="right" w:pos="9026"/>
      </w:tabs>
    </w:pPr>
  </w:style>
  <w:style w:type="character" w:customStyle="1" w:styleId="HeaderChar">
    <w:name w:val="Header Char"/>
    <w:basedOn w:val="DefaultParagraphFont"/>
    <w:link w:val="Header"/>
    <w:uiPriority w:val="99"/>
    <w:rsid w:val="00640694"/>
    <w:rPr>
      <w:rFonts w:ascii="Tahoma" w:eastAsia="Times New Roman" w:hAnsi="Tahoma" w:cs="Times New Roman"/>
      <w:sz w:val="24"/>
      <w:szCs w:val="24"/>
      <w:lang w:val="en-US"/>
    </w:rPr>
  </w:style>
  <w:style w:type="paragraph" w:styleId="Footer">
    <w:name w:val="footer"/>
    <w:basedOn w:val="Normal"/>
    <w:link w:val="FooterChar"/>
    <w:uiPriority w:val="99"/>
    <w:unhideWhenUsed/>
    <w:rsid w:val="00640694"/>
    <w:pPr>
      <w:tabs>
        <w:tab w:val="center" w:pos="4513"/>
        <w:tab w:val="right" w:pos="9026"/>
      </w:tabs>
    </w:pPr>
  </w:style>
  <w:style w:type="character" w:customStyle="1" w:styleId="FooterChar">
    <w:name w:val="Footer Char"/>
    <w:basedOn w:val="DefaultParagraphFont"/>
    <w:link w:val="Footer"/>
    <w:uiPriority w:val="99"/>
    <w:rsid w:val="00640694"/>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0A38B-2DB1-4F38-B444-80C996E7F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5</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Labour</cp:lastModifiedBy>
  <cp:revision>96</cp:revision>
  <dcterms:created xsi:type="dcterms:W3CDTF">2016-01-08T06:46:00Z</dcterms:created>
  <dcterms:modified xsi:type="dcterms:W3CDTF">2016-01-21T10:45:00Z</dcterms:modified>
</cp:coreProperties>
</file>