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74" w:rsidRDefault="0068433A" w:rsidP="0047529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UZ- UCSF COLLABORATIVE RESEARCH PROGRAMME</w:t>
      </w:r>
    </w:p>
    <w:p w:rsidR="00F96F74" w:rsidRDefault="005838E8" w:rsidP="0047529B">
      <w:pPr>
        <w:tabs>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verses</w:t>
      </w:r>
      <w:r w:rsidR="0068433A">
        <w:rPr>
          <w:rFonts w:ascii="Times New Roman" w:hAnsi="Times New Roman" w:cs="Times New Roman"/>
          <w:sz w:val="24"/>
          <w:szCs w:val="24"/>
        </w:rPr>
        <w:tab/>
      </w:r>
    </w:p>
    <w:p w:rsidR="00F96F74"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ISDORE HUSAIWEVHU </w:t>
      </w:r>
    </w:p>
    <w:p w:rsidR="0068433A"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8433A" w:rsidRDefault="0068433A" w:rsidP="0047529B">
      <w:pPr>
        <w:tabs>
          <w:tab w:val="left" w:pos="82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WALTER MUTOWO</w:t>
      </w:r>
      <w:r w:rsidR="00B46CFC">
        <w:rPr>
          <w:rFonts w:ascii="Times New Roman" w:hAnsi="Times New Roman" w:cs="Times New Roman"/>
          <w:sz w:val="24"/>
          <w:szCs w:val="24"/>
        </w:rPr>
        <w:tab/>
      </w:r>
    </w:p>
    <w:p w:rsidR="0068433A"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68433A"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FUNGAI ZINYAMA</w:t>
      </w:r>
    </w:p>
    <w:p w:rsidR="0068433A"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8433A"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7B2220" w:rsidRDefault="007B2220" w:rsidP="0047529B">
      <w:pPr>
        <w:spacing w:after="0" w:line="240" w:lineRule="auto"/>
        <w:jc w:val="both"/>
        <w:rPr>
          <w:rFonts w:ascii="Times New Roman" w:hAnsi="Times New Roman" w:cs="Times New Roman"/>
          <w:sz w:val="24"/>
          <w:szCs w:val="24"/>
        </w:rPr>
      </w:pPr>
    </w:p>
    <w:p w:rsidR="0068433A" w:rsidRDefault="0068433A" w:rsidP="0047529B">
      <w:pPr>
        <w:spacing w:after="0" w:line="240" w:lineRule="auto"/>
        <w:jc w:val="both"/>
        <w:rPr>
          <w:rFonts w:ascii="Times New Roman" w:hAnsi="Times New Roman" w:cs="Times New Roman"/>
          <w:sz w:val="24"/>
          <w:szCs w:val="24"/>
        </w:rPr>
      </w:pPr>
    </w:p>
    <w:p w:rsidR="0068433A" w:rsidRDefault="0068433A" w:rsidP="0047529B">
      <w:pPr>
        <w:spacing w:after="0" w:line="240" w:lineRule="auto"/>
        <w:jc w:val="both"/>
        <w:rPr>
          <w:rFonts w:ascii="Times New Roman" w:hAnsi="Times New Roman" w:cs="Times New Roman"/>
          <w:sz w:val="24"/>
          <w:szCs w:val="24"/>
        </w:rPr>
      </w:pPr>
    </w:p>
    <w:p w:rsidR="007B2220" w:rsidRDefault="007B2220"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B2220" w:rsidRDefault="0068433A"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B437D5" w:rsidRDefault="007B2220"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68433A">
        <w:rPr>
          <w:rFonts w:ascii="Times New Roman" w:hAnsi="Times New Roman" w:cs="Times New Roman"/>
          <w:sz w:val="24"/>
          <w:szCs w:val="24"/>
        </w:rPr>
        <w:t>04 December 2019</w:t>
      </w:r>
      <w:r w:rsidR="00C07386">
        <w:rPr>
          <w:rFonts w:ascii="Times New Roman" w:hAnsi="Times New Roman" w:cs="Times New Roman"/>
          <w:sz w:val="24"/>
          <w:szCs w:val="24"/>
        </w:rPr>
        <w:t xml:space="preserve"> and 02 February, 2022</w:t>
      </w:r>
    </w:p>
    <w:p w:rsidR="007B2220" w:rsidRDefault="007B2220" w:rsidP="0047529B">
      <w:pPr>
        <w:spacing w:after="0" w:line="240" w:lineRule="auto"/>
        <w:jc w:val="both"/>
        <w:rPr>
          <w:rFonts w:ascii="Times New Roman" w:hAnsi="Times New Roman" w:cs="Times New Roman"/>
          <w:b/>
          <w:sz w:val="24"/>
          <w:szCs w:val="24"/>
        </w:rPr>
      </w:pPr>
    </w:p>
    <w:p w:rsidR="00B437D5" w:rsidRDefault="00B46CFC" w:rsidP="004752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MOTION COURT</w:t>
      </w:r>
    </w:p>
    <w:p w:rsidR="007B2220" w:rsidRDefault="007B2220" w:rsidP="0047529B">
      <w:pPr>
        <w:spacing w:after="0" w:line="240" w:lineRule="auto"/>
        <w:jc w:val="both"/>
        <w:rPr>
          <w:rFonts w:ascii="Times New Roman" w:hAnsi="Times New Roman" w:cs="Times New Roman"/>
          <w:b/>
          <w:sz w:val="24"/>
          <w:szCs w:val="24"/>
        </w:rPr>
      </w:pPr>
    </w:p>
    <w:p w:rsidR="007B2220" w:rsidRDefault="007B2220" w:rsidP="0047529B">
      <w:pPr>
        <w:spacing w:after="0" w:line="240" w:lineRule="auto"/>
        <w:jc w:val="both"/>
        <w:rPr>
          <w:rFonts w:ascii="Times New Roman" w:hAnsi="Times New Roman" w:cs="Times New Roman"/>
          <w:i/>
          <w:sz w:val="24"/>
          <w:szCs w:val="24"/>
        </w:rPr>
      </w:pPr>
    </w:p>
    <w:p w:rsidR="00F96F74" w:rsidRDefault="00B46CFC" w:rsidP="004752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 Mutasa</w:t>
      </w:r>
      <w:r w:rsidR="007B2220">
        <w:rPr>
          <w:rFonts w:ascii="Times New Roman" w:hAnsi="Times New Roman" w:cs="Times New Roman"/>
          <w:i/>
          <w:sz w:val="24"/>
          <w:szCs w:val="24"/>
        </w:rPr>
        <w:t xml:space="preserve">  </w:t>
      </w:r>
      <w:r w:rsidR="007B2220" w:rsidRPr="007B2220">
        <w:rPr>
          <w:rFonts w:ascii="Times New Roman" w:hAnsi="Times New Roman" w:cs="Times New Roman"/>
          <w:sz w:val="24"/>
          <w:szCs w:val="24"/>
        </w:rPr>
        <w:t>for the applicant</w:t>
      </w:r>
    </w:p>
    <w:p w:rsidR="007B2220" w:rsidRDefault="00B46CFC" w:rsidP="0047529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Madhuku </w:t>
      </w:r>
      <w:r w:rsidR="007B2220">
        <w:rPr>
          <w:rFonts w:ascii="Times New Roman" w:hAnsi="Times New Roman" w:cs="Times New Roman"/>
          <w:i/>
          <w:sz w:val="24"/>
          <w:szCs w:val="24"/>
        </w:rPr>
        <w:t xml:space="preserve"> </w:t>
      </w:r>
      <w:r w:rsidR="007B2220" w:rsidRPr="007B2220">
        <w:rPr>
          <w:rFonts w:ascii="Times New Roman" w:hAnsi="Times New Roman" w:cs="Times New Roman"/>
          <w:sz w:val="24"/>
          <w:szCs w:val="24"/>
        </w:rPr>
        <w:t>for the respondent</w:t>
      </w:r>
    </w:p>
    <w:p w:rsidR="00266A88" w:rsidRDefault="00266A88" w:rsidP="0047529B">
      <w:pPr>
        <w:spacing w:after="0" w:line="240" w:lineRule="auto"/>
        <w:jc w:val="both"/>
        <w:rPr>
          <w:rFonts w:ascii="Times New Roman" w:hAnsi="Times New Roman" w:cs="Times New Roman"/>
          <w:sz w:val="24"/>
          <w:szCs w:val="24"/>
        </w:rPr>
      </w:pPr>
    </w:p>
    <w:p w:rsidR="00266A88" w:rsidRDefault="00266A88" w:rsidP="004752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Urgent Chamber Application</w:t>
      </w:r>
    </w:p>
    <w:p w:rsidR="00266A88" w:rsidRDefault="00266A88" w:rsidP="0047529B">
      <w:pPr>
        <w:spacing w:after="0" w:line="240" w:lineRule="auto"/>
        <w:jc w:val="both"/>
        <w:rPr>
          <w:rFonts w:ascii="Times New Roman" w:hAnsi="Times New Roman" w:cs="Times New Roman"/>
          <w:sz w:val="24"/>
          <w:szCs w:val="24"/>
        </w:rPr>
      </w:pPr>
    </w:p>
    <w:p w:rsidR="008C1A89" w:rsidRDefault="008C1A89" w:rsidP="0047529B">
      <w:pPr>
        <w:spacing w:after="0" w:line="240" w:lineRule="auto"/>
        <w:jc w:val="both"/>
        <w:rPr>
          <w:rFonts w:ascii="Times New Roman" w:hAnsi="Times New Roman" w:cs="Times New Roman"/>
          <w:sz w:val="24"/>
          <w:szCs w:val="24"/>
        </w:rPr>
      </w:pPr>
    </w:p>
    <w:p w:rsidR="00A82B90" w:rsidRDefault="00A82B90" w:rsidP="0047529B">
      <w:pPr>
        <w:spacing w:after="0" w:line="240" w:lineRule="auto"/>
        <w:jc w:val="both"/>
        <w:rPr>
          <w:rFonts w:ascii="Times New Roman" w:hAnsi="Times New Roman" w:cs="Times New Roman"/>
          <w:sz w:val="24"/>
          <w:szCs w:val="24"/>
        </w:rPr>
      </w:pPr>
    </w:p>
    <w:p w:rsidR="00A10BB6" w:rsidRDefault="004345D6"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6A88">
        <w:rPr>
          <w:rFonts w:ascii="Times New Roman" w:hAnsi="Times New Roman" w:cs="Times New Roman"/>
          <w:sz w:val="24"/>
          <w:szCs w:val="24"/>
        </w:rPr>
        <w:t xml:space="preserve">CHITAPI J: </w:t>
      </w:r>
      <w:r w:rsidR="00427D23">
        <w:rPr>
          <w:rFonts w:ascii="Times New Roman" w:hAnsi="Times New Roman" w:cs="Times New Roman"/>
          <w:sz w:val="24"/>
          <w:szCs w:val="24"/>
        </w:rPr>
        <w:t>This matter has a long history.  I write this judgment in order to set the record straight in the light of the fact that the respondents are now self-actors who may intend to continue to fight their cause as evidenced by their continued writing of letters a determination which was already made as will become apparent later.</w:t>
      </w:r>
    </w:p>
    <w:p w:rsidR="00F0072B" w:rsidRDefault="00D424DA"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072B">
        <w:rPr>
          <w:rFonts w:ascii="Times New Roman" w:hAnsi="Times New Roman" w:cs="Times New Roman"/>
          <w:sz w:val="24"/>
          <w:szCs w:val="24"/>
        </w:rPr>
        <w:t>The first, second and third respondents are erstwhile employees of the applicant.  The parties</w:t>
      </w:r>
      <w:r w:rsidR="00026C96">
        <w:rPr>
          <w:rFonts w:ascii="Times New Roman" w:hAnsi="Times New Roman" w:cs="Times New Roman"/>
          <w:sz w:val="24"/>
          <w:szCs w:val="24"/>
        </w:rPr>
        <w:t xml:space="preserve"> are embroiled</w:t>
      </w:r>
      <w:r w:rsidR="00F0072B">
        <w:rPr>
          <w:rFonts w:ascii="Times New Roman" w:hAnsi="Times New Roman" w:cs="Times New Roman"/>
          <w:sz w:val="24"/>
          <w:szCs w:val="24"/>
        </w:rPr>
        <w:t xml:space="preserve"> in a labour dispute that resulted in the dispute being referred for determination by arbitration.  The history of the dispute was set out in detail in the judgment of MAFUSIRE J in case number HC 3973/14 (Ref HH 260/14) </w:t>
      </w:r>
    </w:p>
    <w:p w:rsidR="005E4DD5" w:rsidRDefault="00D424DA"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4DD5">
        <w:rPr>
          <w:rFonts w:ascii="Times New Roman" w:hAnsi="Times New Roman" w:cs="Times New Roman"/>
          <w:sz w:val="24"/>
          <w:szCs w:val="24"/>
        </w:rPr>
        <w:t>The points of signif</w:t>
      </w:r>
      <w:r w:rsidR="00026C96">
        <w:rPr>
          <w:rFonts w:ascii="Times New Roman" w:hAnsi="Times New Roman" w:cs="Times New Roman"/>
          <w:sz w:val="24"/>
          <w:szCs w:val="24"/>
        </w:rPr>
        <w:t xml:space="preserve">icant </w:t>
      </w:r>
      <w:r w:rsidR="005E4DD5">
        <w:rPr>
          <w:rFonts w:ascii="Times New Roman" w:hAnsi="Times New Roman" w:cs="Times New Roman"/>
          <w:sz w:val="24"/>
          <w:szCs w:val="24"/>
        </w:rPr>
        <w:t xml:space="preserve">note are that </w:t>
      </w:r>
      <w:r w:rsidR="00026C96">
        <w:rPr>
          <w:rFonts w:ascii="Times New Roman" w:hAnsi="Times New Roman" w:cs="Times New Roman"/>
          <w:sz w:val="24"/>
          <w:szCs w:val="24"/>
        </w:rPr>
        <w:t xml:space="preserve">the </w:t>
      </w:r>
      <w:r w:rsidR="005E4DD5">
        <w:rPr>
          <w:rFonts w:ascii="Times New Roman" w:hAnsi="Times New Roman" w:cs="Times New Roman"/>
          <w:sz w:val="24"/>
          <w:szCs w:val="24"/>
        </w:rPr>
        <w:t>labour dispute between the applicant and the respondents was subject of arbitration pr</w:t>
      </w:r>
      <w:r w:rsidR="00026C96">
        <w:rPr>
          <w:rFonts w:ascii="Times New Roman" w:hAnsi="Times New Roman" w:cs="Times New Roman"/>
          <w:sz w:val="24"/>
          <w:szCs w:val="24"/>
        </w:rPr>
        <w:t>oceedings before the arbitrator, are Mr Mutongoreni</w:t>
      </w:r>
      <w:r w:rsidR="005E4DD5">
        <w:rPr>
          <w:rFonts w:ascii="Times New Roman" w:hAnsi="Times New Roman" w:cs="Times New Roman"/>
          <w:sz w:val="24"/>
          <w:szCs w:val="24"/>
        </w:rPr>
        <w:t xml:space="preserve"> who issued an award in favour of the three respondents in 2007.  The employment dispute had ari</w:t>
      </w:r>
      <w:r w:rsidR="00026C96">
        <w:rPr>
          <w:rFonts w:ascii="Times New Roman" w:hAnsi="Times New Roman" w:cs="Times New Roman"/>
          <w:sz w:val="24"/>
          <w:szCs w:val="24"/>
        </w:rPr>
        <w:t>sen in 2006.  T</w:t>
      </w:r>
      <w:r w:rsidR="005E4DD5">
        <w:rPr>
          <w:rFonts w:ascii="Times New Roman" w:hAnsi="Times New Roman" w:cs="Times New Roman"/>
          <w:sz w:val="24"/>
          <w:szCs w:val="24"/>
        </w:rPr>
        <w:t xml:space="preserve">he issue </w:t>
      </w:r>
      <w:r w:rsidR="00026C96">
        <w:rPr>
          <w:rFonts w:ascii="Times New Roman" w:hAnsi="Times New Roman" w:cs="Times New Roman"/>
          <w:sz w:val="24"/>
          <w:szCs w:val="24"/>
        </w:rPr>
        <w:t xml:space="preserve">between the parties </w:t>
      </w:r>
      <w:r w:rsidR="005E4DD5">
        <w:rPr>
          <w:rFonts w:ascii="Times New Roman" w:hAnsi="Times New Roman" w:cs="Times New Roman"/>
          <w:sz w:val="24"/>
          <w:szCs w:val="24"/>
        </w:rPr>
        <w:t xml:space="preserve">arose in </w:t>
      </w:r>
      <w:r w:rsidR="008C68D2">
        <w:rPr>
          <w:rFonts w:ascii="Times New Roman" w:hAnsi="Times New Roman" w:cs="Times New Roman"/>
          <w:sz w:val="24"/>
          <w:szCs w:val="24"/>
        </w:rPr>
        <w:t>regard to whether</w:t>
      </w:r>
      <w:r w:rsidR="005E4DD5">
        <w:rPr>
          <w:rFonts w:ascii="Times New Roman" w:hAnsi="Times New Roman" w:cs="Times New Roman"/>
          <w:sz w:val="24"/>
          <w:szCs w:val="24"/>
        </w:rPr>
        <w:t xml:space="preserve"> the</w:t>
      </w:r>
      <w:r w:rsidR="00026C96">
        <w:rPr>
          <w:rFonts w:ascii="Times New Roman" w:hAnsi="Times New Roman" w:cs="Times New Roman"/>
          <w:sz w:val="24"/>
          <w:szCs w:val="24"/>
        </w:rPr>
        <w:t xml:space="preserve"> employment contracts of the</w:t>
      </w:r>
      <w:r w:rsidR="005E4DD5">
        <w:rPr>
          <w:rFonts w:ascii="Times New Roman" w:hAnsi="Times New Roman" w:cs="Times New Roman"/>
          <w:sz w:val="24"/>
          <w:szCs w:val="24"/>
        </w:rPr>
        <w:t xml:space="preserve"> </w:t>
      </w:r>
      <w:r w:rsidR="005E4DD5">
        <w:rPr>
          <w:rFonts w:ascii="Times New Roman" w:hAnsi="Times New Roman" w:cs="Times New Roman"/>
          <w:sz w:val="24"/>
          <w:szCs w:val="24"/>
        </w:rPr>
        <w:lastRenderedPageBreak/>
        <w:t>respondents which were said to be of fixed terms of 12 months at a time subject to renewal for the same period at a time had been properly terminated.  The applicant app</w:t>
      </w:r>
      <w:r w:rsidR="007547C4">
        <w:rPr>
          <w:rFonts w:ascii="Times New Roman" w:hAnsi="Times New Roman" w:cs="Times New Roman"/>
          <w:sz w:val="24"/>
          <w:szCs w:val="24"/>
        </w:rPr>
        <w:t>ealed against the award to the Labour C</w:t>
      </w:r>
      <w:r w:rsidR="005E4DD5">
        <w:rPr>
          <w:rFonts w:ascii="Times New Roman" w:hAnsi="Times New Roman" w:cs="Times New Roman"/>
          <w:sz w:val="24"/>
          <w:szCs w:val="24"/>
        </w:rPr>
        <w:t xml:space="preserve">ourt.  </w:t>
      </w:r>
      <w:r>
        <w:rPr>
          <w:rFonts w:ascii="Times New Roman" w:hAnsi="Times New Roman" w:cs="Times New Roman"/>
          <w:sz w:val="24"/>
          <w:szCs w:val="24"/>
        </w:rPr>
        <w:t xml:space="preserve">Since the appeal did not have the effect of suspending the arbitral award, the applicant applied </w:t>
      </w:r>
      <w:r w:rsidR="000C2A08">
        <w:rPr>
          <w:rFonts w:ascii="Times New Roman" w:hAnsi="Times New Roman" w:cs="Times New Roman"/>
          <w:sz w:val="24"/>
          <w:szCs w:val="24"/>
        </w:rPr>
        <w:t>to the Labour C</w:t>
      </w:r>
      <w:r w:rsidR="00DF0012">
        <w:rPr>
          <w:rFonts w:ascii="Times New Roman" w:hAnsi="Times New Roman" w:cs="Times New Roman"/>
          <w:sz w:val="24"/>
          <w:szCs w:val="24"/>
        </w:rPr>
        <w:t xml:space="preserve">ourt for a stay of execution of the arbitral award pending appeal.  </w:t>
      </w:r>
      <w:r w:rsidR="00ED0E18">
        <w:rPr>
          <w:rFonts w:ascii="Times New Roman" w:hAnsi="Times New Roman" w:cs="Times New Roman"/>
          <w:sz w:val="24"/>
          <w:szCs w:val="24"/>
        </w:rPr>
        <w:t>The application for stay of execution was dismissed.  The respondents the</w:t>
      </w:r>
      <w:r w:rsidR="000C2A08">
        <w:rPr>
          <w:rFonts w:ascii="Times New Roman" w:hAnsi="Times New Roman" w:cs="Times New Roman"/>
          <w:sz w:val="24"/>
          <w:szCs w:val="24"/>
        </w:rPr>
        <w:t>n</w:t>
      </w:r>
      <w:r w:rsidR="00ED0E18">
        <w:rPr>
          <w:rFonts w:ascii="Times New Roman" w:hAnsi="Times New Roman" w:cs="Times New Roman"/>
          <w:sz w:val="24"/>
          <w:szCs w:val="24"/>
        </w:rPr>
        <w:t xml:space="preserve"> applied for the quantification of the award.  The quant</w:t>
      </w:r>
      <w:r w:rsidR="00097C71">
        <w:rPr>
          <w:rFonts w:ascii="Times New Roman" w:hAnsi="Times New Roman" w:cs="Times New Roman"/>
          <w:sz w:val="24"/>
          <w:szCs w:val="24"/>
        </w:rPr>
        <w:t>i</w:t>
      </w:r>
      <w:r w:rsidR="000C2A08">
        <w:rPr>
          <w:rFonts w:ascii="Times New Roman" w:hAnsi="Times New Roman" w:cs="Times New Roman"/>
          <w:sz w:val="24"/>
          <w:szCs w:val="24"/>
        </w:rPr>
        <w:t>fication was done by arbitrator Matsikidze.  The arbitrator</w:t>
      </w:r>
      <w:r w:rsidR="00097C71">
        <w:rPr>
          <w:rFonts w:ascii="Times New Roman" w:hAnsi="Times New Roman" w:cs="Times New Roman"/>
          <w:sz w:val="24"/>
          <w:szCs w:val="24"/>
        </w:rPr>
        <w:t xml:space="preserve"> quantified the dues of the first respondent as US </w:t>
      </w:r>
      <w:r w:rsidR="000C2A08">
        <w:rPr>
          <w:rFonts w:ascii="Times New Roman" w:hAnsi="Times New Roman" w:cs="Times New Roman"/>
          <w:sz w:val="24"/>
          <w:szCs w:val="24"/>
        </w:rPr>
        <w:t>$94 920</w:t>
      </w:r>
      <w:r w:rsidR="00097C71">
        <w:rPr>
          <w:rFonts w:ascii="Times New Roman" w:hAnsi="Times New Roman" w:cs="Times New Roman"/>
          <w:sz w:val="24"/>
          <w:szCs w:val="24"/>
        </w:rPr>
        <w:t xml:space="preserve">, second respondent at US $46 818-78 and the third respondent at US $55 118-48.  </w:t>
      </w:r>
    </w:p>
    <w:p w:rsidR="00097C71" w:rsidRDefault="00097C71"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dissatisfied with the quantification aforesaid.  It appealed against the </w:t>
      </w:r>
      <w:r w:rsidR="00B03129">
        <w:rPr>
          <w:rFonts w:ascii="Times New Roman" w:hAnsi="Times New Roman" w:cs="Times New Roman"/>
          <w:sz w:val="24"/>
          <w:szCs w:val="24"/>
        </w:rPr>
        <w:t>award of quantification to the Labour C</w:t>
      </w:r>
      <w:r>
        <w:rPr>
          <w:rFonts w:ascii="Times New Roman" w:hAnsi="Times New Roman" w:cs="Times New Roman"/>
          <w:sz w:val="24"/>
          <w:szCs w:val="24"/>
        </w:rPr>
        <w:t xml:space="preserve">ourt.  Again, because the appeal did not automatically suspend the judgment appealed against, the applicant filed an application before </w:t>
      </w:r>
      <w:r w:rsidR="005E4B93">
        <w:rPr>
          <w:rFonts w:ascii="Times New Roman" w:hAnsi="Times New Roman" w:cs="Times New Roman"/>
          <w:sz w:val="24"/>
          <w:szCs w:val="24"/>
        </w:rPr>
        <w:t xml:space="preserve">the same court for an order of </w:t>
      </w:r>
      <w:r>
        <w:rPr>
          <w:rFonts w:ascii="Times New Roman" w:hAnsi="Times New Roman" w:cs="Times New Roman"/>
          <w:sz w:val="24"/>
          <w:szCs w:val="24"/>
        </w:rPr>
        <w:t xml:space="preserve"> stay of execution pending the determination of the appeal.  The respondents on 30 March, 2010 filed an application in this court for registration of the aw</w:t>
      </w:r>
      <w:r w:rsidR="005E4B93">
        <w:rPr>
          <w:rFonts w:ascii="Times New Roman" w:hAnsi="Times New Roman" w:cs="Times New Roman"/>
          <w:sz w:val="24"/>
          <w:szCs w:val="24"/>
        </w:rPr>
        <w:t>ard as quantified by arbitrator</w:t>
      </w:r>
      <w:r>
        <w:rPr>
          <w:rFonts w:ascii="Times New Roman" w:hAnsi="Times New Roman" w:cs="Times New Roman"/>
          <w:sz w:val="24"/>
          <w:szCs w:val="24"/>
        </w:rPr>
        <w:t xml:space="preserve"> Matsik</w:t>
      </w:r>
      <w:r w:rsidR="005E4B93">
        <w:rPr>
          <w:rFonts w:ascii="Times New Roman" w:hAnsi="Times New Roman" w:cs="Times New Roman"/>
          <w:sz w:val="24"/>
          <w:szCs w:val="24"/>
        </w:rPr>
        <w:t>idze.</w:t>
      </w:r>
      <w:r>
        <w:rPr>
          <w:rFonts w:ascii="Times New Roman" w:hAnsi="Times New Roman" w:cs="Times New Roman"/>
          <w:sz w:val="24"/>
          <w:szCs w:val="24"/>
        </w:rPr>
        <w:t xml:space="preserve"> In respect of the application for registration of the award, this court registered the arbitral award as quantified on 20 October, 2010.  Th</w:t>
      </w:r>
      <w:r w:rsidR="00B03129">
        <w:rPr>
          <w:rFonts w:ascii="Times New Roman" w:hAnsi="Times New Roman" w:cs="Times New Roman"/>
          <w:sz w:val="24"/>
          <w:szCs w:val="24"/>
        </w:rPr>
        <w:t>e appeal to the Labour C</w:t>
      </w:r>
      <w:r>
        <w:rPr>
          <w:rFonts w:ascii="Times New Roman" w:hAnsi="Times New Roman" w:cs="Times New Roman"/>
          <w:sz w:val="24"/>
          <w:szCs w:val="24"/>
        </w:rPr>
        <w:t xml:space="preserve">ourt against the quantification was dismissed on 28 March, 2014. On </w:t>
      </w:r>
      <w:r w:rsidR="00DB28AA">
        <w:rPr>
          <w:rFonts w:ascii="Times New Roman" w:hAnsi="Times New Roman" w:cs="Times New Roman"/>
          <w:sz w:val="24"/>
          <w:szCs w:val="24"/>
        </w:rPr>
        <w:t xml:space="preserve">8 May, 2014, the </w:t>
      </w:r>
      <w:r w:rsidR="005E4B93">
        <w:rPr>
          <w:rFonts w:ascii="Times New Roman" w:hAnsi="Times New Roman" w:cs="Times New Roman"/>
          <w:sz w:val="24"/>
          <w:szCs w:val="24"/>
        </w:rPr>
        <w:t xml:space="preserve">respondents then issued a writ </w:t>
      </w:r>
      <w:r w:rsidR="00DB28AA">
        <w:rPr>
          <w:rFonts w:ascii="Times New Roman" w:hAnsi="Times New Roman" w:cs="Times New Roman"/>
          <w:sz w:val="24"/>
          <w:szCs w:val="24"/>
        </w:rPr>
        <w:t xml:space="preserve">of execution to recover the quantified amount which was expressed as US $788 296-21.  </w:t>
      </w:r>
    </w:p>
    <w:p w:rsidR="00DB28AA" w:rsidRDefault="00DB28AA"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turn filed an application for leave to appeal to the Supreme Court against the dismissal of its appeal ag</w:t>
      </w:r>
      <w:r w:rsidR="00B03129">
        <w:rPr>
          <w:rFonts w:ascii="Times New Roman" w:hAnsi="Times New Roman" w:cs="Times New Roman"/>
          <w:sz w:val="24"/>
          <w:szCs w:val="24"/>
        </w:rPr>
        <w:t>ainst quantification which the Labour C</w:t>
      </w:r>
      <w:r>
        <w:rPr>
          <w:rFonts w:ascii="Times New Roman" w:hAnsi="Times New Roman" w:cs="Times New Roman"/>
          <w:sz w:val="24"/>
          <w:szCs w:val="24"/>
        </w:rPr>
        <w:t xml:space="preserve">ourt dismissed.  </w:t>
      </w:r>
      <w:r w:rsidR="00731C1F">
        <w:rPr>
          <w:rFonts w:ascii="Times New Roman" w:hAnsi="Times New Roman" w:cs="Times New Roman"/>
          <w:sz w:val="24"/>
          <w:szCs w:val="24"/>
        </w:rPr>
        <w:t>At the same time the applicant filed an urgent chamber application for a stay of execution of the quantified award.</w:t>
      </w:r>
      <w:r w:rsidR="00B03129">
        <w:rPr>
          <w:rFonts w:ascii="Times New Roman" w:hAnsi="Times New Roman" w:cs="Times New Roman"/>
          <w:sz w:val="24"/>
          <w:szCs w:val="24"/>
        </w:rPr>
        <w:t xml:space="preserve">  The award had however, been alr</w:t>
      </w:r>
      <w:r w:rsidR="00731C1F">
        <w:rPr>
          <w:rFonts w:ascii="Times New Roman" w:hAnsi="Times New Roman" w:cs="Times New Roman"/>
          <w:sz w:val="24"/>
          <w:szCs w:val="24"/>
        </w:rPr>
        <w:t>eady registered by the court and</w:t>
      </w:r>
      <w:r w:rsidR="00B03129">
        <w:rPr>
          <w:rFonts w:ascii="Times New Roman" w:hAnsi="Times New Roman" w:cs="Times New Roman"/>
          <w:sz w:val="24"/>
          <w:szCs w:val="24"/>
        </w:rPr>
        <w:t xml:space="preserve"> the urgent application to the Labour C</w:t>
      </w:r>
      <w:r w:rsidR="00731C1F">
        <w:rPr>
          <w:rFonts w:ascii="Times New Roman" w:hAnsi="Times New Roman" w:cs="Times New Roman"/>
          <w:sz w:val="24"/>
          <w:szCs w:val="24"/>
        </w:rPr>
        <w:t>ourt could not be determined by that court since the writ was new a process of this court upon its registration.</w:t>
      </w:r>
    </w:p>
    <w:p w:rsidR="00731C1F" w:rsidRDefault="00731C1F"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to the application</w:t>
      </w:r>
      <w:r w:rsidR="00B13224">
        <w:rPr>
          <w:rFonts w:ascii="Times New Roman" w:hAnsi="Times New Roman" w:cs="Times New Roman"/>
          <w:sz w:val="24"/>
          <w:szCs w:val="24"/>
        </w:rPr>
        <w:t xml:space="preserve"> for leave t</w:t>
      </w:r>
      <w:r w:rsidR="00B03129">
        <w:rPr>
          <w:rFonts w:ascii="Times New Roman" w:hAnsi="Times New Roman" w:cs="Times New Roman"/>
          <w:sz w:val="24"/>
          <w:szCs w:val="24"/>
        </w:rPr>
        <w:t>o appeal, the Labour C</w:t>
      </w:r>
      <w:r>
        <w:rPr>
          <w:rFonts w:ascii="Times New Roman" w:hAnsi="Times New Roman" w:cs="Times New Roman"/>
          <w:sz w:val="24"/>
          <w:szCs w:val="24"/>
        </w:rPr>
        <w:t xml:space="preserve">ourt struck the application off the roll for the reason </w:t>
      </w:r>
      <w:r w:rsidR="005E4B93">
        <w:rPr>
          <w:rFonts w:ascii="Times New Roman" w:hAnsi="Times New Roman" w:cs="Times New Roman"/>
          <w:sz w:val="24"/>
          <w:szCs w:val="24"/>
        </w:rPr>
        <w:t xml:space="preserve">that </w:t>
      </w:r>
      <w:r>
        <w:rPr>
          <w:rFonts w:ascii="Times New Roman" w:hAnsi="Times New Roman" w:cs="Times New Roman"/>
          <w:sz w:val="24"/>
          <w:szCs w:val="24"/>
        </w:rPr>
        <w:t>the application had been filed out of the time</w:t>
      </w:r>
      <w:r w:rsidR="00047D96">
        <w:rPr>
          <w:rFonts w:ascii="Times New Roman" w:hAnsi="Times New Roman" w:cs="Times New Roman"/>
          <w:sz w:val="24"/>
          <w:szCs w:val="24"/>
        </w:rPr>
        <w:t xml:space="preserve"> </w:t>
      </w:r>
      <w:r w:rsidR="00B03129">
        <w:rPr>
          <w:rFonts w:ascii="Times New Roman" w:hAnsi="Times New Roman" w:cs="Times New Roman"/>
          <w:sz w:val="24"/>
          <w:szCs w:val="24"/>
        </w:rPr>
        <w:t>period of 30 days given in the Labour C</w:t>
      </w:r>
      <w:r>
        <w:rPr>
          <w:rFonts w:ascii="Times New Roman" w:hAnsi="Times New Roman" w:cs="Times New Roman"/>
          <w:sz w:val="24"/>
          <w:szCs w:val="24"/>
        </w:rPr>
        <w:t>ourt</w:t>
      </w:r>
      <w:r w:rsidR="005E4B93">
        <w:rPr>
          <w:rFonts w:ascii="Times New Roman" w:hAnsi="Times New Roman" w:cs="Times New Roman"/>
          <w:sz w:val="24"/>
          <w:szCs w:val="24"/>
        </w:rPr>
        <w:t xml:space="preserve"> r</w:t>
      </w:r>
      <w:r w:rsidR="00047D96">
        <w:rPr>
          <w:rFonts w:ascii="Times New Roman" w:hAnsi="Times New Roman" w:cs="Times New Roman"/>
          <w:sz w:val="24"/>
          <w:szCs w:val="24"/>
        </w:rPr>
        <w:t>ules for making the application post the date of the judgment sought to be appealed against.  The applicant then filed an application for leave to appeal to the Supreme Court against the judgment of the Labour Court striking off the application for leave to appeal aforesaid.  In this respect, it is apposite to record that in judgment No. HH 260/14, MAFUSIRE J</w:t>
      </w:r>
      <w:r w:rsidR="00F51919">
        <w:rPr>
          <w:rFonts w:ascii="Times New Roman" w:hAnsi="Times New Roman" w:cs="Times New Roman"/>
          <w:sz w:val="24"/>
          <w:szCs w:val="24"/>
        </w:rPr>
        <w:t xml:space="preserve"> </w:t>
      </w:r>
      <w:r w:rsidR="00047D96">
        <w:rPr>
          <w:rFonts w:ascii="Times New Roman" w:hAnsi="Times New Roman" w:cs="Times New Roman"/>
          <w:sz w:val="24"/>
          <w:szCs w:val="24"/>
        </w:rPr>
        <w:t xml:space="preserve">on p 9 of </w:t>
      </w:r>
      <w:r w:rsidR="00047D96">
        <w:rPr>
          <w:rFonts w:ascii="Times New Roman" w:hAnsi="Times New Roman" w:cs="Times New Roman"/>
          <w:sz w:val="24"/>
          <w:szCs w:val="24"/>
        </w:rPr>
        <w:lastRenderedPageBreak/>
        <w:t xml:space="preserve">the cyclostyled judgment expressed the view that the Labour Court </w:t>
      </w:r>
      <w:r w:rsidR="00FE6E1F">
        <w:rPr>
          <w:rFonts w:ascii="Times New Roman" w:hAnsi="Times New Roman" w:cs="Times New Roman"/>
          <w:sz w:val="24"/>
          <w:szCs w:val="24"/>
        </w:rPr>
        <w:t xml:space="preserve">had miscalculated the </w:t>
      </w:r>
      <w:r w:rsidR="00FE6E1F" w:rsidRPr="00FE6E1F">
        <w:rPr>
          <w:rFonts w:ascii="Times New Roman" w:hAnsi="Times New Roman" w:cs="Times New Roman"/>
          <w:i/>
          <w:sz w:val="24"/>
          <w:szCs w:val="24"/>
        </w:rPr>
        <w:t>dies</w:t>
      </w:r>
      <w:r w:rsidR="00FE6E1F">
        <w:rPr>
          <w:rFonts w:ascii="Times New Roman" w:hAnsi="Times New Roman" w:cs="Times New Roman"/>
          <w:sz w:val="24"/>
          <w:szCs w:val="24"/>
        </w:rPr>
        <w:t xml:space="preserve"> </w:t>
      </w:r>
      <w:r w:rsidR="00FE6E1F" w:rsidRPr="00FE6E1F">
        <w:rPr>
          <w:rFonts w:ascii="Times New Roman" w:hAnsi="Times New Roman" w:cs="Times New Roman"/>
          <w:i/>
          <w:sz w:val="24"/>
          <w:szCs w:val="24"/>
        </w:rPr>
        <w:t>induciae</w:t>
      </w:r>
      <w:r w:rsidR="00FE6E1F">
        <w:rPr>
          <w:rFonts w:ascii="Times New Roman" w:hAnsi="Times New Roman" w:cs="Times New Roman"/>
          <w:sz w:val="24"/>
          <w:szCs w:val="24"/>
        </w:rPr>
        <w:t xml:space="preserve"> w</w:t>
      </w:r>
      <w:r w:rsidR="00047D96">
        <w:rPr>
          <w:rFonts w:ascii="Times New Roman" w:hAnsi="Times New Roman" w:cs="Times New Roman"/>
          <w:sz w:val="24"/>
          <w:szCs w:val="24"/>
        </w:rPr>
        <w:t>ithin which the applicant ought to have filed an application for leave</w:t>
      </w:r>
      <w:r w:rsidR="00FE6E1F">
        <w:rPr>
          <w:rFonts w:ascii="Times New Roman" w:hAnsi="Times New Roman" w:cs="Times New Roman"/>
          <w:sz w:val="24"/>
          <w:szCs w:val="24"/>
        </w:rPr>
        <w:t xml:space="preserve"> to</w:t>
      </w:r>
      <w:r w:rsidR="00047D96">
        <w:rPr>
          <w:rFonts w:ascii="Times New Roman" w:hAnsi="Times New Roman" w:cs="Times New Roman"/>
          <w:sz w:val="24"/>
          <w:szCs w:val="24"/>
        </w:rPr>
        <w:t xml:space="preserve"> appeal against the quantification award.  I also express the same view but cannot make a declarat</w:t>
      </w:r>
      <w:r w:rsidR="00FE6E1F">
        <w:rPr>
          <w:rFonts w:ascii="Times New Roman" w:hAnsi="Times New Roman" w:cs="Times New Roman"/>
          <w:sz w:val="24"/>
          <w:szCs w:val="24"/>
        </w:rPr>
        <w:t xml:space="preserve">ion in regard thereto </w:t>
      </w:r>
      <w:r w:rsidR="00443A38">
        <w:rPr>
          <w:rFonts w:ascii="Times New Roman" w:hAnsi="Times New Roman" w:cs="Times New Roman"/>
          <w:sz w:val="24"/>
          <w:szCs w:val="24"/>
        </w:rPr>
        <w:t>because the</w:t>
      </w:r>
      <w:r w:rsidR="00047D96">
        <w:rPr>
          <w:rFonts w:ascii="Times New Roman" w:hAnsi="Times New Roman" w:cs="Times New Roman"/>
          <w:sz w:val="24"/>
          <w:szCs w:val="24"/>
        </w:rPr>
        <w:t xml:space="preserve"> challenge was escalated to the Supreme Court which must make its decision on the point.</w:t>
      </w:r>
    </w:p>
    <w:p w:rsidR="00F51919" w:rsidRDefault="00F51919"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despite the pendency in the Supreme Court </w:t>
      </w:r>
      <w:r w:rsidR="00FE6E1F">
        <w:rPr>
          <w:rFonts w:ascii="Times New Roman" w:hAnsi="Times New Roman" w:cs="Times New Roman"/>
          <w:sz w:val="24"/>
          <w:szCs w:val="24"/>
        </w:rPr>
        <w:t xml:space="preserve">of the </w:t>
      </w:r>
      <w:r w:rsidR="00AA1C98">
        <w:rPr>
          <w:rFonts w:ascii="Times New Roman" w:hAnsi="Times New Roman" w:cs="Times New Roman"/>
          <w:sz w:val="24"/>
          <w:szCs w:val="24"/>
        </w:rPr>
        <w:t xml:space="preserve">application for leave to appeal decided to continue with execution on the writ.  They were legally entitled to do that because the application for leave to appeal aforesaid did not suspend the operation of the award and the writ of execution.  The applicants therefore, approached the court by this application on an urgent basis for an order to suspend the operation of the writ pending </w:t>
      </w:r>
      <w:r w:rsidR="002E0A0F">
        <w:rPr>
          <w:rFonts w:ascii="Times New Roman" w:hAnsi="Times New Roman" w:cs="Times New Roman"/>
          <w:sz w:val="24"/>
          <w:szCs w:val="24"/>
        </w:rPr>
        <w:t xml:space="preserve">the determination by the Supreme Court of their application for leave to appeal to that court.  The </w:t>
      </w:r>
      <w:r w:rsidR="00FE6E1F">
        <w:rPr>
          <w:rFonts w:ascii="Times New Roman" w:hAnsi="Times New Roman" w:cs="Times New Roman"/>
          <w:sz w:val="24"/>
          <w:szCs w:val="24"/>
        </w:rPr>
        <w:t>applicants</w:t>
      </w:r>
      <w:r w:rsidR="002E0A0F">
        <w:rPr>
          <w:rFonts w:ascii="Times New Roman" w:hAnsi="Times New Roman" w:cs="Times New Roman"/>
          <w:sz w:val="24"/>
          <w:szCs w:val="24"/>
        </w:rPr>
        <w:t xml:space="preserve"> submitt</w:t>
      </w:r>
      <w:r w:rsidR="00B32AAB">
        <w:rPr>
          <w:rFonts w:ascii="Times New Roman" w:hAnsi="Times New Roman" w:cs="Times New Roman"/>
          <w:sz w:val="24"/>
          <w:szCs w:val="24"/>
        </w:rPr>
        <w:t>ed that if execution were to be proceeded with, the application pending before the Supreme Court would be rendered academic.</w:t>
      </w:r>
    </w:p>
    <w:p w:rsidR="00B32AAB" w:rsidRDefault="00B32AAB"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going through the application, I note</w:t>
      </w:r>
      <w:r w:rsidR="00FE6E1F">
        <w:rPr>
          <w:rFonts w:ascii="Times New Roman" w:hAnsi="Times New Roman" w:cs="Times New Roman"/>
          <w:sz w:val="24"/>
          <w:szCs w:val="24"/>
        </w:rPr>
        <w:t>d</w:t>
      </w:r>
      <w:r>
        <w:rPr>
          <w:rFonts w:ascii="Times New Roman" w:hAnsi="Times New Roman" w:cs="Times New Roman"/>
          <w:sz w:val="24"/>
          <w:szCs w:val="24"/>
        </w:rPr>
        <w:t xml:space="preserve"> that </w:t>
      </w:r>
      <w:r w:rsidR="00FE6E1F" w:rsidRPr="00FE6E1F">
        <w:rPr>
          <w:rFonts w:ascii="Times New Roman" w:hAnsi="Times New Roman" w:cs="Times New Roman"/>
          <w:smallCaps/>
          <w:sz w:val="24"/>
          <w:szCs w:val="24"/>
        </w:rPr>
        <w:t>mafusire</w:t>
      </w:r>
      <w:r w:rsidR="00FE6E1F">
        <w:rPr>
          <w:rFonts w:ascii="Times New Roman" w:hAnsi="Times New Roman" w:cs="Times New Roman"/>
          <w:sz w:val="24"/>
          <w:szCs w:val="24"/>
        </w:rPr>
        <w:t xml:space="preserve"> </w:t>
      </w:r>
      <w:r>
        <w:rPr>
          <w:rFonts w:ascii="Times New Roman" w:hAnsi="Times New Roman" w:cs="Times New Roman"/>
          <w:sz w:val="24"/>
          <w:szCs w:val="24"/>
        </w:rPr>
        <w:t>J had in fact suspended executio</w:t>
      </w:r>
      <w:r w:rsidR="00FE6E1F">
        <w:rPr>
          <w:rFonts w:ascii="Times New Roman" w:hAnsi="Times New Roman" w:cs="Times New Roman"/>
          <w:sz w:val="24"/>
          <w:szCs w:val="24"/>
        </w:rPr>
        <w:t>n of the writ of execution pen</w:t>
      </w:r>
      <w:r>
        <w:rPr>
          <w:rFonts w:ascii="Times New Roman" w:hAnsi="Times New Roman" w:cs="Times New Roman"/>
          <w:sz w:val="24"/>
          <w:szCs w:val="24"/>
        </w:rPr>
        <w:t>ding the determination of the application by the Labour Court of an application for leave to appeal against its decision upholding the quantification of the award if arbitration Matsikidze.  It was the learned judge’s view which I embraced because it was a glaring omi</w:t>
      </w:r>
      <w:r w:rsidR="00FE6E1F">
        <w:rPr>
          <w:rFonts w:ascii="Times New Roman" w:hAnsi="Times New Roman" w:cs="Times New Roman"/>
          <w:sz w:val="24"/>
          <w:szCs w:val="24"/>
        </w:rPr>
        <w:t>ssion, that the arbitrator</w:t>
      </w:r>
      <w:r>
        <w:rPr>
          <w:rFonts w:ascii="Times New Roman" w:hAnsi="Times New Roman" w:cs="Times New Roman"/>
          <w:sz w:val="24"/>
          <w:szCs w:val="24"/>
        </w:rPr>
        <w:t xml:space="preserve"> in awarding damages as part of the quantification process had failed to consider and take into account the obligation of a dismissed employee to mitigate his or her damages and by a further failure to determine a cutoff point beyond which the</w:t>
      </w:r>
      <w:r w:rsidR="00B17EC0">
        <w:rPr>
          <w:rFonts w:ascii="Times New Roman" w:hAnsi="Times New Roman" w:cs="Times New Roman"/>
          <w:sz w:val="24"/>
          <w:szCs w:val="24"/>
        </w:rPr>
        <w:t xml:space="preserve"> damages had to cease.  The learned judge determined that </w:t>
      </w:r>
      <w:r w:rsidR="00FE6E1F" w:rsidRPr="00FE6E1F">
        <w:rPr>
          <w:rFonts w:ascii="Times New Roman" w:hAnsi="Times New Roman" w:cs="Times New Roman"/>
          <w:i/>
          <w:sz w:val="24"/>
          <w:szCs w:val="24"/>
        </w:rPr>
        <w:t xml:space="preserve">prima </w:t>
      </w:r>
      <w:r w:rsidR="00B17EC0" w:rsidRPr="00FE6E1F">
        <w:rPr>
          <w:rFonts w:ascii="Times New Roman" w:hAnsi="Times New Roman" w:cs="Times New Roman"/>
          <w:i/>
          <w:sz w:val="24"/>
          <w:szCs w:val="24"/>
        </w:rPr>
        <w:t>facie</w:t>
      </w:r>
      <w:r w:rsidR="00FE6E1F">
        <w:rPr>
          <w:rFonts w:ascii="Times New Roman" w:hAnsi="Times New Roman" w:cs="Times New Roman"/>
          <w:sz w:val="24"/>
          <w:szCs w:val="24"/>
        </w:rPr>
        <w:t>,</w:t>
      </w:r>
      <w:r w:rsidR="00B17EC0">
        <w:rPr>
          <w:rFonts w:ascii="Times New Roman" w:hAnsi="Times New Roman" w:cs="Times New Roman"/>
          <w:sz w:val="24"/>
          <w:szCs w:val="24"/>
        </w:rPr>
        <w:t xml:space="preserve"> the applicants intended a</w:t>
      </w:r>
      <w:r w:rsidR="00FE6E1F">
        <w:rPr>
          <w:rFonts w:ascii="Times New Roman" w:hAnsi="Times New Roman" w:cs="Times New Roman"/>
          <w:sz w:val="24"/>
          <w:szCs w:val="24"/>
        </w:rPr>
        <w:t>ppeal were leave to appeal to b</w:t>
      </w:r>
      <w:r w:rsidR="00B17EC0">
        <w:rPr>
          <w:rFonts w:ascii="Times New Roman" w:hAnsi="Times New Roman" w:cs="Times New Roman"/>
          <w:sz w:val="24"/>
          <w:szCs w:val="24"/>
        </w:rPr>
        <w:t xml:space="preserve">e granted by the </w:t>
      </w:r>
      <w:r w:rsidR="00575680">
        <w:rPr>
          <w:rFonts w:ascii="Times New Roman" w:hAnsi="Times New Roman" w:cs="Times New Roman"/>
          <w:sz w:val="24"/>
          <w:szCs w:val="24"/>
        </w:rPr>
        <w:t>Labour Court was meritorious. T</w:t>
      </w:r>
      <w:r w:rsidR="00A96149">
        <w:rPr>
          <w:rFonts w:ascii="Times New Roman" w:hAnsi="Times New Roman" w:cs="Times New Roman"/>
          <w:sz w:val="24"/>
          <w:szCs w:val="24"/>
        </w:rPr>
        <w:t>h</w:t>
      </w:r>
      <w:r w:rsidR="00B17EC0">
        <w:rPr>
          <w:rFonts w:ascii="Times New Roman" w:hAnsi="Times New Roman" w:cs="Times New Roman"/>
          <w:sz w:val="24"/>
          <w:szCs w:val="24"/>
        </w:rPr>
        <w:t xml:space="preserve">e judgment of </w:t>
      </w:r>
      <w:r w:rsidR="00575680" w:rsidRPr="00575680">
        <w:rPr>
          <w:rFonts w:ascii="Times New Roman" w:hAnsi="Times New Roman" w:cs="Times New Roman"/>
          <w:smallCaps/>
          <w:sz w:val="24"/>
          <w:szCs w:val="24"/>
        </w:rPr>
        <w:t>mafusire</w:t>
      </w:r>
      <w:r w:rsidR="00575680">
        <w:rPr>
          <w:rFonts w:ascii="Times New Roman" w:hAnsi="Times New Roman" w:cs="Times New Roman"/>
          <w:sz w:val="24"/>
          <w:szCs w:val="24"/>
        </w:rPr>
        <w:t xml:space="preserve"> </w:t>
      </w:r>
      <w:r w:rsidR="00B17EC0">
        <w:rPr>
          <w:rFonts w:ascii="Times New Roman" w:hAnsi="Times New Roman" w:cs="Times New Roman"/>
          <w:sz w:val="24"/>
          <w:szCs w:val="24"/>
        </w:rPr>
        <w:t>J has remained extant.  It can safely be stated that the applicants proposed appeal has been determined by t</w:t>
      </w:r>
      <w:r w:rsidR="00575680">
        <w:rPr>
          <w:rFonts w:ascii="Times New Roman" w:hAnsi="Times New Roman" w:cs="Times New Roman"/>
          <w:sz w:val="24"/>
          <w:szCs w:val="24"/>
        </w:rPr>
        <w:t>h</w:t>
      </w:r>
      <w:r w:rsidR="00B17EC0">
        <w:rPr>
          <w:rFonts w:ascii="Times New Roman" w:hAnsi="Times New Roman" w:cs="Times New Roman"/>
          <w:sz w:val="24"/>
          <w:szCs w:val="24"/>
        </w:rPr>
        <w:t xml:space="preserve">is court to have prospects of success.  This court </w:t>
      </w:r>
      <w:r w:rsidR="00575680">
        <w:rPr>
          <w:rFonts w:ascii="Times New Roman" w:hAnsi="Times New Roman" w:cs="Times New Roman"/>
          <w:sz w:val="24"/>
          <w:szCs w:val="24"/>
        </w:rPr>
        <w:t xml:space="preserve">therefore previously </w:t>
      </w:r>
      <w:r w:rsidR="00B17EC0">
        <w:rPr>
          <w:rFonts w:ascii="Times New Roman" w:hAnsi="Times New Roman" w:cs="Times New Roman"/>
          <w:sz w:val="24"/>
          <w:szCs w:val="24"/>
        </w:rPr>
        <w:t xml:space="preserve">suspended the writ of execution pending the determination of the </w:t>
      </w:r>
      <w:r w:rsidR="00575680">
        <w:rPr>
          <w:rFonts w:ascii="Times New Roman" w:hAnsi="Times New Roman" w:cs="Times New Roman"/>
          <w:sz w:val="24"/>
          <w:szCs w:val="24"/>
        </w:rPr>
        <w:t xml:space="preserve">application for leave to appeal against the quantification of damages by order of </w:t>
      </w:r>
      <w:r w:rsidR="00575680" w:rsidRPr="00575680">
        <w:rPr>
          <w:rFonts w:ascii="Times New Roman" w:hAnsi="Times New Roman" w:cs="Times New Roman"/>
          <w:smallCaps/>
          <w:sz w:val="24"/>
          <w:szCs w:val="24"/>
        </w:rPr>
        <w:t>mafusire</w:t>
      </w:r>
      <w:r w:rsidR="00575680">
        <w:rPr>
          <w:rFonts w:ascii="Times New Roman" w:hAnsi="Times New Roman" w:cs="Times New Roman"/>
          <w:sz w:val="24"/>
          <w:szCs w:val="24"/>
        </w:rPr>
        <w:t xml:space="preserve"> J.</w:t>
      </w:r>
    </w:p>
    <w:p w:rsidR="00B17EC0" w:rsidRDefault="00B17EC0" w:rsidP="00475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to the appeal for leave to appeal against which execution on the merit was suspended by </w:t>
      </w:r>
      <w:r w:rsidR="006703F9" w:rsidRPr="006703F9">
        <w:rPr>
          <w:rFonts w:ascii="Times New Roman" w:hAnsi="Times New Roman" w:cs="Times New Roman"/>
          <w:smallCaps/>
          <w:sz w:val="24"/>
          <w:szCs w:val="24"/>
        </w:rPr>
        <w:t>mafusire</w:t>
      </w:r>
      <w:r w:rsidR="006703F9">
        <w:rPr>
          <w:rFonts w:ascii="Times New Roman" w:hAnsi="Times New Roman" w:cs="Times New Roman"/>
          <w:sz w:val="24"/>
          <w:szCs w:val="24"/>
        </w:rPr>
        <w:t xml:space="preserve"> </w:t>
      </w:r>
      <w:r>
        <w:rPr>
          <w:rFonts w:ascii="Times New Roman" w:hAnsi="Times New Roman" w:cs="Times New Roman"/>
          <w:sz w:val="24"/>
          <w:szCs w:val="24"/>
        </w:rPr>
        <w:t>J</w:t>
      </w:r>
      <w:r w:rsidR="006703F9">
        <w:rPr>
          <w:rFonts w:ascii="Times New Roman" w:hAnsi="Times New Roman" w:cs="Times New Roman"/>
          <w:sz w:val="24"/>
          <w:szCs w:val="24"/>
        </w:rPr>
        <w:t>,</w:t>
      </w:r>
      <w:r>
        <w:rPr>
          <w:rFonts w:ascii="Times New Roman" w:hAnsi="Times New Roman" w:cs="Times New Roman"/>
          <w:sz w:val="24"/>
          <w:szCs w:val="24"/>
        </w:rPr>
        <w:t xml:space="preserve"> the Labour Court did not determine the appeal on the merits and therefore, did not consider MAFUSIRE J judgment on the merits.  The Labour Court struck the matter off the roll.  This prompted the making of the application for leave to appeal to the Supreme </w:t>
      </w:r>
      <w:r>
        <w:rPr>
          <w:rFonts w:ascii="Times New Roman" w:hAnsi="Times New Roman" w:cs="Times New Roman"/>
          <w:sz w:val="24"/>
          <w:szCs w:val="24"/>
        </w:rPr>
        <w:lastRenderedPageBreak/>
        <w:t xml:space="preserve">Court.  The views and findings of </w:t>
      </w:r>
      <w:r w:rsidR="006703F9" w:rsidRPr="006703F9">
        <w:rPr>
          <w:rFonts w:ascii="Times New Roman" w:hAnsi="Times New Roman" w:cs="Times New Roman"/>
          <w:smallCaps/>
          <w:sz w:val="24"/>
          <w:szCs w:val="24"/>
        </w:rPr>
        <w:t>mafusire</w:t>
      </w:r>
      <w:r w:rsidR="006703F9">
        <w:rPr>
          <w:rFonts w:ascii="Times New Roman" w:hAnsi="Times New Roman" w:cs="Times New Roman"/>
          <w:sz w:val="24"/>
          <w:szCs w:val="24"/>
        </w:rPr>
        <w:t xml:space="preserve"> </w:t>
      </w:r>
      <w:r>
        <w:rPr>
          <w:rFonts w:ascii="Times New Roman" w:hAnsi="Times New Roman" w:cs="Times New Roman"/>
          <w:sz w:val="24"/>
          <w:szCs w:val="24"/>
        </w:rPr>
        <w:t xml:space="preserve">J in relation to the merits of the intended </w:t>
      </w:r>
      <w:r w:rsidR="005909FC">
        <w:rPr>
          <w:rFonts w:ascii="Times New Roman" w:hAnsi="Times New Roman" w:cs="Times New Roman"/>
          <w:sz w:val="24"/>
          <w:szCs w:val="24"/>
        </w:rPr>
        <w:t>appeal to the Supreme against the quantification award have remained extant and there are no developments or grounds to differ from them.  The development that the application was removed from the roll does not affect the findings on the merits of the intended appeal.  When the respondents opposed t</w:t>
      </w:r>
      <w:r w:rsidR="006703F9">
        <w:rPr>
          <w:rFonts w:ascii="Times New Roman" w:hAnsi="Times New Roman" w:cs="Times New Roman"/>
          <w:sz w:val="24"/>
          <w:szCs w:val="24"/>
        </w:rPr>
        <w:t>h</w:t>
      </w:r>
      <w:r w:rsidR="005909FC">
        <w:rPr>
          <w:rFonts w:ascii="Times New Roman" w:hAnsi="Times New Roman" w:cs="Times New Roman"/>
          <w:sz w:val="24"/>
          <w:szCs w:val="24"/>
        </w:rPr>
        <w:t>is application, they ought to leave known that the court had already determined that the intended appeal had merit and that in the absence of a c</w:t>
      </w:r>
      <w:r w:rsidR="005D006D">
        <w:rPr>
          <w:rFonts w:ascii="Times New Roman" w:hAnsi="Times New Roman" w:cs="Times New Roman"/>
          <w:sz w:val="24"/>
          <w:szCs w:val="24"/>
        </w:rPr>
        <w:t xml:space="preserve">hange of circumstances or facts, </w:t>
      </w:r>
      <w:r w:rsidR="005909FC">
        <w:rPr>
          <w:rFonts w:ascii="Times New Roman" w:hAnsi="Times New Roman" w:cs="Times New Roman"/>
          <w:sz w:val="24"/>
          <w:szCs w:val="24"/>
        </w:rPr>
        <w:t xml:space="preserve">that finding remains made.  The change of circumstances of note was that the order of </w:t>
      </w:r>
      <w:r w:rsidR="005D006D" w:rsidRPr="005D006D">
        <w:rPr>
          <w:rFonts w:ascii="Times New Roman" w:hAnsi="Times New Roman" w:cs="Times New Roman"/>
          <w:smallCaps/>
          <w:sz w:val="24"/>
          <w:szCs w:val="24"/>
        </w:rPr>
        <w:t>mafusire</w:t>
      </w:r>
      <w:r w:rsidR="005D006D">
        <w:rPr>
          <w:rFonts w:ascii="Times New Roman" w:hAnsi="Times New Roman" w:cs="Times New Roman"/>
          <w:sz w:val="24"/>
          <w:szCs w:val="24"/>
        </w:rPr>
        <w:t xml:space="preserve"> </w:t>
      </w:r>
      <w:r w:rsidR="005909FC">
        <w:rPr>
          <w:rFonts w:ascii="Times New Roman" w:hAnsi="Times New Roman" w:cs="Times New Roman"/>
          <w:sz w:val="24"/>
          <w:szCs w:val="24"/>
        </w:rPr>
        <w:t xml:space="preserve">J lapsed upon the </w:t>
      </w:r>
      <w:r w:rsidR="005D1503">
        <w:rPr>
          <w:rFonts w:ascii="Times New Roman" w:hAnsi="Times New Roman" w:cs="Times New Roman"/>
          <w:sz w:val="24"/>
          <w:szCs w:val="24"/>
        </w:rPr>
        <w:t xml:space="preserve">dismissal by the Labour Court of the </w:t>
      </w:r>
      <w:r w:rsidR="005D006D">
        <w:rPr>
          <w:rFonts w:ascii="Times New Roman" w:hAnsi="Times New Roman" w:cs="Times New Roman"/>
          <w:sz w:val="24"/>
          <w:szCs w:val="24"/>
        </w:rPr>
        <w:t>application for leave to appeal against the Labour Courts’ decision to strike the matter from the roll.</w:t>
      </w:r>
    </w:p>
    <w:p w:rsidR="00FE665F" w:rsidRPr="00FE665F" w:rsidRDefault="005D1503" w:rsidP="00FE665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t>The respondents noted in their opposing affidavits quite correctly th</w:t>
      </w:r>
      <w:r w:rsidR="00FE665F">
        <w:rPr>
          <w:rFonts w:ascii="Times New Roman" w:hAnsi="Times New Roman" w:cs="Times New Roman"/>
          <w:sz w:val="24"/>
          <w:szCs w:val="24"/>
        </w:rPr>
        <w:t xml:space="preserve">at the order of </w:t>
      </w:r>
      <w:r w:rsidR="001C4D0F" w:rsidRPr="001C4D0F">
        <w:rPr>
          <w:rFonts w:ascii="Times New Roman" w:hAnsi="Times New Roman" w:cs="Times New Roman"/>
          <w:smallCaps/>
          <w:sz w:val="24"/>
          <w:szCs w:val="24"/>
        </w:rPr>
        <w:t>mafusire</w:t>
      </w:r>
      <w:r w:rsidR="001C4D0F">
        <w:rPr>
          <w:rFonts w:ascii="Times New Roman" w:hAnsi="Times New Roman" w:cs="Times New Roman"/>
          <w:sz w:val="24"/>
          <w:szCs w:val="24"/>
        </w:rPr>
        <w:t xml:space="preserve"> </w:t>
      </w:r>
      <w:r w:rsidR="00FE665F">
        <w:rPr>
          <w:rFonts w:ascii="Times New Roman" w:hAnsi="Times New Roman" w:cs="Times New Roman"/>
          <w:sz w:val="24"/>
          <w:szCs w:val="24"/>
        </w:rPr>
        <w:t xml:space="preserve">J had </w:t>
      </w:r>
      <w:r w:rsidR="00FE665F" w:rsidRPr="00FE665F">
        <w:rPr>
          <w:rFonts w:ascii="Times New Roman" w:hAnsi="Times New Roman" w:cs="Times New Roman"/>
          <w:sz w:val="24"/>
          <w:szCs w:val="24"/>
          <w:lang w:val="en-ZW"/>
        </w:rPr>
        <w:t xml:space="preserve">lapsed.  They submitted that the application was not urgent, that </w:t>
      </w:r>
      <w:r w:rsidR="001C4D0F">
        <w:rPr>
          <w:rFonts w:ascii="Times New Roman" w:hAnsi="Times New Roman" w:cs="Times New Roman"/>
          <w:sz w:val="24"/>
          <w:szCs w:val="24"/>
          <w:lang w:val="en-ZW"/>
        </w:rPr>
        <w:t xml:space="preserve">the </w:t>
      </w:r>
      <w:r w:rsidR="00FE665F" w:rsidRPr="00FE665F">
        <w:rPr>
          <w:rFonts w:ascii="Times New Roman" w:hAnsi="Times New Roman" w:cs="Times New Roman"/>
          <w:sz w:val="24"/>
          <w:szCs w:val="24"/>
          <w:lang w:val="en-ZW"/>
        </w:rPr>
        <w:t xml:space="preserve">deponent to the founding affidavit had no authority to represent the applicant and that the applicants had committed a material non-disclosure.  The non-disclosure was stated to be the applicant’s failure to relate to the judgment of </w:t>
      </w:r>
      <w:r w:rsidR="001C4D0F" w:rsidRPr="001C4D0F">
        <w:rPr>
          <w:rFonts w:ascii="Times New Roman" w:hAnsi="Times New Roman" w:cs="Times New Roman"/>
          <w:smallCaps/>
          <w:sz w:val="24"/>
          <w:szCs w:val="24"/>
          <w:lang w:val="en-ZW"/>
        </w:rPr>
        <w:t>mafusire</w:t>
      </w:r>
      <w:r w:rsidR="001C4D0F" w:rsidRPr="00FE665F">
        <w:rPr>
          <w:rFonts w:ascii="Times New Roman" w:hAnsi="Times New Roman" w:cs="Times New Roman"/>
          <w:sz w:val="24"/>
          <w:szCs w:val="24"/>
          <w:lang w:val="en-ZW"/>
        </w:rPr>
        <w:t xml:space="preserve"> </w:t>
      </w:r>
      <w:r w:rsidR="00FE665F" w:rsidRPr="00FE665F">
        <w:rPr>
          <w:rFonts w:ascii="Times New Roman" w:hAnsi="Times New Roman" w:cs="Times New Roman"/>
          <w:sz w:val="24"/>
          <w:szCs w:val="24"/>
          <w:lang w:val="en-ZW"/>
        </w:rPr>
        <w:t xml:space="preserve">J and disclose that the order </w:t>
      </w:r>
      <w:r w:rsidR="005F171B">
        <w:rPr>
          <w:rFonts w:ascii="Times New Roman" w:hAnsi="Times New Roman" w:cs="Times New Roman"/>
          <w:sz w:val="24"/>
          <w:szCs w:val="24"/>
          <w:lang w:val="en-ZW"/>
        </w:rPr>
        <w:t xml:space="preserve">granted therein </w:t>
      </w:r>
      <w:r w:rsidR="00FE665F" w:rsidRPr="00FE665F">
        <w:rPr>
          <w:rFonts w:ascii="Times New Roman" w:hAnsi="Times New Roman" w:cs="Times New Roman"/>
          <w:sz w:val="24"/>
          <w:szCs w:val="24"/>
          <w:lang w:val="en-ZW"/>
        </w:rPr>
        <w:t xml:space="preserve">had lapsed.  However, it was clear from the papers that </w:t>
      </w:r>
      <w:r w:rsidR="005F171B">
        <w:rPr>
          <w:rFonts w:ascii="Times New Roman" w:hAnsi="Times New Roman" w:cs="Times New Roman"/>
          <w:sz w:val="24"/>
          <w:szCs w:val="24"/>
          <w:lang w:val="en-ZW"/>
        </w:rPr>
        <w:t xml:space="preserve">the non-disclosure objection amounted to </w:t>
      </w:r>
      <w:r w:rsidR="00FE665F" w:rsidRPr="00FE665F">
        <w:rPr>
          <w:rFonts w:ascii="Times New Roman" w:hAnsi="Times New Roman" w:cs="Times New Roman"/>
          <w:sz w:val="24"/>
          <w:szCs w:val="24"/>
          <w:lang w:val="en-ZW"/>
        </w:rPr>
        <w:t xml:space="preserve">an objection to form and not substance because the applicant attached the judgment of </w:t>
      </w:r>
      <w:r w:rsidR="005F171B" w:rsidRPr="005F171B">
        <w:rPr>
          <w:rFonts w:ascii="Times New Roman" w:hAnsi="Times New Roman" w:cs="Times New Roman"/>
          <w:smallCaps/>
          <w:sz w:val="24"/>
          <w:szCs w:val="24"/>
          <w:lang w:val="en-ZW"/>
        </w:rPr>
        <w:t>mafusire</w:t>
      </w:r>
      <w:r w:rsidR="005F171B" w:rsidRPr="00FE665F">
        <w:rPr>
          <w:rFonts w:ascii="Times New Roman" w:hAnsi="Times New Roman" w:cs="Times New Roman"/>
          <w:sz w:val="24"/>
          <w:szCs w:val="24"/>
          <w:lang w:val="en-ZW"/>
        </w:rPr>
        <w:t xml:space="preserve"> </w:t>
      </w:r>
      <w:r w:rsidR="00FE665F" w:rsidRPr="00FE665F">
        <w:rPr>
          <w:rFonts w:ascii="Times New Roman" w:hAnsi="Times New Roman" w:cs="Times New Roman"/>
          <w:sz w:val="24"/>
          <w:szCs w:val="24"/>
          <w:lang w:val="en-ZW"/>
        </w:rPr>
        <w:t xml:space="preserve">J and chronicled the paper trail following its making.  The applicants disclosed that their application for stay was dismissed and they filed an application to the Supreme Court.  It followed as a matter of law that the interim order of </w:t>
      </w:r>
      <w:r w:rsidR="005F171B" w:rsidRPr="005F171B">
        <w:rPr>
          <w:rFonts w:ascii="Times New Roman" w:hAnsi="Times New Roman" w:cs="Times New Roman"/>
          <w:smallCaps/>
          <w:sz w:val="24"/>
          <w:szCs w:val="24"/>
          <w:lang w:val="en-ZW"/>
        </w:rPr>
        <w:t>mafusire</w:t>
      </w:r>
      <w:r w:rsidR="005F171B" w:rsidRPr="00FE665F">
        <w:rPr>
          <w:rFonts w:ascii="Times New Roman" w:hAnsi="Times New Roman" w:cs="Times New Roman"/>
          <w:sz w:val="24"/>
          <w:szCs w:val="24"/>
          <w:lang w:val="en-ZW"/>
        </w:rPr>
        <w:t xml:space="preserve"> </w:t>
      </w:r>
      <w:r w:rsidR="00FE665F" w:rsidRPr="00FE665F">
        <w:rPr>
          <w:rFonts w:ascii="Times New Roman" w:hAnsi="Times New Roman" w:cs="Times New Roman"/>
          <w:sz w:val="24"/>
          <w:szCs w:val="24"/>
          <w:lang w:val="en-ZW"/>
        </w:rPr>
        <w:t>J lapsed.</w:t>
      </w:r>
    </w:p>
    <w:p w:rsidR="00FE665F" w:rsidRPr="00FE665F" w:rsidRDefault="00FE665F" w:rsidP="00FE665F">
      <w:pPr>
        <w:spacing w:after="0" w:line="360" w:lineRule="auto"/>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ab/>
        <w:t xml:space="preserve">The point </w:t>
      </w:r>
      <w:r w:rsidR="005F171B">
        <w:rPr>
          <w:rFonts w:ascii="Times New Roman" w:hAnsi="Times New Roman" w:cs="Times New Roman"/>
          <w:sz w:val="24"/>
          <w:szCs w:val="24"/>
          <w:lang w:val="en-ZW"/>
        </w:rPr>
        <w:t xml:space="preserve">in </w:t>
      </w:r>
      <w:r w:rsidR="005F171B" w:rsidRPr="005F171B">
        <w:rPr>
          <w:rFonts w:ascii="Times New Roman" w:hAnsi="Times New Roman" w:cs="Times New Roman"/>
          <w:i/>
          <w:sz w:val="24"/>
          <w:szCs w:val="24"/>
          <w:lang w:val="en-ZW"/>
        </w:rPr>
        <w:t>limine</w:t>
      </w:r>
      <w:r w:rsidR="005F171B">
        <w:rPr>
          <w:rFonts w:ascii="Times New Roman" w:hAnsi="Times New Roman" w:cs="Times New Roman"/>
          <w:sz w:val="24"/>
          <w:szCs w:val="24"/>
          <w:lang w:val="en-ZW"/>
        </w:rPr>
        <w:t xml:space="preserve"> on urgency was not persisted in</w:t>
      </w:r>
      <w:r w:rsidRPr="00FE665F">
        <w:rPr>
          <w:rFonts w:ascii="Times New Roman" w:hAnsi="Times New Roman" w:cs="Times New Roman"/>
          <w:sz w:val="24"/>
          <w:szCs w:val="24"/>
          <w:lang w:val="en-ZW"/>
        </w:rPr>
        <w:t xml:space="preserve"> after I directed by consent of the parties that the application be argued for final relief.  In respect of authority of the deponent to the founding affidavit to represent the applicant, the point was answered by affidavit of the applicant’s director who confirmed that the deponent was authorized to represent the applicant.  The respondents also submitted that the applicant had not disclosed that it had an appeal which was dismissed by the Supreme Court.  The exact nature of the appeal was not given nor its relationship with the relief sought herein.  The relief sought was simply that the writ of execution issued in case No. HC 2411/10 be suspended pending the determination by the Labour Court of application for leave to appeal to the Supreme Court filed under case No. LC/</w:t>
      </w:r>
    </w:p>
    <w:p w:rsidR="00FE665F" w:rsidRPr="00FE665F" w:rsidRDefault="00FE665F" w:rsidP="00FE665F">
      <w:pPr>
        <w:spacing w:after="0" w:line="360" w:lineRule="auto"/>
        <w:rPr>
          <w:rFonts w:ascii="Times New Roman" w:hAnsi="Times New Roman" w:cs="Times New Roman"/>
          <w:sz w:val="24"/>
          <w:szCs w:val="24"/>
          <w:lang w:val="en-ZW"/>
        </w:rPr>
      </w:pPr>
      <w:r w:rsidRPr="00FE665F">
        <w:rPr>
          <w:rFonts w:ascii="Times New Roman" w:hAnsi="Times New Roman" w:cs="Times New Roman"/>
          <w:sz w:val="24"/>
          <w:szCs w:val="24"/>
          <w:lang w:val="en-ZW"/>
        </w:rPr>
        <w:t xml:space="preserve"> H/APP/124/19.</w:t>
      </w:r>
    </w:p>
    <w:p w:rsidR="00FE665F" w:rsidRPr="00FE665F" w:rsidRDefault="00FE665F" w:rsidP="00FE665F">
      <w:pPr>
        <w:spacing w:after="0" w:line="360" w:lineRule="auto"/>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lastRenderedPageBreak/>
        <w:tab/>
        <w:t xml:space="preserve">I have already related to the findings made by </w:t>
      </w:r>
      <w:r w:rsidR="003814D7" w:rsidRPr="003814D7">
        <w:rPr>
          <w:rFonts w:ascii="Times New Roman" w:hAnsi="Times New Roman" w:cs="Times New Roman"/>
          <w:smallCaps/>
          <w:sz w:val="24"/>
          <w:szCs w:val="24"/>
          <w:lang w:val="en-ZW"/>
        </w:rPr>
        <w:t>mafusire</w:t>
      </w:r>
      <w:r w:rsidR="003814D7" w:rsidRPr="00FE665F">
        <w:rPr>
          <w:rFonts w:ascii="Times New Roman" w:hAnsi="Times New Roman" w:cs="Times New Roman"/>
          <w:sz w:val="24"/>
          <w:szCs w:val="24"/>
          <w:lang w:val="en-ZW"/>
        </w:rPr>
        <w:t xml:space="preserve"> </w:t>
      </w:r>
      <w:r w:rsidRPr="00FE665F">
        <w:rPr>
          <w:rFonts w:ascii="Times New Roman" w:hAnsi="Times New Roman" w:cs="Times New Roman"/>
          <w:sz w:val="24"/>
          <w:szCs w:val="24"/>
          <w:lang w:val="en-ZW"/>
        </w:rPr>
        <w:t xml:space="preserve">J on whether the applicant has a cause worthy to be granted the protection of the court by way of suspending the writ of execution.  The application </w:t>
      </w:r>
      <w:r w:rsidRPr="00FE665F">
        <w:rPr>
          <w:rFonts w:ascii="Times New Roman" w:hAnsi="Times New Roman" w:cs="Times New Roman"/>
          <w:i/>
          <w:sz w:val="24"/>
          <w:szCs w:val="24"/>
          <w:lang w:val="en-ZW"/>
        </w:rPr>
        <w:t>in casu</w:t>
      </w:r>
      <w:r w:rsidR="003814D7">
        <w:rPr>
          <w:rFonts w:ascii="Times New Roman" w:hAnsi="Times New Roman" w:cs="Times New Roman"/>
          <w:sz w:val="24"/>
          <w:szCs w:val="24"/>
          <w:lang w:val="en-ZW"/>
        </w:rPr>
        <w:t xml:space="preserve"> is in the nature of a final interdict</w:t>
      </w:r>
      <w:r w:rsidRPr="00FE665F">
        <w:rPr>
          <w:rFonts w:ascii="Times New Roman" w:hAnsi="Times New Roman" w:cs="Times New Roman"/>
          <w:sz w:val="24"/>
          <w:szCs w:val="24"/>
          <w:lang w:val="en-ZW"/>
        </w:rPr>
        <w:t xml:space="preserve">.  The process of execution is controlled by the court as much as the court regulates its processes subject to the rules of court see </w:t>
      </w:r>
      <w:r w:rsidRPr="00FE665F">
        <w:rPr>
          <w:rFonts w:ascii="Times New Roman" w:hAnsi="Times New Roman" w:cs="Times New Roman"/>
          <w:i/>
          <w:sz w:val="24"/>
          <w:szCs w:val="24"/>
          <w:lang w:val="en-ZW"/>
        </w:rPr>
        <w:t>Stumbles &amp; Rowe v Mattinson</w:t>
      </w:r>
      <w:r w:rsidRPr="00FE665F">
        <w:rPr>
          <w:rFonts w:ascii="Times New Roman" w:hAnsi="Times New Roman" w:cs="Times New Roman"/>
          <w:sz w:val="24"/>
          <w:szCs w:val="24"/>
          <w:lang w:val="en-ZW"/>
        </w:rPr>
        <w:t xml:space="preserve"> 1989(1) ZLR 172(H).  The requirements for a final interdict are well established.  They may be listed as per the authority of </w:t>
      </w:r>
      <w:r w:rsidRPr="00FE665F">
        <w:rPr>
          <w:rFonts w:ascii="Times New Roman" w:hAnsi="Times New Roman" w:cs="Times New Roman"/>
          <w:i/>
          <w:sz w:val="24"/>
          <w:szCs w:val="24"/>
          <w:lang w:val="en-ZW"/>
        </w:rPr>
        <w:t>Pauline Makoni</w:t>
      </w:r>
      <w:r w:rsidRPr="00FE665F">
        <w:rPr>
          <w:rFonts w:ascii="Times New Roman" w:hAnsi="Times New Roman" w:cs="Times New Roman"/>
          <w:sz w:val="24"/>
          <w:szCs w:val="24"/>
          <w:lang w:val="en-ZW"/>
        </w:rPr>
        <w:t xml:space="preserve"> v </w:t>
      </w:r>
      <w:r w:rsidRPr="00FE665F">
        <w:rPr>
          <w:rFonts w:ascii="Times New Roman" w:hAnsi="Times New Roman" w:cs="Times New Roman"/>
          <w:i/>
          <w:sz w:val="24"/>
          <w:szCs w:val="24"/>
          <w:lang w:val="en-ZW"/>
        </w:rPr>
        <w:t>Julius Makoni &amp; Anor</w:t>
      </w:r>
      <w:r w:rsidRPr="00FE665F">
        <w:rPr>
          <w:rFonts w:ascii="Times New Roman" w:hAnsi="Times New Roman" w:cs="Times New Roman"/>
          <w:sz w:val="24"/>
          <w:szCs w:val="24"/>
          <w:lang w:val="en-ZW"/>
        </w:rPr>
        <w:t xml:space="preserve"> HH 820-15 per </w:t>
      </w:r>
      <w:r w:rsidR="003814D7" w:rsidRPr="003814D7">
        <w:rPr>
          <w:rFonts w:ascii="Times New Roman" w:hAnsi="Times New Roman" w:cs="Times New Roman"/>
          <w:smallCaps/>
          <w:sz w:val="24"/>
          <w:szCs w:val="24"/>
          <w:lang w:val="en-ZW"/>
        </w:rPr>
        <w:t>mwayera</w:t>
      </w:r>
      <w:r w:rsidR="003814D7" w:rsidRPr="00FE665F">
        <w:rPr>
          <w:rFonts w:ascii="Times New Roman" w:hAnsi="Times New Roman" w:cs="Times New Roman"/>
          <w:sz w:val="24"/>
          <w:szCs w:val="24"/>
          <w:lang w:val="en-ZW"/>
        </w:rPr>
        <w:t xml:space="preserve"> </w:t>
      </w:r>
      <w:r w:rsidRPr="00FE665F">
        <w:rPr>
          <w:rFonts w:ascii="Times New Roman" w:hAnsi="Times New Roman" w:cs="Times New Roman"/>
          <w:sz w:val="24"/>
          <w:szCs w:val="24"/>
          <w:lang w:val="en-ZW"/>
        </w:rPr>
        <w:t>J and cases cited therein as follows:</w:t>
      </w:r>
    </w:p>
    <w:p w:rsidR="00FE665F" w:rsidRPr="00FE665F" w:rsidRDefault="00FE665F" w:rsidP="00FE665F">
      <w:pPr>
        <w:numPr>
          <w:ilvl w:val="0"/>
          <w:numId w:val="9"/>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a clear right which must be established on the balance of probabilities;</w:t>
      </w:r>
    </w:p>
    <w:p w:rsidR="00FE665F" w:rsidRPr="00FE665F" w:rsidRDefault="00FE665F" w:rsidP="00FE665F">
      <w:pPr>
        <w:numPr>
          <w:ilvl w:val="0"/>
          <w:numId w:val="9"/>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irreparable harm actually committed or reasonably apprehended;</w:t>
      </w:r>
    </w:p>
    <w:p w:rsidR="00FE665F" w:rsidRPr="00FE665F" w:rsidRDefault="00FE665F" w:rsidP="00FE665F">
      <w:pPr>
        <w:numPr>
          <w:ilvl w:val="0"/>
          <w:numId w:val="9"/>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the absence of similar protection by any other remedy.</w:t>
      </w:r>
    </w:p>
    <w:p w:rsidR="00FE665F" w:rsidRPr="00FE665F" w:rsidRDefault="00FE665F" w:rsidP="00FE665F">
      <w:pPr>
        <w:spacing w:after="0" w:line="360" w:lineRule="auto"/>
        <w:ind w:firstLine="720"/>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 xml:space="preserve">The applicant’s clear right was established.  It has the </w:t>
      </w:r>
      <w:r w:rsidRPr="00FE665F">
        <w:rPr>
          <w:rFonts w:ascii="Times New Roman" w:hAnsi="Times New Roman" w:cs="Times New Roman"/>
          <w:i/>
          <w:sz w:val="24"/>
          <w:szCs w:val="24"/>
          <w:lang w:val="en-ZW"/>
        </w:rPr>
        <w:t>locus standi</w:t>
      </w:r>
      <w:r w:rsidRPr="00FE665F">
        <w:rPr>
          <w:rFonts w:ascii="Times New Roman" w:hAnsi="Times New Roman" w:cs="Times New Roman"/>
          <w:sz w:val="24"/>
          <w:szCs w:val="24"/>
          <w:lang w:val="en-ZW"/>
        </w:rPr>
        <w:t xml:space="preserve"> and right t</w:t>
      </w:r>
      <w:r w:rsidR="003814D7">
        <w:rPr>
          <w:rFonts w:ascii="Times New Roman" w:hAnsi="Times New Roman" w:cs="Times New Roman"/>
          <w:sz w:val="24"/>
          <w:szCs w:val="24"/>
          <w:lang w:val="en-ZW"/>
        </w:rPr>
        <w:t>o seek a suspension of the writ</w:t>
      </w:r>
      <w:r w:rsidRPr="00FE665F">
        <w:rPr>
          <w:rFonts w:ascii="Times New Roman" w:hAnsi="Times New Roman" w:cs="Times New Roman"/>
          <w:sz w:val="24"/>
          <w:szCs w:val="24"/>
          <w:lang w:val="en-ZW"/>
        </w:rPr>
        <w:t xml:space="preserve"> of execution pending the determination by the Labour Court of its application for leave to appeal to the Supreme Court application.  That application was pending determination on the making of this application and was filed under case No. LC/H./APP/124/19.  The court is entitled to regulate its process and either suspend execution of its writ or order that execution be continued.  There is a risk of irreparable harm present because the attached goods if sold will result in </w:t>
      </w:r>
      <w:r w:rsidR="003814D7">
        <w:rPr>
          <w:rFonts w:ascii="Times New Roman" w:hAnsi="Times New Roman" w:cs="Times New Roman"/>
          <w:sz w:val="24"/>
          <w:szCs w:val="24"/>
          <w:lang w:val="en-ZW"/>
        </w:rPr>
        <w:t>the paralysis of the applicant i</w:t>
      </w:r>
      <w:r w:rsidRPr="00FE665F">
        <w:rPr>
          <w:rFonts w:ascii="Times New Roman" w:hAnsi="Times New Roman" w:cs="Times New Roman"/>
          <w:sz w:val="24"/>
          <w:szCs w:val="24"/>
          <w:lang w:val="en-ZW"/>
        </w:rPr>
        <w:t>n its operations.  The respondents did not dispute the allegation that the attached goods as listed in the notice of seizure and attachment comprised of goods in use for the applicant’s operations.  The respondents did not offer security to show that they would be able to restitute the huge amounts on the writ in the event that leave to appeal is granted by the Labour Court and the Supreme Court ultimately resolves the matter in favour of the applicants.  If the execution is allowed to continue, then the applicants would not have any similar protection seeing as it is that the respondents did not indicate that they would be able to recompense the applicant.</w:t>
      </w:r>
    </w:p>
    <w:p w:rsidR="00FE665F" w:rsidRPr="00FE665F" w:rsidRDefault="00FE665F" w:rsidP="00FE665F">
      <w:pPr>
        <w:spacing w:after="0" w:line="360" w:lineRule="auto"/>
        <w:ind w:firstLine="720"/>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 xml:space="preserve">As a general observation, my view is that where suspension of execution on a writ is sought on the basis there is a pending court process which challenges the judgment on which execution is derived, if the challenge has reasonable prospects of success, then serious consideration should be given to the grant of a suspension in order to safeguard the pending litigation and avoid turning the challenge on the judgment academic as would be the case if execution is granted.  The circumstances of each case will in all cases determine the way the court exercises its discretion to </w:t>
      </w:r>
      <w:r w:rsidRPr="00FE665F">
        <w:rPr>
          <w:rFonts w:ascii="Times New Roman" w:hAnsi="Times New Roman" w:cs="Times New Roman"/>
          <w:sz w:val="24"/>
          <w:szCs w:val="24"/>
          <w:lang w:val="en-ZW"/>
        </w:rPr>
        <w:lastRenderedPageBreak/>
        <w:t xml:space="preserve">order execution or refuse it.  </w:t>
      </w:r>
      <w:r w:rsidRPr="00FE665F">
        <w:rPr>
          <w:rFonts w:ascii="Times New Roman" w:hAnsi="Times New Roman" w:cs="Times New Roman"/>
          <w:i/>
          <w:sz w:val="24"/>
          <w:szCs w:val="24"/>
          <w:lang w:val="en-ZW"/>
        </w:rPr>
        <w:t>In casu</w:t>
      </w:r>
      <w:r w:rsidRPr="00FE665F">
        <w:rPr>
          <w:rFonts w:ascii="Times New Roman" w:hAnsi="Times New Roman" w:cs="Times New Roman"/>
          <w:sz w:val="24"/>
          <w:szCs w:val="24"/>
          <w:lang w:val="en-ZW"/>
        </w:rPr>
        <w:t xml:space="preserve">, a finding which I agree with was made by </w:t>
      </w:r>
      <w:r w:rsidR="003814D7" w:rsidRPr="003814D7">
        <w:rPr>
          <w:rFonts w:ascii="Times New Roman" w:hAnsi="Times New Roman" w:cs="Times New Roman"/>
          <w:smallCaps/>
          <w:sz w:val="24"/>
          <w:szCs w:val="24"/>
          <w:lang w:val="en-ZW"/>
        </w:rPr>
        <w:t>mafusire</w:t>
      </w:r>
      <w:r w:rsidR="003814D7" w:rsidRPr="00FE665F">
        <w:rPr>
          <w:rFonts w:ascii="Times New Roman" w:hAnsi="Times New Roman" w:cs="Times New Roman"/>
          <w:sz w:val="24"/>
          <w:szCs w:val="24"/>
          <w:lang w:val="en-ZW"/>
        </w:rPr>
        <w:t xml:space="preserve"> </w:t>
      </w:r>
      <w:r w:rsidR="003814D7">
        <w:rPr>
          <w:rFonts w:ascii="Times New Roman" w:hAnsi="Times New Roman" w:cs="Times New Roman"/>
          <w:sz w:val="24"/>
          <w:szCs w:val="24"/>
          <w:lang w:val="en-ZW"/>
        </w:rPr>
        <w:t>J that the arbitrator</w:t>
      </w:r>
      <w:r w:rsidRPr="00FE665F">
        <w:rPr>
          <w:rFonts w:ascii="Times New Roman" w:hAnsi="Times New Roman" w:cs="Times New Roman"/>
          <w:sz w:val="24"/>
          <w:szCs w:val="24"/>
          <w:lang w:val="en-ZW"/>
        </w:rPr>
        <w:t xml:space="preserve"> erred in material respects is not taking into account the duty of the employee to mitigate his damages, see </w:t>
      </w:r>
      <w:r w:rsidRPr="00FE665F">
        <w:rPr>
          <w:rFonts w:ascii="Times New Roman" w:hAnsi="Times New Roman" w:cs="Times New Roman"/>
          <w:i/>
          <w:sz w:val="24"/>
          <w:szCs w:val="24"/>
          <w:lang w:val="en-ZW"/>
        </w:rPr>
        <w:t>Ambali v Bata Shoe Company</w:t>
      </w:r>
      <w:r w:rsidRPr="00FE665F">
        <w:rPr>
          <w:rFonts w:ascii="Times New Roman" w:hAnsi="Times New Roman" w:cs="Times New Roman"/>
          <w:sz w:val="24"/>
          <w:szCs w:val="24"/>
          <w:lang w:val="en-ZW"/>
        </w:rPr>
        <w:t xml:space="preserve"> 1999(1) ZLR 417(S).  Such misdirection would be material if accepted by the Supreme Court and would substantially alter the size of the payout due to each respondent.  In my view the applicant established the case for a final interdict.</w:t>
      </w:r>
    </w:p>
    <w:p w:rsidR="00FE665F" w:rsidRPr="00FE665F" w:rsidRDefault="00FE665F" w:rsidP="00FE665F">
      <w:pPr>
        <w:spacing w:after="0" w:line="360" w:lineRule="auto"/>
        <w:ind w:firstLine="720"/>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The outstanding issue is one of costs.  Costs are in the discreti</w:t>
      </w:r>
      <w:r w:rsidR="008C68D2">
        <w:rPr>
          <w:rFonts w:ascii="Times New Roman" w:hAnsi="Times New Roman" w:cs="Times New Roman"/>
          <w:sz w:val="24"/>
          <w:szCs w:val="24"/>
          <w:lang w:val="en-ZW"/>
        </w:rPr>
        <w:t>on of the court</w:t>
      </w:r>
      <w:r w:rsidR="003814D7">
        <w:rPr>
          <w:rFonts w:ascii="Times New Roman" w:hAnsi="Times New Roman" w:cs="Times New Roman"/>
          <w:sz w:val="24"/>
          <w:szCs w:val="24"/>
          <w:lang w:val="en-ZW"/>
        </w:rPr>
        <w:t xml:space="preserve">. </w:t>
      </w:r>
      <w:r w:rsidRPr="00FE665F">
        <w:rPr>
          <w:rFonts w:ascii="Times New Roman" w:hAnsi="Times New Roman" w:cs="Times New Roman"/>
          <w:sz w:val="24"/>
          <w:szCs w:val="24"/>
          <w:lang w:val="en-ZW"/>
        </w:rPr>
        <w:t xml:space="preserve"> The applicants were within their rights to seek a suspension of execution pending the determination of the application for leave to appeal.  The respondent</w:t>
      </w:r>
      <w:r w:rsidR="003814D7">
        <w:rPr>
          <w:rFonts w:ascii="Times New Roman" w:hAnsi="Times New Roman" w:cs="Times New Roman"/>
          <w:sz w:val="24"/>
          <w:szCs w:val="24"/>
          <w:lang w:val="en-ZW"/>
        </w:rPr>
        <w:t>s</w:t>
      </w:r>
      <w:r w:rsidR="008C68D2">
        <w:rPr>
          <w:rFonts w:ascii="Times New Roman" w:hAnsi="Times New Roman" w:cs="Times New Roman"/>
          <w:sz w:val="24"/>
          <w:szCs w:val="24"/>
          <w:lang w:val="en-ZW"/>
        </w:rPr>
        <w:t xml:space="preserve"> were entitled to proceed with</w:t>
      </w:r>
      <w:r w:rsidR="003814D7">
        <w:rPr>
          <w:rFonts w:ascii="Times New Roman" w:hAnsi="Times New Roman" w:cs="Times New Roman"/>
          <w:sz w:val="24"/>
          <w:szCs w:val="24"/>
          <w:lang w:val="en-ZW"/>
        </w:rPr>
        <w:t xml:space="preserve"> </w:t>
      </w:r>
      <w:r w:rsidR="008C68D2">
        <w:rPr>
          <w:rFonts w:ascii="Times New Roman" w:hAnsi="Times New Roman" w:cs="Times New Roman"/>
          <w:sz w:val="24"/>
          <w:szCs w:val="24"/>
          <w:lang w:val="en-ZW"/>
        </w:rPr>
        <w:t>execution as a matter</w:t>
      </w:r>
      <w:r w:rsidRPr="00FE665F">
        <w:rPr>
          <w:rFonts w:ascii="Times New Roman" w:hAnsi="Times New Roman" w:cs="Times New Roman"/>
          <w:sz w:val="24"/>
          <w:szCs w:val="24"/>
          <w:lang w:val="en-ZW"/>
        </w:rPr>
        <w:t xml:space="preserve"> of law</w:t>
      </w:r>
      <w:r w:rsidR="008C68D2">
        <w:rPr>
          <w:rFonts w:ascii="Times New Roman" w:hAnsi="Times New Roman" w:cs="Times New Roman"/>
          <w:sz w:val="24"/>
          <w:szCs w:val="24"/>
          <w:lang w:val="en-ZW"/>
        </w:rPr>
        <w:t xml:space="preserve">. They </w:t>
      </w:r>
      <w:r w:rsidRPr="00FE665F">
        <w:rPr>
          <w:rFonts w:ascii="Times New Roman" w:hAnsi="Times New Roman" w:cs="Times New Roman"/>
          <w:sz w:val="24"/>
          <w:szCs w:val="24"/>
          <w:lang w:val="en-ZW"/>
        </w:rPr>
        <w:t>cannot be faulted for defending</w:t>
      </w:r>
      <w:r w:rsidR="003814D7">
        <w:rPr>
          <w:rFonts w:ascii="Times New Roman" w:hAnsi="Times New Roman" w:cs="Times New Roman"/>
          <w:sz w:val="24"/>
          <w:szCs w:val="24"/>
          <w:lang w:val="en-ZW"/>
        </w:rPr>
        <w:t xml:space="preserve"> the application.  Besides, the issue </w:t>
      </w:r>
      <w:r w:rsidRPr="00FE665F">
        <w:rPr>
          <w:rFonts w:ascii="Times New Roman" w:hAnsi="Times New Roman" w:cs="Times New Roman"/>
          <w:sz w:val="24"/>
          <w:szCs w:val="24"/>
          <w:lang w:val="en-ZW"/>
        </w:rPr>
        <w:t>between the parties still remains one arising from a labour dispute where the courts as a rule of practice are slow to penalize parties with a costs order</w:t>
      </w:r>
      <w:r w:rsidR="005B1D1C">
        <w:rPr>
          <w:rFonts w:ascii="Times New Roman" w:hAnsi="Times New Roman" w:cs="Times New Roman"/>
          <w:sz w:val="24"/>
          <w:szCs w:val="24"/>
          <w:lang w:val="en-ZW"/>
        </w:rPr>
        <w:t xml:space="preserve">.  </w:t>
      </w:r>
      <w:r w:rsidRPr="00FE665F">
        <w:rPr>
          <w:rFonts w:ascii="Times New Roman" w:hAnsi="Times New Roman" w:cs="Times New Roman"/>
          <w:sz w:val="24"/>
          <w:szCs w:val="24"/>
          <w:lang w:val="en-ZW"/>
        </w:rPr>
        <w:t>The respondents are owed some money by the applicant, the quantity of which is under disputation.  Both parties are justified to defend their positions and strict</w:t>
      </w:r>
      <w:r w:rsidR="005B1D1C">
        <w:rPr>
          <w:rFonts w:ascii="Times New Roman" w:hAnsi="Times New Roman" w:cs="Times New Roman"/>
          <w:sz w:val="24"/>
          <w:szCs w:val="24"/>
          <w:lang w:val="en-ZW"/>
        </w:rPr>
        <w:t>ly speaking,</w:t>
      </w:r>
      <w:r w:rsidRPr="00FE665F">
        <w:rPr>
          <w:rFonts w:ascii="Times New Roman" w:hAnsi="Times New Roman" w:cs="Times New Roman"/>
          <w:sz w:val="24"/>
          <w:szCs w:val="24"/>
          <w:lang w:val="en-ZW"/>
        </w:rPr>
        <w:t xml:space="preserve"> there is no </w:t>
      </w:r>
      <w:r w:rsidR="005B1D1C">
        <w:rPr>
          <w:rFonts w:ascii="Times New Roman" w:hAnsi="Times New Roman" w:cs="Times New Roman"/>
          <w:sz w:val="24"/>
          <w:szCs w:val="24"/>
          <w:lang w:val="en-ZW"/>
        </w:rPr>
        <w:t xml:space="preserve">outright in the application </w:t>
      </w:r>
      <w:r w:rsidRPr="00FE665F">
        <w:rPr>
          <w:rFonts w:ascii="Times New Roman" w:hAnsi="Times New Roman" w:cs="Times New Roman"/>
          <w:sz w:val="24"/>
          <w:szCs w:val="24"/>
          <w:lang w:val="en-ZW"/>
        </w:rPr>
        <w:t>winner.  The process of bringing the dispute to finality is still ongoing.  It is justiciable not to make a costs order.</w:t>
      </w:r>
    </w:p>
    <w:p w:rsidR="00FE665F" w:rsidRPr="00FE665F" w:rsidRDefault="00FE665F" w:rsidP="00FE665F">
      <w:pPr>
        <w:spacing w:after="0" w:line="360" w:lineRule="auto"/>
        <w:ind w:firstLine="720"/>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 xml:space="preserve">Before I conclude, I must record that the parties were granted time to try and resolve their issue.  The process went on and on until the parties were called to indicate whether there was room for settlement.  The applicant then indicated that the Labour Court had granted leave to appeal.  The applicant </w:t>
      </w:r>
      <w:r w:rsidR="005B1D1C">
        <w:rPr>
          <w:rFonts w:ascii="Times New Roman" w:hAnsi="Times New Roman" w:cs="Times New Roman"/>
          <w:sz w:val="24"/>
          <w:szCs w:val="24"/>
          <w:lang w:val="en-ZW"/>
        </w:rPr>
        <w:t xml:space="preserve">also </w:t>
      </w:r>
      <w:r w:rsidRPr="00FE665F">
        <w:rPr>
          <w:rFonts w:ascii="Times New Roman" w:hAnsi="Times New Roman" w:cs="Times New Roman"/>
          <w:sz w:val="24"/>
          <w:szCs w:val="24"/>
          <w:lang w:val="en-ZW"/>
        </w:rPr>
        <w:t>point</w:t>
      </w:r>
      <w:r w:rsidR="005B1D1C">
        <w:rPr>
          <w:rFonts w:ascii="Times New Roman" w:hAnsi="Times New Roman" w:cs="Times New Roman"/>
          <w:sz w:val="24"/>
          <w:szCs w:val="24"/>
          <w:lang w:val="en-ZW"/>
        </w:rPr>
        <w:t>ed</w:t>
      </w:r>
      <w:r w:rsidRPr="00FE665F">
        <w:rPr>
          <w:rFonts w:ascii="Times New Roman" w:hAnsi="Times New Roman" w:cs="Times New Roman"/>
          <w:sz w:val="24"/>
          <w:szCs w:val="24"/>
          <w:lang w:val="en-ZW"/>
        </w:rPr>
        <w:t xml:space="preserve"> out that it had paid the judgment debt by RTGS transfer into the account of the legal practitioners for the respondents.  The parties agreed to again </w:t>
      </w:r>
      <w:r w:rsidR="005B1D1C" w:rsidRPr="00FE665F">
        <w:rPr>
          <w:rFonts w:ascii="Times New Roman" w:hAnsi="Times New Roman" w:cs="Times New Roman"/>
          <w:sz w:val="24"/>
          <w:szCs w:val="24"/>
          <w:lang w:val="en-ZW"/>
        </w:rPr>
        <w:t xml:space="preserve">discuss </w:t>
      </w:r>
      <w:r w:rsidR="005B1D1C">
        <w:rPr>
          <w:rFonts w:ascii="Times New Roman" w:hAnsi="Times New Roman" w:cs="Times New Roman"/>
          <w:sz w:val="24"/>
          <w:szCs w:val="24"/>
          <w:lang w:val="en-ZW"/>
        </w:rPr>
        <w:t>this development in the light of the applicant’s assertions</w:t>
      </w:r>
      <w:r w:rsidRPr="00FE665F">
        <w:rPr>
          <w:rFonts w:ascii="Times New Roman" w:hAnsi="Times New Roman" w:cs="Times New Roman"/>
          <w:sz w:val="24"/>
          <w:szCs w:val="24"/>
          <w:lang w:val="en-ZW"/>
        </w:rPr>
        <w:t>.  It appeared to me that the matter would be resolved.  The respondents’ legal practitioners renounced agency and the respondents became self-actors of which they remain so on record.  They have persisted that they want a written judgment on the application to be issued.  Regrettably the onset of COVID-19 lockdowns delayed the judgment and changed set targets and promises mad</w:t>
      </w:r>
      <w:r w:rsidR="005B1D1C">
        <w:rPr>
          <w:rFonts w:ascii="Times New Roman" w:hAnsi="Times New Roman" w:cs="Times New Roman"/>
          <w:sz w:val="24"/>
          <w:szCs w:val="24"/>
          <w:lang w:val="en-ZW"/>
        </w:rPr>
        <w:t>e</w:t>
      </w:r>
      <w:r w:rsidR="008C68D2">
        <w:rPr>
          <w:rFonts w:ascii="Times New Roman" w:hAnsi="Times New Roman" w:cs="Times New Roman"/>
          <w:sz w:val="24"/>
          <w:szCs w:val="24"/>
          <w:lang w:val="en-ZW"/>
        </w:rPr>
        <w:t xml:space="preserve"> on possible dates of judgment.  W</w:t>
      </w:r>
      <w:r w:rsidR="005B1D1C">
        <w:rPr>
          <w:rFonts w:ascii="Times New Roman" w:hAnsi="Times New Roman" w:cs="Times New Roman"/>
          <w:sz w:val="24"/>
          <w:szCs w:val="24"/>
          <w:lang w:val="en-ZW"/>
        </w:rPr>
        <w:t>hether this judgment is now academic is not</w:t>
      </w:r>
      <w:r w:rsidR="008C68D2">
        <w:rPr>
          <w:rFonts w:ascii="Times New Roman" w:hAnsi="Times New Roman" w:cs="Times New Roman"/>
          <w:sz w:val="24"/>
          <w:szCs w:val="24"/>
          <w:lang w:val="en-ZW"/>
        </w:rPr>
        <w:t xml:space="preserve"> a decision</w:t>
      </w:r>
      <w:r w:rsidR="005B1D1C">
        <w:rPr>
          <w:rFonts w:ascii="Times New Roman" w:hAnsi="Times New Roman" w:cs="Times New Roman"/>
          <w:sz w:val="24"/>
          <w:szCs w:val="24"/>
          <w:lang w:val="en-ZW"/>
        </w:rPr>
        <w:t xml:space="preserve"> for me to make since I have been requested to determine the application on the papers filed.</w:t>
      </w:r>
    </w:p>
    <w:p w:rsidR="00FE665F" w:rsidRPr="00FE665F" w:rsidRDefault="00FE665F" w:rsidP="00FE665F">
      <w:pPr>
        <w:spacing w:after="0" w:line="360" w:lineRule="auto"/>
        <w:ind w:firstLine="720"/>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In all the circumstances of the case I determine that:</w:t>
      </w:r>
    </w:p>
    <w:p w:rsidR="00FE665F" w:rsidRPr="00FE665F" w:rsidRDefault="00FE665F" w:rsidP="00FE665F">
      <w:pPr>
        <w:numPr>
          <w:ilvl w:val="0"/>
          <w:numId w:val="10"/>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The application succeeds.</w:t>
      </w:r>
    </w:p>
    <w:p w:rsidR="00FE665F" w:rsidRPr="00FE665F" w:rsidRDefault="00FE665F" w:rsidP="00FE665F">
      <w:pPr>
        <w:numPr>
          <w:ilvl w:val="0"/>
          <w:numId w:val="10"/>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lastRenderedPageBreak/>
        <w:t>The operation of the writ of execution issued in case No. HC 2411/10 is suspended pending finalisation of the application for leave to appeal in case No. LC/H/APP/124/19.</w:t>
      </w:r>
    </w:p>
    <w:p w:rsidR="00FE665F" w:rsidRPr="00FE665F" w:rsidRDefault="00FE665F" w:rsidP="00FE665F">
      <w:pPr>
        <w:numPr>
          <w:ilvl w:val="0"/>
          <w:numId w:val="10"/>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The notice of seizure and attachment of applicant’s goods issued by the Sheriff on 2 December 2019 is set aside.</w:t>
      </w:r>
    </w:p>
    <w:p w:rsidR="00FE665F" w:rsidRPr="00FE665F" w:rsidRDefault="00FE665F" w:rsidP="00FE665F">
      <w:pPr>
        <w:numPr>
          <w:ilvl w:val="0"/>
          <w:numId w:val="10"/>
        </w:numPr>
        <w:spacing w:after="0" w:line="360" w:lineRule="auto"/>
        <w:contextualSpacing/>
        <w:jc w:val="both"/>
        <w:rPr>
          <w:rFonts w:ascii="Times New Roman" w:hAnsi="Times New Roman" w:cs="Times New Roman"/>
          <w:sz w:val="24"/>
          <w:szCs w:val="24"/>
          <w:lang w:val="en-ZW"/>
        </w:rPr>
      </w:pPr>
      <w:r w:rsidRPr="00FE665F">
        <w:rPr>
          <w:rFonts w:ascii="Times New Roman" w:hAnsi="Times New Roman" w:cs="Times New Roman"/>
          <w:sz w:val="24"/>
          <w:szCs w:val="24"/>
          <w:lang w:val="en-ZW"/>
        </w:rPr>
        <w:t>Each party shall bear its own costs.</w:t>
      </w:r>
    </w:p>
    <w:p w:rsidR="00FE665F" w:rsidRPr="00FE665F" w:rsidRDefault="00FE665F" w:rsidP="00FE665F">
      <w:pPr>
        <w:spacing w:after="0" w:line="360" w:lineRule="auto"/>
        <w:jc w:val="both"/>
        <w:rPr>
          <w:rFonts w:ascii="Times New Roman" w:hAnsi="Times New Roman" w:cs="Times New Roman"/>
          <w:sz w:val="24"/>
          <w:szCs w:val="24"/>
          <w:lang w:val="en-ZW"/>
        </w:rPr>
      </w:pPr>
    </w:p>
    <w:p w:rsidR="00FE665F" w:rsidRPr="00FE665F" w:rsidRDefault="00FE665F" w:rsidP="00FE665F">
      <w:pPr>
        <w:spacing w:after="0" w:line="360" w:lineRule="auto"/>
        <w:jc w:val="both"/>
        <w:rPr>
          <w:rFonts w:ascii="Times New Roman" w:hAnsi="Times New Roman" w:cs="Times New Roman"/>
          <w:sz w:val="24"/>
          <w:szCs w:val="24"/>
          <w:lang w:val="en-ZW"/>
        </w:rPr>
      </w:pPr>
    </w:p>
    <w:p w:rsidR="00FE665F" w:rsidRPr="00FE665F" w:rsidRDefault="00FE665F" w:rsidP="00FE665F">
      <w:pPr>
        <w:spacing w:after="0" w:line="360" w:lineRule="auto"/>
        <w:jc w:val="both"/>
        <w:rPr>
          <w:rFonts w:ascii="Times New Roman" w:hAnsi="Times New Roman" w:cs="Times New Roman"/>
          <w:sz w:val="24"/>
          <w:szCs w:val="24"/>
          <w:lang w:val="en-ZW"/>
        </w:rPr>
      </w:pPr>
    </w:p>
    <w:p w:rsidR="00FE665F" w:rsidRPr="00FE665F" w:rsidRDefault="00FE665F" w:rsidP="00FE665F">
      <w:pPr>
        <w:spacing w:after="0" w:line="360" w:lineRule="auto"/>
        <w:jc w:val="both"/>
        <w:rPr>
          <w:rFonts w:ascii="Times New Roman" w:hAnsi="Times New Roman" w:cs="Times New Roman"/>
          <w:sz w:val="24"/>
          <w:szCs w:val="24"/>
          <w:lang w:val="en-ZW"/>
        </w:rPr>
      </w:pPr>
      <w:r w:rsidRPr="00FE665F">
        <w:rPr>
          <w:rFonts w:ascii="Times New Roman" w:hAnsi="Times New Roman" w:cs="Times New Roman"/>
          <w:i/>
          <w:sz w:val="24"/>
          <w:szCs w:val="24"/>
          <w:lang w:val="en-ZW"/>
        </w:rPr>
        <w:t>Gill, Godlonton &amp; Gerrans</w:t>
      </w:r>
      <w:r w:rsidRPr="00FE665F">
        <w:rPr>
          <w:rFonts w:ascii="Times New Roman" w:hAnsi="Times New Roman" w:cs="Times New Roman"/>
          <w:sz w:val="24"/>
          <w:szCs w:val="24"/>
          <w:lang w:val="en-ZW"/>
        </w:rPr>
        <w:t>, applicant’s legal practitioners</w:t>
      </w:r>
    </w:p>
    <w:p w:rsidR="00FE665F" w:rsidRPr="00FE665F" w:rsidRDefault="00FE665F" w:rsidP="00FE665F">
      <w:pPr>
        <w:spacing w:after="0" w:line="360" w:lineRule="auto"/>
        <w:jc w:val="both"/>
        <w:rPr>
          <w:rFonts w:ascii="Times New Roman" w:hAnsi="Times New Roman" w:cs="Times New Roman"/>
          <w:sz w:val="24"/>
          <w:szCs w:val="24"/>
          <w:lang w:val="en-ZW"/>
        </w:rPr>
      </w:pPr>
      <w:r w:rsidRPr="00FE665F">
        <w:rPr>
          <w:rFonts w:ascii="Times New Roman" w:hAnsi="Times New Roman" w:cs="Times New Roman"/>
          <w:i/>
          <w:sz w:val="24"/>
          <w:szCs w:val="24"/>
          <w:lang w:val="en-ZW"/>
        </w:rPr>
        <w:t>L Madhuku</w:t>
      </w:r>
      <w:r w:rsidRPr="00FE665F">
        <w:rPr>
          <w:rFonts w:ascii="Times New Roman" w:hAnsi="Times New Roman" w:cs="Times New Roman"/>
          <w:sz w:val="24"/>
          <w:szCs w:val="24"/>
          <w:lang w:val="en-ZW"/>
        </w:rPr>
        <w:t>, respondent’s legal practitioners</w:t>
      </w:r>
    </w:p>
    <w:p w:rsidR="00FE665F" w:rsidRPr="00FE665F" w:rsidRDefault="00FE665F" w:rsidP="00FE665F">
      <w:pPr>
        <w:spacing w:after="0" w:line="360" w:lineRule="auto"/>
        <w:jc w:val="both"/>
        <w:rPr>
          <w:rFonts w:ascii="Times New Roman" w:hAnsi="Times New Roman" w:cs="Times New Roman"/>
          <w:sz w:val="24"/>
          <w:szCs w:val="24"/>
          <w:lang w:val="en-ZW"/>
        </w:rPr>
      </w:pPr>
    </w:p>
    <w:p w:rsidR="005D1503" w:rsidRDefault="005D1503" w:rsidP="0047529B">
      <w:pPr>
        <w:spacing w:after="0" w:line="360" w:lineRule="auto"/>
        <w:jc w:val="both"/>
        <w:rPr>
          <w:rFonts w:ascii="Times New Roman" w:hAnsi="Times New Roman" w:cs="Times New Roman"/>
          <w:sz w:val="24"/>
          <w:szCs w:val="24"/>
        </w:rPr>
      </w:pPr>
    </w:p>
    <w:p w:rsidR="00427D23" w:rsidRDefault="00427D23" w:rsidP="0047529B">
      <w:pPr>
        <w:spacing w:after="0" w:line="360" w:lineRule="auto"/>
        <w:jc w:val="both"/>
        <w:rPr>
          <w:rFonts w:ascii="Times New Roman" w:hAnsi="Times New Roman" w:cs="Times New Roman"/>
          <w:sz w:val="24"/>
          <w:szCs w:val="24"/>
        </w:rPr>
      </w:pPr>
    </w:p>
    <w:p w:rsidR="00427D23" w:rsidRDefault="00427D23" w:rsidP="0047529B">
      <w:pPr>
        <w:spacing w:after="0" w:line="360" w:lineRule="auto"/>
        <w:jc w:val="both"/>
        <w:rPr>
          <w:rFonts w:ascii="Times New Roman" w:hAnsi="Times New Roman" w:cs="Times New Roman"/>
          <w:sz w:val="24"/>
          <w:szCs w:val="24"/>
        </w:rPr>
      </w:pPr>
    </w:p>
    <w:p w:rsidR="00427D23" w:rsidRDefault="00427D23" w:rsidP="0047529B">
      <w:pPr>
        <w:spacing w:after="0" w:line="360" w:lineRule="auto"/>
        <w:jc w:val="both"/>
        <w:rPr>
          <w:rFonts w:ascii="Times New Roman" w:hAnsi="Times New Roman" w:cs="Times New Roman"/>
          <w:sz w:val="24"/>
          <w:szCs w:val="24"/>
        </w:rPr>
      </w:pPr>
    </w:p>
    <w:p w:rsidR="00427D23" w:rsidRDefault="00427D23" w:rsidP="0047529B">
      <w:pPr>
        <w:spacing w:after="0" w:line="360" w:lineRule="auto"/>
        <w:jc w:val="both"/>
        <w:rPr>
          <w:rFonts w:ascii="Times New Roman" w:hAnsi="Times New Roman" w:cs="Times New Roman"/>
          <w:sz w:val="24"/>
          <w:szCs w:val="24"/>
        </w:rPr>
      </w:pPr>
    </w:p>
    <w:p w:rsidR="00427D23" w:rsidRPr="00A10BB6" w:rsidRDefault="00427D23" w:rsidP="0047529B">
      <w:pPr>
        <w:spacing w:after="0" w:line="360" w:lineRule="auto"/>
        <w:jc w:val="both"/>
        <w:rPr>
          <w:rFonts w:ascii="Times New Roman" w:hAnsi="Times New Roman" w:cs="Times New Roman"/>
          <w:sz w:val="24"/>
          <w:szCs w:val="24"/>
          <w:lang w:val="en-ZW"/>
        </w:rPr>
      </w:pPr>
    </w:p>
    <w:p w:rsidR="00A10BB6" w:rsidRPr="00A10BB6" w:rsidRDefault="00A10BB6" w:rsidP="00A10BB6">
      <w:pPr>
        <w:spacing w:after="160" w:line="360" w:lineRule="auto"/>
        <w:jc w:val="both"/>
        <w:rPr>
          <w:rFonts w:ascii="Times New Roman" w:hAnsi="Times New Roman" w:cs="Times New Roman"/>
          <w:sz w:val="24"/>
          <w:szCs w:val="24"/>
          <w:lang w:val="en-ZW"/>
        </w:rPr>
      </w:pPr>
      <w:r w:rsidRPr="00A10BB6">
        <w:rPr>
          <w:rFonts w:ascii="Times New Roman" w:hAnsi="Times New Roman" w:cs="Times New Roman"/>
          <w:sz w:val="24"/>
          <w:szCs w:val="24"/>
          <w:lang w:val="en-ZW"/>
        </w:rPr>
        <w:tab/>
      </w:r>
    </w:p>
    <w:p w:rsidR="00A10BB6" w:rsidRPr="00A10BB6" w:rsidRDefault="00A10BB6" w:rsidP="00A10BB6">
      <w:pPr>
        <w:spacing w:after="160" w:line="360" w:lineRule="auto"/>
        <w:rPr>
          <w:rFonts w:ascii="Times New Roman" w:hAnsi="Times New Roman" w:cs="Times New Roman"/>
          <w:sz w:val="24"/>
          <w:szCs w:val="24"/>
          <w:lang w:val="en-ZW"/>
        </w:rPr>
      </w:pPr>
    </w:p>
    <w:p w:rsidR="00C94119" w:rsidRPr="00C94119" w:rsidRDefault="00C94119" w:rsidP="00B437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F1E7D" w:rsidRDefault="00B437D5" w:rsidP="00B542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F1E7D" w:rsidRDefault="007F1E7D" w:rsidP="00F4050C">
      <w:pPr>
        <w:spacing w:line="360" w:lineRule="auto"/>
        <w:ind w:left="360"/>
        <w:jc w:val="both"/>
        <w:rPr>
          <w:rFonts w:ascii="Times New Roman" w:hAnsi="Times New Roman" w:cs="Times New Roman"/>
          <w:sz w:val="24"/>
          <w:szCs w:val="24"/>
        </w:rPr>
      </w:pPr>
    </w:p>
    <w:p w:rsidR="001B5070" w:rsidRPr="00FA0ACB" w:rsidRDefault="001B5070" w:rsidP="001B5070">
      <w:pPr>
        <w:spacing w:after="0" w:line="360" w:lineRule="auto"/>
        <w:jc w:val="both"/>
        <w:rPr>
          <w:rFonts w:ascii="Times New Roman" w:hAnsi="Times New Roman" w:cs="Times New Roman"/>
          <w:sz w:val="24"/>
          <w:szCs w:val="24"/>
        </w:rPr>
      </w:pPr>
    </w:p>
    <w:p w:rsidR="00A712E4" w:rsidRPr="002E48C8" w:rsidRDefault="00A712E4" w:rsidP="00A470CA">
      <w:pPr>
        <w:pStyle w:val="ListParagraph"/>
        <w:spacing w:after="0" w:line="240" w:lineRule="auto"/>
        <w:ind w:left="1440"/>
        <w:jc w:val="both"/>
        <w:rPr>
          <w:rFonts w:ascii="Times New Roman" w:hAnsi="Times New Roman" w:cs="Times New Roman"/>
        </w:rPr>
      </w:pPr>
    </w:p>
    <w:sectPr w:rsidR="00A712E4" w:rsidRPr="002E48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5F" w:rsidRDefault="0094535F" w:rsidP="00F739CD">
      <w:pPr>
        <w:spacing w:after="0" w:line="240" w:lineRule="auto"/>
      </w:pPr>
      <w:r>
        <w:separator/>
      </w:r>
    </w:p>
  </w:endnote>
  <w:endnote w:type="continuationSeparator" w:id="0">
    <w:p w:rsidR="0094535F" w:rsidRDefault="0094535F" w:rsidP="00F73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5F" w:rsidRDefault="0094535F" w:rsidP="00F739CD">
      <w:pPr>
        <w:spacing w:after="0" w:line="240" w:lineRule="auto"/>
      </w:pPr>
      <w:r>
        <w:separator/>
      </w:r>
    </w:p>
  </w:footnote>
  <w:footnote w:type="continuationSeparator" w:id="0">
    <w:p w:rsidR="0094535F" w:rsidRDefault="0094535F" w:rsidP="00F73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35170"/>
      <w:docPartObj>
        <w:docPartGallery w:val="Page Numbers (Top of Page)"/>
        <w:docPartUnique/>
      </w:docPartObj>
    </w:sdtPr>
    <w:sdtEndPr>
      <w:rPr>
        <w:noProof/>
      </w:rPr>
    </w:sdtEndPr>
    <w:sdtContent>
      <w:p w:rsidR="00C465AA" w:rsidRDefault="00C465AA">
        <w:pPr>
          <w:pStyle w:val="Header"/>
          <w:jc w:val="right"/>
          <w:rPr>
            <w:noProof/>
          </w:rPr>
        </w:pPr>
        <w:r>
          <w:fldChar w:fldCharType="begin"/>
        </w:r>
        <w:r>
          <w:instrText xml:space="preserve"> PAGE   \* MERGEFORMAT </w:instrText>
        </w:r>
        <w:r>
          <w:fldChar w:fldCharType="separate"/>
        </w:r>
        <w:r w:rsidR="00A73549">
          <w:rPr>
            <w:noProof/>
          </w:rPr>
          <w:t>1</w:t>
        </w:r>
        <w:r>
          <w:rPr>
            <w:noProof/>
          </w:rPr>
          <w:fldChar w:fldCharType="end"/>
        </w:r>
      </w:p>
      <w:p w:rsidR="0068433A" w:rsidRDefault="008773FB">
        <w:pPr>
          <w:pStyle w:val="Header"/>
          <w:jc w:val="right"/>
          <w:rPr>
            <w:noProof/>
          </w:rPr>
        </w:pPr>
        <w:r>
          <w:rPr>
            <w:noProof/>
          </w:rPr>
          <w:t>HH 70-22</w:t>
        </w:r>
      </w:p>
      <w:p w:rsidR="00B46CFC" w:rsidRDefault="0068433A">
        <w:pPr>
          <w:pStyle w:val="Header"/>
          <w:jc w:val="right"/>
          <w:rPr>
            <w:noProof/>
          </w:rPr>
        </w:pPr>
        <w:r>
          <w:rPr>
            <w:noProof/>
          </w:rPr>
          <w:t>HC 9878/19</w:t>
        </w:r>
      </w:p>
      <w:p w:rsidR="00C465AA" w:rsidRDefault="00B46CFC">
        <w:pPr>
          <w:pStyle w:val="Header"/>
          <w:jc w:val="right"/>
          <w:rPr>
            <w:noProof/>
          </w:rPr>
        </w:pPr>
        <w:r>
          <w:rPr>
            <w:noProof/>
          </w:rPr>
          <w:t>Ref HC 2411/10</w:t>
        </w:r>
      </w:p>
    </w:sdtContent>
  </w:sdt>
  <w:p w:rsidR="00C465AA" w:rsidRDefault="00C465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A3A3B"/>
    <w:multiLevelType w:val="hybridMultilevel"/>
    <w:tmpl w:val="8FEE306C"/>
    <w:lvl w:ilvl="0" w:tplc="94563116">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6FD7961"/>
    <w:multiLevelType w:val="hybridMultilevel"/>
    <w:tmpl w:val="897CD0DE"/>
    <w:lvl w:ilvl="0" w:tplc="01CA07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76F7B84"/>
    <w:multiLevelType w:val="hybridMultilevel"/>
    <w:tmpl w:val="71BA4874"/>
    <w:lvl w:ilvl="0" w:tplc="66B80378">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7F6470F"/>
    <w:multiLevelType w:val="hybridMultilevel"/>
    <w:tmpl w:val="75AEF73C"/>
    <w:lvl w:ilvl="0" w:tplc="DDDCBF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86E6D"/>
    <w:multiLevelType w:val="hybridMultilevel"/>
    <w:tmpl w:val="7B74A2A6"/>
    <w:lvl w:ilvl="0" w:tplc="7B60B0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3D72E14"/>
    <w:multiLevelType w:val="hybridMultilevel"/>
    <w:tmpl w:val="67909B06"/>
    <w:lvl w:ilvl="0" w:tplc="E336309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168600A"/>
    <w:multiLevelType w:val="hybridMultilevel"/>
    <w:tmpl w:val="6A0846E4"/>
    <w:lvl w:ilvl="0" w:tplc="DDDCBFA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C96118"/>
    <w:multiLevelType w:val="hybridMultilevel"/>
    <w:tmpl w:val="16C6F998"/>
    <w:lvl w:ilvl="0" w:tplc="0D360F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84D01B3"/>
    <w:multiLevelType w:val="hybridMultilevel"/>
    <w:tmpl w:val="02B652B4"/>
    <w:lvl w:ilvl="0" w:tplc="671614A2">
      <w:numFmt w:val="bullet"/>
      <w:lvlText w:val="-"/>
      <w:lvlJc w:val="left"/>
      <w:pPr>
        <w:ind w:left="720" w:hanging="360"/>
      </w:pPr>
      <w:rPr>
        <w:rFonts w:ascii="Times New Roman" w:eastAsiaTheme="minorHAnsi" w:hAnsi="Times New Roman" w:cs="Times New Roman" w:hint="default"/>
        <w:b w:val="0"/>
        <w:u w:val="none"/>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7A1B4096"/>
    <w:multiLevelType w:val="hybridMultilevel"/>
    <w:tmpl w:val="740A1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7"/>
  </w:num>
  <w:num w:numId="6">
    <w:abstractNumId w:val="9"/>
  </w:num>
  <w:num w:numId="7">
    <w:abstractNumId w:val="2"/>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5"/>
    <w:rsid w:val="000027B0"/>
    <w:rsid w:val="00012E4F"/>
    <w:rsid w:val="00017C24"/>
    <w:rsid w:val="00026C96"/>
    <w:rsid w:val="00041D43"/>
    <w:rsid w:val="00046F4B"/>
    <w:rsid w:val="00047D96"/>
    <w:rsid w:val="000603F0"/>
    <w:rsid w:val="00097C71"/>
    <w:rsid w:val="000A57FE"/>
    <w:rsid w:val="000B5B07"/>
    <w:rsid w:val="000C20B1"/>
    <w:rsid w:val="000C2A08"/>
    <w:rsid w:val="000F59C6"/>
    <w:rsid w:val="000F5F33"/>
    <w:rsid w:val="001068CB"/>
    <w:rsid w:val="00136884"/>
    <w:rsid w:val="00144206"/>
    <w:rsid w:val="00147D74"/>
    <w:rsid w:val="001907EF"/>
    <w:rsid w:val="0019644B"/>
    <w:rsid w:val="001A0D61"/>
    <w:rsid w:val="001B1D22"/>
    <w:rsid w:val="001B5070"/>
    <w:rsid w:val="001C383A"/>
    <w:rsid w:val="001C4D0F"/>
    <w:rsid w:val="001E097E"/>
    <w:rsid w:val="001E2321"/>
    <w:rsid w:val="002161FD"/>
    <w:rsid w:val="0023204F"/>
    <w:rsid w:val="00243BF6"/>
    <w:rsid w:val="00261EC7"/>
    <w:rsid w:val="00266A88"/>
    <w:rsid w:val="002A0354"/>
    <w:rsid w:val="002A1B94"/>
    <w:rsid w:val="002C2998"/>
    <w:rsid w:val="002D1EB3"/>
    <w:rsid w:val="002E0A0F"/>
    <w:rsid w:val="002F1C8B"/>
    <w:rsid w:val="002F5313"/>
    <w:rsid w:val="0030125D"/>
    <w:rsid w:val="003064EC"/>
    <w:rsid w:val="003401A4"/>
    <w:rsid w:val="00345952"/>
    <w:rsid w:val="00354CCC"/>
    <w:rsid w:val="00376A3B"/>
    <w:rsid w:val="003814D7"/>
    <w:rsid w:val="00387764"/>
    <w:rsid w:val="0039053B"/>
    <w:rsid w:val="0039230C"/>
    <w:rsid w:val="003A4BC5"/>
    <w:rsid w:val="003C69A8"/>
    <w:rsid w:val="003E613C"/>
    <w:rsid w:val="003F3147"/>
    <w:rsid w:val="004024B2"/>
    <w:rsid w:val="00427D23"/>
    <w:rsid w:val="004345D6"/>
    <w:rsid w:val="00435C97"/>
    <w:rsid w:val="00443A38"/>
    <w:rsid w:val="0047529B"/>
    <w:rsid w:val="004978D5"/>
    <w:rsid w:val="004B0077"/>
    <w:rsid w:val="004B04B1"/>
    <w:rsid w:val="004B340F"/>
    <w:rsid w:val="004D1216"/>
    <w:rsid w:val="004D1BE1"/>
    <w:rsid w:val="00505C1E"/>
    <w:rsid w:val="00527435"/>
    <w:rsid w:val="00553451"/>
    <w:rsid w:val="005602FF"/>
    <w:rsid w:val="00575680"/>
    <w:rsid w:val="005838E8"/>
    <w:rsid w:val="00586281"/>
    <w:rsid w:val="005909FC"/>
    <w:rsid w:val="005933F2"/>
    <w:rsid w:val="005970D4"/>
    <w:rsid w:val="005A22A0"/>
    <w:rsid w:val="005A6A0A"/>
    <w:rsid w:val="005B06B4"/>
    <w:rsid w:val="005B0E77"/>
    <w:rsid w:val="005B1D1C"/>
    <w:rsid w:val="005B6E51"/>
    <w:rsid w:val="005C1D89"/>
    <w:rsid w:val="005D006D"/>
    <w:rsid w:val="005D1503"/>
    <w:rsid w:val="005E4B93"/>
    <w:rsid w:val="005E4DD5"/>
    <w:rsid w:val="005F171B"/>
    <w:rsid w:val="005F3D34"/>
    <w:rsid w:val="0060290F"/>
    <w:rsid w:val="00602A2B"/>
    <w:rsid w:val="00611DF5"/>
    <w:rsid w:val="00622D77"/>
    <w:rsid w:val="00631159"/>
    <w:rsid w:val="00631D8B"/>
    <w:rsid w:val="00662B34"/>
    <w:rsid w:val="006703F9"/>
    <w:rsid w:val="0068433A"/>
    <w:rsid w:val="006851E9"/>
    <w:rsid w:val="00695D93"/>
    <w:rsid w:val="00696CD1"/>
    <w:rsid w:val="006C4FA0"/>
    <w:rsid w:val="006C6C7E"/>
    <w:rsid w:val="006E6177"/>
    <w:rsid w:val="006F071B"/>
    <w:rsid w:val="00702995"/>
    <w:rsid w:val="00731C1F"/>
    <w:rsid w:val="007461B5"/>
    <w:rsid w:val="00750881"/>
    <w:rsid w:val="007547C4"/>
    <w:rsid w:val="007640D5"/>
    <w:rsid w:val="007647B2"/>
    <w:rsid w:val="00767661"/>
    <w:rsid w:val="00780CD9"/>
    <w:rsid w:val="00783DF4"/>
    <w:rsid w:val="00785E7C"/>
    <w:rsid w:val="00793C18"/>
    <w:rsid w:val="007B2220"/>
    <w:rsid w:val="007C4230"/>
    <w:rsid w:val="007D1688"/>
    <w:rsid w:val="007E456E"/>
    <w:rsid w:val="007E74EC"/>
    <w:rsid w:val="007F1E7D"/>
    <w:rsid w:val="00832418"/>
    <w:rsid w:val="00832C6A"/>
    <w:rsid w:val="00833FC7"/>
    <w:rsid w:val="00841387"/>
    <w:rsid w:val="0084189B"/>
    <w:rsid w:val="00860E2D"/>
    <w:rsid w:val="00863FFA"/>
    <w:rsid w:val="0087709E"/>
    <w:rsid w:val="008773FB"/>
    <w:rsid w:val="00882EBF"/>
    <w:rsid w:val="008B51A4"/>
    <w:rsid w:val="008B7984"/>
    <w:rsid w:val="008C1A89"/>
    <w:rsid w:val="008C68D2"/>
    <w:rsid w:val="008E6F91"/>
    <w:rsid w:val="0090274A"/>
    <w:rsid w:val="00925F59"/>
    <w:rsid w:val="0092639D"/>
    <w:rsid w:val="0093612D"/>
    <w:rsid w:val="0094535F"/>
    <w:rsid w:val="009544A6"/>
    <w:rsid w:val="0097063A"/>
    <w:rsid w:val="0098356E"/>
    <w:rsid w:val="00996FC3"/>
    <w:rsid w:val="009A3650"/>
    <w:rsid w:val="009C3D3C"/>
    <w:rsid w:val="009E6476"/>
    <w:rsid w:val="009F4272"/>
    <w:rsid w:val="009F7C2F"/>
    <w:rsid w:val="00A10BB6"/>
    <w:rsid w:val="00A12634"/>
    <w:rsid w:val="00A424BD"/>
    <w:rsid w:val="00A470CA"/>
    <w:rsid w:val="00A520E8"/>
    <w:rsid w:val="00A52329"/>
    <w:rsid w:val="00A54A8C"/>
    <w:rsid w:val="00A632B6"/>
    <w:rsid w:val="00A65E48"/>
    <w:rsid w:val="00A712E4"/>
    <w:rsid w:val="00A73549"/>
    <w:rsid w:val="00A82B90"/>
    <w:rsid w:val="00A83A82"/>
    <w:rsid w:val="00A8518E"/>
    <w:rsid w:val="00A86AAD"/>
    <w:rsid w:val="00A96149"/>
    <w:rsid w:val="00AA1C98"/>
    <w:rsid w:val="00AC4E69"/>
    <w:rsid w:val="00B03129"/>
    <w:rsid w:val="00B0666E"/>
    <w:rsid w:val="00B105AF"/>
    <w:rsid w:val="00B13224"/>
    <w:rsid w:val="00B17EC0"/>
    <w:rsid w:val="00B203B2"/>
    <w:rsid w:val="00B21A9F"/>
    <w:rsid w:val="00B32AAB"/>
    <w:rsid w:val="00B36FAF"/>
    <w:rsid w:val="00B437D5"/>
    <w:rsid w:val="00B46CFC"/>
    <w:rsid w:val="00B542D3"/>
    <w:rsid w:val="00B63CEF"/>
    <w:rsid w:val="00B65155"/>
    <w:rsid w:val="00B72276"/>
    <w:rsid w:val="00B725C8"/>
    <w:rsid w:val="00B73BC4"/>
    <w:rsid w:val="00B82DA1"/>
    <w:rsid w:val="00B87CCB"/>
    <w:rsid w:val="00B87F96"/>
    <w:rsid w:val="00BB4243"/>
    <w:rsid w:val="00BB4FB1"/>
    <w:rsid w:val="00BE1BFC"/>
    <w:rsid w:val="00C03579"/>
    <w:rsid w:val="00C07386"/>
    <w:rsid w:val="00C30ADC"/>
    <w:rsid w:val="00C354E3"/>
    <w:rsid w:val="00C465AA"/>
    <w:rsid w:val="00C46A52"/>
    <w:rsid w:val="00C6573E"/>
    <w:rsid w:val="00C94119"/>
    <w:rsid w:val="00CA3F7C"/>
    <w:rsid w:val="00CB3501"/>
    <w:rsid w:val="00CC099B"/>
    <w:rsid w:val="00CE192E"/>
    <w:rsid w:val="00CE7F56"/>
    <w:rsid w:val="00CF4008"/>
    <w:rsid w:val="00D010CC"/>
    <w:rsid w:val="00D034E9"/>
    <w:rsid w:val="00D06D08"/>
    <w:rsid w:val="00D31386"/>
    <w:rsid w:val="00D31ED2"/>
    <w:rsid w:val="00D424DA"/>
    <w:rsid w:val="00D444A5"/>
    <w:rsid w:val="00D50437"/>
    <w:rsid w:val="00D54DE1"/>
    <w:rsid w:val="00D710E6"/>
    <w:rsid w:val="00D72464"/>
    <w:rsid w:val="00DA3F5E"/>
    <w:rsid w:val="00DA4104"/>
    <w:rsid w:val="00DB28AA"/>
    <w:rsid w:val="00DB78AA"/>
    <w:rsid w:val="00DD0F6E"/>
    <w:rsid w:val="00DD26D4"/>
    <w:rsid w:val="00DF0012"/>
    <w:rsid w:val="00E012DF"/>
    <w:rsid w:val="00E21501"/>
    <w:rsid w:val="00E2572C"/>
    <w:rsid w:val="00E64DDE"/>
    <w:rsid w:val="00E66680"/>
    <w:rsid w:val="00E7095A"/>
    <w:rsid w:val="00E81DE5"/>
    <w:rsid w:val="00E825FD"/>
    <w:rsid w:val="00E933A7"/>
    <w:rsid w:val="00EA2E08"/>
    <w:rsid w:val="00EA46D0"/>
    <w:rsid w:val="00EB5E74"/>
    <w:rsid w:val="00ED0E18"/>
    <w:rsid w:val="00EE22BE"/>
    <w:rsid w:val="00F0072B"/>
    <w:rsid w:val="00F037A6"/>
    <w:rsid w:val="00F03CEF"/>
    <w:rsid w:val="00F05C1D"/>
    <w:rsid w:val="00F3699D"/>
    <w:rsid w:val="00F4050C"/>
    <w:rsid w:val="00F4059E"/>
    <w:rsid w:val="00F445C4"/>
    <w:rsid w:val="00F51919"/>
    <w:rsid w:val="00F65F1D"/>
    <w:rsid w:val="00F739CD"/>
    <w:rsid w:val="00F96F74"/>
    <w:rsid w:val="00FA018F"/>
    <w:rsid w:val="00FA3A62"/>
    <w:rsid w:val="00FB1DEC"/>
    <w:rsid w:val="00FB69F9"/>
    <w:rsid w:val="00FD573E"/>
    <w:rsid w:val="00FE665F"/>
    <w:rsid w:val="00FE6E1F"/>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3000D-FEEB-4FA9-8896-D6BB69F4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7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0CA"/>
    <w:pPr>
      <w:spacing w:after="160" w:line="259" w:lineRule="auto"/>
      <w:ind w:left="720"/>
      <w:contextualSpacing/>
    </w:pPr>
  </w:style>
  <w:style w:type="paragraph" w:styleId="Header">
    <w:name w:val="header"/>
    <w:basedOn w:val="Normal"/>
    <w:link w:val="HeaderChar"/>
    <w:uiPriority w:val="99"/>
    <w:unhideWhenUsed/>
    <w:rsid w:val="00F73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9CD"/>
  </w:style>
  <w:style w:type="paragraph" w:styleId="Footer">
    <w:name w:val="footer"/>
    <w:basedOn w:val="Normal"/>
    <w:link w:val="FooterChar"/>
    <w:uiPriority w:val="99"/>
    <w:unhideWhenUsed/>
    <w:rsid w:val="00F73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2022-02-02T07:44:00Z</cp:lastPrinted>
  <dcterms:created xsi:type="dcterms:W3CDTF">2022-02-11T08:46:00Z</dcterms:created>
  <dcterms:modified xsi:type="dcterms:W3CDTF">2022-02-11T08:46:00Z</dcterms:modified>
</cp:coreProperties>
</file>