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FC2FE3" w14:textId="64AA98A1" w:rsidR="00C52AEC" w:rsidRDefault="005324DE" w:rsidP="00C52AEC">
      <w:pPr>
        <w:spacing w:after="0" w:line="240" w:lineRule="auto"/>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 xml:space="preserve">UNIVERSITY OF ZIMBABWE </w:t>
      </w:r>
    </w:p>
    <w:p w14:paraId="4CC5CB8A" w14:textId="77777777" w:rsidR="00C52AEC" w:rsidRDefault="00D536CA" w:rsidP="00D536CA">
      <w:pPr>
        <w:spacing w:after="0" w:line="240" w:lineRule="auto"/>
        <w:jc w:val="both"/>
        <w:rPr>
          <w:rFonts w:ascii="Times New Roman" w:hAnsi="Times New Roman" w:cs="Times New Roman"/>
          <w:sz w:val="24"/>
          <w:szCs w:val="24"/>
        </w:rPr>
      </w:pPr>
      <w:r w:rsidRPr="00244E82">
        <w:rPr>
          <w:rFonts w:ascii="Times New Roman" w:hAnsi="Times New Roman" w:cs="Times New Roman"/>
          <w:sz w:val="24"/>
          <w:szCs w:val="24"/>
        </w:rPr>
        <w:t>versus</w:t>
      </w:r>
    </w:p>
    <w:p w14:paraId="5B1E5030" w14:textId="263A4A4F" w:rsidR="00C52AEC" w:rsidRDefault="005324DE" w:rsidP="00D536C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VENGAI MUGABE </w:t>
      </w:r>
    </w:p>
    <w:p w14:paraId="34F72039" w14:textId="77777777" w:rsidR="00C52AEC" w:rsidRDefault="00D536CA" w:rsidP="00D536C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and </w:t>
      </w:r>
    </w:p>
    <w:p w14:paraId="079BFBEF" w14:textId="4A3280AB" w:rsidR="00C52AEC" w:rsidRDefault="005324DE" w:rsidP="00D536C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JELOUS ZHAKATA </w:t>
      </w:r>
    </w:p>
    <w:p w14:paraId="061CAF68" w14:textId="77777777" w:rsidR="00C52AEC" w:rsidRDefault="00D536CA" w:rsidP="00D536C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r w:rsidR="00C52AEC">
        <w:rPr>
          <w:rFonts w:ascii="Times New Roman" w:hAnsi="Times New Roman" w:cs="Times New Roman"/>
          <w:sz w:val="24"/>
          <w:szCs w:val="24"/>
        </w:rPr>
        <w:t xml:space="preserve"> </w:t>
      </w:r>
    </w:p>
    <w:p w14:paraId="1581E95F" w14:textId="629AE3B8" w:rsidR="00C52AEC" w:rsidRDefault="005324DE" w:rsidP="00D536C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THE SHERIFF FOR ZIMBABWE </w:t>
      </w:r>
    </w:p>
    <w:p w14:paraId="19C79990" w14:textId="6B1EF30A" w:rsidR="00C52AEC" w:rsidRDefault="00C52AEC" w:rsidP="00D536CA">
      <w:pPr>
        <w:spacing w:after="0" w:line="240" w:lineRule="auto"/>
        <w:jc w:val="both"/>
        <w:rPr>
          <w:rFonts w:ascii="Times New Roman" w:hAnsi="Times New Roman" w:cs="Times New Roman"/>
          <w:sz w:val="24"/>
          <w:szCs w:val="24"/>
        </w:rPr>
      </w:pPr>
    </w:p>
    <w:p w14:paraId="191912BC" w14:textId="77777777" w:rsidR="00C52AEC" w:rsidRDefault="00C52AEC" w:rsidP="00D536CA">
      <w:pPr>
        <w:spacing w:after="0" w:line="240" w:lineRule="auto"/>
        <w:jc w:val="both"/>
        <w:rPr>
          <w:rFonts w:ascii="Times New Roman" w:hAnsi="Times New Roman" w:cs="Times New Roman"/>
          <w:sz w:val="24"/>
          <w:szCs w:val="24"/>
        </w:rPr>
      </w:pPr>
    </w:p>
    <w:p w14:paraId="71F085B8" w14:textId="77777777" w:rsidR="00C52AEC" w:rsidRPr="00244E82" w:rsidRDefault="00C52AEC" w:rsidP="00C52AEC">
      <w:pPr>
        <w:spacing w:after="0" w:line="240" w:lineRule="auto"/>
        <w:jc w:val="both"/>
        <w:rPr>
          <w:rFonts w:ascii="Times New Roman" w:hAnsi="Times New Roman" w:cs="Times New Roman"/>
          <w:sz w:val="24"/>
          <w:szCs w:val="24"/>
        </w:rPr>
      </w:pPr>
    </w:p>
    <w:p w14:paraId="3346D25D" w14:textId="77777777" w:rsidR="00C52AEC" w:rsidRPr="00244E82" w:rsidRDefault="00C52AEC" w:rsidP="00C52AEC">
      <w:pPr>
        <w:pStyle w:val="NoSpacing"/>
        <w:jc w:val="both"/>
        <w:rPr>
          <w:rFonts w:ascii="Times New Roman" w:hAnsi="Times New Roman" w:cs="Times New Roman"/>
          <w:sz w:val="24"/>
          <w:szCs w:val="24"/>
        </w:rPr>
      </w:pPr>
      <w:r w:rsidRPr="00244E82">
        <w:rPr>
          <w:rFonts w:ascii="Times New Roman" w:hAnsi="Times New Roman" w:cs="Times New Roman"/>
          <w:sz w:val="24"/>
          <w:szCs w:val="24"/>
        </w:rPr>
        <w:t>HIGH COURT OF ZIMBABWE</w:t>
      </w:r>
    </w:p>
    <w:p w14:paraId="3F0110A1" w14:textId="4C24FF11" w:rsidR="00C52AEC" w:rsidRPr="00E3307C" w:rsidRDefault="0018312C" w:rsidP="00C52AEC">
      <w:pPr>
        <w:pStyle w:val="NoSpacing"/>
        <w:jc w:val="both"/>
        <w:rPr>
          <w:rFonts w:ascii="Times New Roman" w:hAnsi="Times New Roman" w:cs="Times New Roman"/>
          <w:b/>
          <w:bCs/>
          <w:sz w:val="24"/>
          <w:szCs w:val="24"/>
        </w:rPr>
      </w:pPr>
      <w:r w:rsidRPr="00E3307C">
        <w:rPr>
          <w:rFonts w:ascii="Times New Roman" w:hAnsi="Times New Roman" w:cs="Times New Roman"/>
          <w:b/>
          <w:bCs/>
          <w:sz w:val="24"/>
          <w:szCs w:val="24"/>
        </w:rPr>
        <w:t>MUSITHU J</w:t>
      </w:r>
    </w:p>
    <w:p w14:paraId="26E7B7F9" w14:textId="61ADEC90" w:rsidR="00C52AEC" w:rsidRDefault="00C52AEC" w:rsidP="00C52AEC">
      <w:pPr>
        <w:pStyle w:val="NoSpacing"/>
        <w:jc w:val="both"/>
        <w:rPr>
          <w:rFonts w:ascii="Times New Roman" w:hAnsi="Times New Roman" w:cs="Times New Roman"/>
          <w:sz w:val="24"/>
          <w:szCs w:val="24"/>
        </w:rPr>
      </w:pPr>
      <w:r w:rsidRPr="00244E82">
        <w:rPr>
          <w:rFonts w:ascii="Times New Roman" w:hAnsi="Times New Roman" w:cs="Times New Roman"/>
          <w:sz w:val="24"/>
          <w:szCs w:val="24"/>
        </w:rPr>
        <w:t>HARARE</w:t>
      </w:r>
      <w:r w:rsidR="00D536CA">
        <w:rPr>
          <w:rFonts w:ascii="Times New Roman" w:hAnsi="Times New Roman" w:cs="Times New Roman"/>
          <w:sz w:val="24"/>
          <w:szCs w:val="24"/>
        </w:rPr>
        <w:t>,</w:t>
      </w:r>
      <w:r>
        <w:rPr>
          <w:rFonts w:ascii="Times New Roman" w:hAnsi="Times New Roman" w:cs="Times New Roman"/>
          <w:sz w:val="24"/>
          <w:szCs w:val="24"/>
        </w:rPr>
        <w:t xml:space="preserve"> </w:t>
      </w:r>
      <w:r w:rsidR="00221654">
        <w:rPr>
          <w:rFonts w:ascii="Times New Roman" w:hAnsi="Times New Roman" w:cs="Times New Roman"/>
          <w:sz w:val="24"/>
          <w:szCs w:val="24"/>
        </w:rPr>
        <w:t xml:space="preserve">11, 13 &amp; 26 </w:t>
      </w:r>
      <w:r w:rsidR="005324DE">
        <w:rPr>
          <w:rFonts w:ascii="Times New Roman" w:hAnsi="Times New Roman" w:cs="Times New Roman"/>
          <w:sz w:val="24"/>
          <w:szCs w:val="24"/>
        </w:rPr>
        <w:t>February 2025</w:t>
      </w:r>
      <w:r>
        <w:rPr>
          <w:rFonts w:ascii="Times New Roman" w:hAnsi="Times New Roman" w:cs="Times New Roman"/>
          <w:sz w:val="24"/>
          <w:szCs w:val="24"/>
        </w:rPr>
        <w:t xml:space="preserve"> </w:t>
      </w:r>
      <w:r w:rsidR="00D536CA">
        <w:rPr>
          <w:rFonts w:ascii="Times New Roman" w:hAnsi="Times New Roman" w:cs="Times New Roman"/>
          <w:sz w:val="24"/>
          <w:szCs w:val="24"/>
        </w:rPr>
        <w:t>&amp;</w:t>
      </w:r>
      <w:r w:rsidR="00221654">
        <w:rPr>
          <w:rFonts w:ascii="Times New Roman" w:hAnsi="Times New Roman" w:cs="Times New Roman"/>
          <w:sz w:val="24"/>
          <w:szCs w:val="24"/>
        </w:rPr>
        <w:t xml:space="preserve"> 3 </w:t>
      </w:r>
      <w:r w:rsidR="00873D34">
        <w:rPr>
          <w:rFonts w:ascii="Times New Roman" w:hAnsi="Times New Roman" w:cs="Times New Roman"/>
          <w:sz w:val="24"/>
          <w:szCs w:val="24"/>
        </w:rPr>
        <w:t>March</w:t>
      </w:r>
      <w:r w:rsidR="00CF3EC2">
        <w:rPr>
          <w:rFonts w:ascii="Times New Roman" w:hAnsi="Times New Roman" w:cs="Times New Roman"/>
          <w:sz w:val="24"/>
          <w:szCs w:val="24"/>
        </w:rPr>
        <w:t xml:space="preserve"> 202</w:t>
      </w:r>
      <w:r w:rsidR="005324DE">
        <w:rPr>
          <w:rFonts w:ascii="Times New Roman" w:hAnsi="Times New Roman" w:cs="Times New Roman"/>
          <w:sz w:val="24"/>
          <w:szCs w:val="24"/>
        </w:rPr>
        <w:t>5</w:t>
      </w:r>
    </w:p>
    <w:p w14:paraId="037F6223" w14:textId="77777777" w:rsidR="00E3307C" w:rsidRPr="00244E82" w:rsidRDefault="00E3307C" w:rsidP="00C52AEC">
      <w:pPr>
        <w:pStyle w:val="NoSpacing"/>
        <w:jc w:val="both"/>
        <w:rPr>
          <w:rFonts w:ascii="Times New Roman" w:hAnsi="Times New Roman" w:cs="Times New Roman"/>
          <w:sz w:val="24"/>
          <w:szCs w:val="24"/>
        </w:rPr>
      </w:pPr>
    </w:p>
    <w:p w14:paraId="228989E0" w14:textId="77777777" w:rsidR="00C52AEC" w:rsidRDefault="00C52AEC" w:rsidP="00C52AEC">
      <w:pPr>
        <w:tabs>
          <w:tab w:val="left" w:pos="1900"/>
        </w:tabs>
        <w:spacing w:line="240" w:lineRule="auto"/>
        <w:jc w:val="both"/>
        <w:rPr>
          <w:rFonts w:ascii="Times New Roman" w:hAnsi="Times New Roman" w:cs="Times New Roman"/>
          <w:b/>
          <w:sz w:val="24"/>
          <w:szCs w:val="24"/>
        </w:rPr>
      </w:pPr>
      <w:r>
        <w:rPr>
          <w:rFonts w:ascii="Times New Roman" w:hAnsi="Times New Roman" w:cs="Times New Roman"/>
          <w:b/>
          <w:sz w:val="24"/>
          <w:szCs w:val="24"/>
        </w:rPr>
        <w:tab/>
      </w:r>
    </w:p>
    <w:p w14:paraId="117B159E" w14:textId="1125101B" w:rsidR="00C52AEC" w:rsidRDefault="00B67386" w:rsidP="00C52AEC">
      <w:pPr>
        <w:spacing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Urgent Chamber </w:t>
      </w:r>
      <w:r w:rsidR="00D536CA">
        <w:rPr>
          <w:rFonts w:ascii="Times New Roman" w:hAnsi="Times New Roman" w:cs="Times New Roman"/>
          <w:b/>
          <w:sz w:val="24"/>
          <w:szCs w:val="24"/>
        </w:rPr>
        <w:t>A</w:t>
      </w:r>
      <w:r w:rsidR="00C52AEC" w:rsidRPr="00244E82">
        <w:rPr>
          <w:rFonts w:ascii="Times New Roman" w:hAnsi="Times New Roman" w:cs="Times New Roman"/>
          <w:b/>
          <w:sz w:val="24"/>
          <w:szCs w:val="24"/>
        </w:rPr>
        <w:t>pplication</w:t>
      </w:r>
      <w:r>
        <w:rPr>
          <w:rFonts w:ascii="Times New Roman" w:hAnsi="Times New Roman" w:cs="Times New Roman"/>
          <w:b/>
          <w:sz w:val="24"/>
          <w:szCs w:val="24"/>
        </w:rPr>
        <w:t xml:space="preserve">-Stay of Execution </w:t>
      </w:r>
      <w:r w:rsidR="00221654">
        <w:rPr>
          <w:rFonts w:ascii="Times New Roman" w:hAnsi="Times New Roman" w:cs="Times New Roman"/>
          <w:b/>
          <w:sz w:val="24"/>
          <w:szCs w:val="24"/>
        </w:rPr>
        <w:t>Pending Return Date</w:t>
      </w:r>
    </w:p>
    <w:p w14:paraId="04A9310B" w14:textId="77777777" w:rsidR="00E3307C" w:rsidRPr="00244E82" w:rsidRDefault="00E3307C" w:rsidP="00C52AEC">
      <w:pPr>
        <w:spacing w:line="240" w:lineRule="auto"/>
        <w:jc w:val="both"/>
        <w:rPr>
          <w:rFonts w:ascii="Times New Roman" w:hAnsi="Times New Roman" w:cs="Times New Roman"/>
          <w:b/>
          <w:sz w:val="24"/>
          <w:szCs w:val="24"/>
        </w:rPr>
      </w:pPr>
    </w:p>
    <w:p w14:paraId="39F90D90" w14:textId="77777777" w:rsidR="00C52AEC" w:rsidRPr="002C6AB0" w:rsidRDefault="00C52AEC" w:rsidP="00C52AEC">
      <w:pPr>
        <w:pStyle w:val="NoSpacing"/>
        <w:jc w:val="both"/>
        <w:rPr>
          <w:rFonts w:ascii="Times New Roman" w:hAnsi="Times New Roman" w:cs="Times New Roman"/>
          <w:i/>
          <w:sz w:val="24"/>
          <w:szCs w:val="24"/>
        </w:rPr>
      </w:pPr>
    </w:p>
    <w:p w14:paraId="228A2BE0" w14:textId="7414733F" w:rsidR="00C52AEC" w:rsidRPr="00221654" w:rsidRDefault="00221654" w:rsidP="00C52AEC">
      <w:pPr>
        <w:pStyle w:val="NoSpacing"/>
        <w:jc w:val="both"/>
        <w:rPr>
          <w:rFonts w:ascii="Times New Roman" w:hAnsi="Times New Roman" w:cs="Times New Roman"/>
          <w:i/>
          <w:color w:val="000000" w:themeColor="text1"/>
          <w:sz w:val="24"/>
          <w:szCs w:val="24"/>
        </w:rPr>
      </w:pPr>
      <w:r w:rsidRPr="005059B3">
        <w:rPr>
          <w:rFonts w:ascii="Times New Roman" w:hAnsi="Times New Roman" w:cs="Times New Roman"/>
          <w:iCs/>
          <w:color w:val="000000" w:themeColor="text1"/>
          <w:sz w:val="24"/>
          <w:szCs w:val="24"/>
        </w:rPr>
        <w:t>Adv</w:t>
      </w:r>
      <w:r w:rsidRPr="00221654">
        <w:rPr>
          <w:rFonts w:ascii="Times New Roman" w:hAnsi="Times New Roman" w:cs="Times New Roman"/>
          <w:i/>
          <w:color w:val="000000" w:themeColor="text1"/>
          <w:sz w:val="24"/>
          <w:szCs w:val="24"/>
        </w:rPr>
        <w:t xml:space="preserve"> T Zhuwarara with T Chagudumba</w:t>
      </w:r>
      <w:r w:rsidR="00D536CA" w:rsidRPr="00221654">
        <w:rPr>
          <w:rFonts w:ascii="Times New Roman" w:hAnsi="Times New Roman" w:cs="Times New Roman"/>
          <w:i/>
          <w:color w:val="000000" w:themeColor="text1"/>
          <w:sz w:val="24"/>
          <w:szCs w:val="24"/>
        </w:rPr>
        <w:t>,</w:t>
      </w:r>
      <w:r w:rsidR="00C52AEC" w:rsidRPr="00221654">
        <w:rPr>
          <w:rFonts w:ascii="Times New Roman" w:hAnsi="Times New Roman" w:cs="Times New Roman"/>
          <w:i/>
          <w:color w:val="000000" w:themeColor="text1"/>
          <w:sz w:val="24"/>
          <w:szCs w:val="24"/>
        </w:rPr>
        <w:t xml:space="preserve"> </w:t>
      </w:r>
      <w:r w:rsidR="00C52AEC" w:rsidRPr="00221654">
        <w:rPr>
          <w:rFonts w:ascii="Times New Roman" w:hAnsi="Times New Roman" w:cs="Times New Roman"/>
          <w:color w:val="000000" w:themeColor="text1"/>
          <w:sz w:val="24"/>
          <w:szCs w:val="24"/>
        </w:rPr>
        <w:t>for the applicant</w:t>
      </w:r>
    </w:p>
    <w:p w14:paraId="0FA2249C" w14:textId="00A5CF75" w:rsidR="00C52AEC" w:rsidRPr="00221654" w:rsidRDefault="00221654" w:rsidP="00C52AEC">
      <w:pPr>
        <w:pStyle w:val="NoSpacing"/>
        <w:jc w:val="both"/>
        <w:rPr>
          <w:rFonts w:ascii="Times New Roman" w:hAnsi="Times New Roman" w:cs="Times New Roman"/>
          <w:i/>
          <w:color w:val="000000" w:themeColor="text1"/>
          <w:sz w:val="24"/>
          <w:szCs w:val="24"/>
        </w:rPr>
      </w:pPr>
      <w:r w:rsidRPr="005059B3">
        <w:rPr>
          <w:rFonts w:ascii="Times New Roman" w:hAnsi="Times New Roman" w:cs="Times New Roman"/>
          <w:iCs/>
          <w:color w:val="000000" w:themeColor="text1"/>
          <w:sz w:val="24"/>
          <w:szCs w:val="24"/>
        </w:rPr>
        <w:t>Mr</w:t>
      </w:r>
      <w:r w:rsidRPr="00221654">
        <w:rPr>
          <w:rFonts w:ascii="Times New Roman" w:hAnsi="Times New Roman" w:cs="Times New Roman"/>
          <w:i/>
          <w:color w:val="000000" w:themeColor="text1"/>
          <w:sz w:val="24"/>
          <w:szCs w:val="24"/>
        </w:rPr>
        <w:t xml:space="preserve"> T</w:t>
      </w:r>
      <w:r w:rsidR="00E3307C">
        <w:rPr>
          <w:rFonts w:ascii="Times New Roman" w:hAnsi="Times New Roman" w:cs="Times New Roman"/>
          <w:i/>
          <w:color w:val="000000" w:themeColor="text1"/>
          <w:sz w:val="24"/>
          <w:szCs w:val="24"/>
        </w:rPr>
        <w:t xml:space="preserve"> </w:t>
      </w:r>
      <w:r w:rsidRPr="00221654">
        <w:rPr>
          <w:rFonts w:ascii="Times New Roman" w:hAnsi="Times New Roman" w:cs="Times New Roman"/>
          <w:i/>
          <w:color w:val="000000" w:themeColor="text1"/>
          <w:sz w:val="24"/>
          <w:szCs w:val="24"/>
        </w:rPr>
        <w:t>E</w:t>
      </w:r>
      <w:r w:rsidR="00E3307C">
        <w:rPr>
          <w:rFonts w:ascii="Times New Roman" w:hAnsi="Times New Roman" w:cs="Times New Roman"/>
          <w:i/>
          <w:color w:val="000000" w:themeColor="text1"/>
          <w:sz w:val="24"/>
          <w:szCs w:val="24"/>
        </w:rPr>
        <w:t xml:space="preserve"> </w:t>
      </w:r>
      <w:r w:rsidRPr="00221654">
        <w:rPr>
          <w:rFonts w:ascii="Times New Roman" w:hAnsi="Times New Roman" w:cs="Times New Roman"/>
          <w:i/>
          <w:color w:val="000000" w:themeColor="text1"/>
          <w:sz w:val="24"/>
          <w:szCs w:val="24"/>
        </w:rPr>
        <w:t>Gumbo</w:t>
      </w:r>
      <w:r w:rsidR="00D536CA" w:rsidRPr="00221654">
        <w:rPr>
          <w:rFonts w:ascii="Times New Roman" w:hAnsi="Times New Roman" w:cs="Times New Roman"/>
          <w:i/>
          <w:color w:val="000000" w:themeColor="text1"/>
          <w:sz w:val="24"/>
          <w:szCs w:val="24"/>
        </w:rPr>
        <w:t>,</w:t>
      </w:r>
      <w:r w:rsidR="00C52AEC" w:rsidRPr="00221654">
        <w:rPr>
          <w:rFonts w:ascii="Times New Roman" w:hAnsi="Times New Roman" w:cs="Times New Roman"/>
          <w:i/>
          <w:color w:val="000000" w:themeColor="text1"/>
          <w:sz w:val="24"/>
          <w:szCs w:val="24"/>
        </w:rPr>
        <w:t xml:space="preserve"> </w:t>
      </w:r>
      <w:r w:rsidR="00C52AEC" w:rsidRPr="00221654">
        <w:rPr>
          <w:rFonts w:ascii="Times New Roman" w:hAnsi="Times New Roman" w:cs="Times New Roman"/>
          <w:color w:val="000000" w:themeColor="text1"/>
          <w:sz w:val="24"/>
          <w:szCs w:val="24"/>
        </w:rPr>
        <w:t>for the 1</w:t>
      </w:r>
      <w:r w:rsidR="00C52AEC" w:rsidRPr="00221654">
        <w:rPr>
          <w:rFonts w:ascii="Times New Roman" w:hAnsi="Times New Roman" w:cs="Times New Roman"/>
          <w:color w:val="000000" w:themeColor="text1"/>
          <w:sz w:val="24"/>
          <w:szCs w:val="24"/>
          <w:vertAlign w:val="superscript"/>
        </w:rPr>
        <w:t>st</w:t>
      </w:r>
      <w:r w:rsidR="00C52AEC" w:rsidRPr="00221654">
        <w:rPr>
          <w:rFonts w:ascii="Times New Roman" w:hAnsi="Times New Roman" w:cs="Times New Roman"/>
          <w:color w:val="000000" w:themeColor="text1"/>
          <w:sz w:val="24"/>
          <w:szCs w:val="24"/>
        </w:rPr>
        <w:t xml:space="preserve"> respondent</w:t>
      </w:r>
    </w:p>
    <w:p w14:paraId="21BD448C" w14:textId="77777777" w:rsidR="009D4306" w:rsidRPr="00221654" w:rsidRDefault="009D4306" w:rsidP="00873D34">
      <w:pPr>
        <w:spacing w:line="360" w:lineRule="auto"/>
        <w:jc w:val="both"/>
        <w:rPr>
          <w:rFonts w:ascii="Times New Roman" w:hAnsi="Times New Roman" w:cs="Times New Roman"/>
          <w:b/>
          <w:color w:val="000000" w:themeColor="text1"/>
          <w:sz w:val="24"/>
          <w:szCs w:val="24"/>
        </w:rPr>
      </w:pPr>
    </w:p>
    <w:p w14:paraId="25FE5ACC" w14:textId="08D0AD77" w:rsidR="00416C37" w:rsidRDefault="00C52AEC" w:rsidP="00416C37">
      <w:pPr>
        <w:spacing w:after="0" w:line="360" w:lineRule="auto"/>
        <w:ind w:firstLine="720"/>
        <w:jc w:val="both"/>
        <w:rPr>
          <w:rFonts w:ascii="Times New Roman" w:hAnsi="Times New Roman" w:cs="Times New Roman"/>
          <w:bCs/>
          <w:sz w:val="24"/>
          <w:szCs w:val="24"/>
        </w:rPr>
      </w:pPr>
      <w:r w:rsidRPr="00EB7915">
        <w:rPr>
          <w:rFonts w:ascii="Times New Roman" w:hAnsi="Times New Roman" w:cs="Times New Roman"/>
          <w:b/>
          <w:sz w:val="24"/>
          <w:szCs w:val="24"/>
        </w:rPr>
        <w:t>MU</w:t>
      </w:r>
      <w:r w:rsidR="00873D34">
        <w:rPr>
          <w:rFonts w:ascii="Times New Roman" w:hAnsi="Times New Roman" w:cs="Times New Roman"/>
          <w:b/>
          <w:sz w:val="24"/>
          <w:szCs w:val="24"/>
        </w:rPr>
        <w:t>SITHU</w:t>
      </w:r>
      <w:r w:rsidRPr="00EB7915">
        <w:rPr>
          <w:rFonts w:ascii="Times New Roman" w:hAnsi="Times New Roman" w:cs="Times New Roman"/>
          <w:b/>
          <w:sz w:val="24"/>
          <w:szCs w:val="24"/>
        </w:rPr>
        <w:t xml:space="preserve"> J</w:t>
      </w:r>
      <w:r w:rsidR="001C5664" w:rsidRPr="00EB7915">
        <w:rPr>
          <w:rFonts w:ascii="Times New Roman" w:hAnsi="Times New Roman" w:cs="Times New Roman"/>
          <w:b/>
          <w:sz w:val="24"/>
          <w:szCs w:val="24"/>
        </w:rPr>
        <w:t>:</w:t>
      </w:r>
      <w:r w:rsidR="001C5664">
        <w:rPr>
          <w:rFonts w:ascii="Times New Roman" w:hAnsi="Times New Roman" w:cs="Times New Roman"/>
          <w:b/>
          <w:sz w:val="24"/>
          <w:szCs w:val="24"/>
        </w:rPr>
        <w:t xml:space="preserve"> </w:t>
      </w:r>
      <w:r w:rsidR="001C5664" w:rsidRPr="001C5664">
        <w:rPr>
          <w:rFonts w:ascii="Times New Roman" w:hAnsi="Times New Roman" w:cs="Times New Roman"/>
          <w:bCs/>
          <w:sz w:val="24"/>
          <w:szCs w:val="24"/>
        </w:rPr>
        <w:t>The</w:t>
      </w:r>
      <w:r w:rsidR="00B67386" w:rsidRPr="001C5664">
        <w:rPr>
          <w:rFonts w:ascii="Times New Roman" w:hAnsi="Times New Roman" w:cs="Times New Roman"/>
          <w:bCs/>
          <w:sz w:val="24"/>
          <w:szCs w:val="24"/>
        </w:rPr>
        <w:t xml:space="preserve"> a</w:t>
      </w:r>
      <w:r w:rsidR="00B67386">
        <w:rPr>
          <w:rFonts w:ascii="Times New Roman" w:hAnsi="Times New Roman" w:cs="Times New Roman"/>
          <w:bCs/>
          <w:sz w:val="24"/>
          <w:szCs w:val="24"/>
        </w:rPr>
        <w:t>pplicant approached this court seeking temporary relief for stay of execution of an order</w:t>
      </w:r>
      <w:r w:rsidR="001C5664">
        <w:rPr>
          <w:rFonts w:ascii="Times New Roman" w:hAnsi="Times New Roman" w:cs="Times New Roman"/>
          <w:bCs/>
          <w:sz w:val="24"/>
          <w:szCs w:val="24"/>
        </w:rPr>
        <w:t xml:space="preserve"> granted by this court per CHINAMORA J </w:t>
      </w:r>
      <w:r w:rsidR="00B67386">
        <w:rPr>
          <w:rFonts w:ascii="Times New Roman" w:hAnsi="Times New Roman" w:cs="Times New Roman"/>
          <w:bCs/>
          <w:sz w:val="24"/>
          <w:szCs w:val="24"/>
        </w:rPr>
        <w:t xml:space="preserve">pending the </w:t>
      </w:r>
      <w:r w:rsidR="00416C37">
        <w:rPr>
          <w:rFonts w:ascii="Times New Roman" w:hAnsi="Times New Roman" w:cs="Times New Roman"/>
          <w:bCs/>
          <w:sz w:val="24"/>
          <w:szCs w:val="24"/>
        </w:rPr>
        <w:t xml:space="preserve">confirmation or discharge of the provisional order that it seeks before me. On the return date, the applicant also seeks by way of substantive relief, that the execution </w:t>
      </w:r>
      <w:r w:rsidR="001C5664">
        <w:rPr>
          <w:rFonts w:ascii="Times New Roman" w:hAnsi="Times New Roman" w:cs="Times New Roman"/>
          <w:bCs/>
          <w:sz w:val="24"/>
          <w:szCs w:val="24"/>
        </w:rPr>
        <w:t xml:space="preserve">of the CHINAMORA J order </w:t>
      </w:r>
      <w:r w:rsidR="00416C37">
        <w:rPr>
          <w:rFonts w:ascii="Times New Roman" w:hAnsi="Times New Roman" w:cs="Times New Roman"/>
          <w:bCs/>
          <w:sz w:val="24"/>
          <w:szCs w:val="24"/>
        </w:rPr>
        <w:t xml:space="preserve">be suspended pending the determination of an application for leave for direct access that was made to the Constitutional Court.  </w:t>
      </w:r>
    </w:p>
    <w:p w14:paraId="0C002E6E" w14:textId="1F0E6C1E" w:rsidR="001C5664" w:rsidRPr="001C5664" w:rsidRDefault="001C5664" w:rsidP="001C5664">
      <w:pPr>
        <w:spacing w:after="0" w:line="360" w:lineRule="auto"/>
        <w:jc w:val="both"/>
        <w:rPr>
          <w:rFonts w:ascii="Times New Roman" w:hAnsi="Times New Roman" w:cs="Times New Roman"/>
          <w:b/>
          <w:sz w:val="24"/>
          <w:szCs w:val="24"/>
        </w:rPr>
      </w:pPr>
      <w:r w:rsidRPr="001C5664">
        <w:rPr>
          <w:rFonts w:ascii="Times New Roman" w:hAnsi="Times New Roman" w:cs="Times New Roman"/>
          <w:b/>
          <w:sz w:val="24"/>
          <w:szCs w:val="24"/>
        </w:rPr>
        <w:t xml:space="preserve">BACKGROUND </w:t>
      </w:r>
    </w:p>
    <w:p w14:paraId="0C580B58" w14:textId="2BC632AD" w:rsidR="00DD0C2B" w:rsidRDefault="00714044" w:rsidP="00416C3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background to the applicant’s case is as follows. In July 2018, the applicant and the first respondent had an employment dispute which was referred to the second respondent</w:t>
      </w:r>
      <w:r w:rsidR="001C5664">
        <w:rPr>
          <w:rFonts w:ascii="Times New Roman" w:hAnsi="Times New Roman" w:cs="Times New Roman"/>
          <w:sz w:val="24"/>
          <w:szCs w:val="24"/>
        </w:rPr>
        <w:t xml:space="preserve"> for </w:t>
      </w:r>
      <w:r w:rsidR="0016535C">
        <w:rPr>
          <w:rFonts w:ascii="Times New Roman" w:hAnsi="Times New Roman" w:cs="Times New Roman"/>
          <w:sz w:val="24"/>
          <w:szCs w:val="24"/>
        </w:rPr>
        <w:t>adjudication</w:t>
      </w:r>
      <w:r>
        <w:rPr>
          <w:rFonts w:ascii="Times New Roman" w:hAnsi="Times New Roman" w:cs="Times New Roman"/>
          <w:sz w:val="24"/>
          <w:szCs w:val="24"/>
        </w:rPr>
        <w:t xml:space="preserve">. The second respondent failed to resolve the dispute through conciliation and proceeded to </w:t>
      </w:r>
      <w:r w:rsidR="0016535C">
        <w:rPr>
          <w:rFonts w:ascii="Times New Roman" w:hAnsi="Times New Roman" w:cs="Times New Roman"/>
          <w:sz w:val="24"/>
          <w:szCs w:val="24"/>
        </w:rPr>
        <w:t xml:space="preserve">render a determination </w:t>
      </w:r>
      <w:r w:rsidR="00DD0C2B">
        <w:rPr>
          <w:rFonts w:ascii="Times New Roman" w:hAnsi="Times New Roman" w:cs="Times New Roman"/>
          <w:sz w:val="24"/>
          <w:szCs w:val="24"/>
        </w:rPr>
        <w:t>on</w:t>
      </w:r>
      <w:r>
        <w:rPr>
          <w:rFonts w:ascii="Times New Roman" w:hAnsi="Times New Roman" w:cs="Times New Roman"/>
          <w:sz w:val="24"/>
          <w:szCs w:val="24"/>
        </w:rPr>
        <w:t xml:space="preserve"> 29 December 2020. The second respondent applied for </w:t>
      </w:r>
      <w:r w:rsidR="009E737B">
        <w:rPr>
          <w:rFonts w:ascii="Times New Roman" w:hAnsi="Times New Roman" w:cs="Times New Roman"/>
          <w:sz w:val="24"/>
          <w:szCs w:val="24"/>
        </w:rPr>
        <w:t>confirmation</w:t>
      </w:r>
      <w:r>
        <w:rPr>
          <w:rFonts w:ascii="Times New Roman" w:hAnsi="Times New Roman" w:cs="Times New Roman"/>
          <w:sz w:val="24"/>
          <w:szCs w:val="24"/>
        </w:rPr>
        <w:t xml:space="preserve"> of his draft ruling with the Labour Court</w:t>
      </w:r>
      <w:r w:rsidR="009E737B">
        <w:rPr>
          <w:rFonts w:ascii="Times New Roman" w:hAnsi="Times New Roman" w:cs="Times New Roman"/>
          <w:sz w:val="24"/>
          <w:szCs w:val="24"/>
        </w:rPr>
        <w:t xml:space="preserve">, and it was duly confirmed </w:t>
      </w:r>
      <w:r>
        <w:rPr>
          <w:rFonts w:ascii="Times New Roman" w:hAnsi="Times New Roman" w:cs="Times New Roman"/>
          <w:sz w:val="24"/>
          <w:szCs w:val="24"/>
        </w:rPr>
        <w:t xml:space="preserve">by </w:t>
      </w:r>
      <w:r w:rsidR="00E3307C" w:rsidRPr="00E3307C">
        <w:rPr>
          <w:rFonts w:ascii="Times New Roman" w:hAnsi="Times New Roman" w:cs="Times New Roman"/>
          <w:smallCaps/>
          <w:sz w:val="24"/>
          <w:szCs w:val="24"/>
        </w:rPr>
        <w:t>murasi</w:t>
      </w:r>
      <w:r w:rsidR="00E3307C">
        <w:rPr>
          <w:rFonts w:ascii="Times New Roman" w:hAnsi="Times New Roman" w:cs="Times New Roman"/>
          <w:sz w:val="24"/>
          <w:szCs w:val="24"/>
        </w:rPr>
        <w:t xml:space="preserve"> </w:t>
      </w:r>
      <w:r>
        <w:rPr>
          <w:rFonts w:ascii="Times New Roman" w:hAnsi="Times New Roman" w:cs="Times New Roman"/>
          <w:sz w:val="24"/>
          <w:szCs w:val="24"/>
        </w:rPr>
        <w:t>J of the Labour Court. The Labour Court judgment was registered as an order of this court for enforcement purposes on 1 February 2023</w:t>
      </w:r>
      <w:r w:rsidR="00DD0C2B">
        <w:rPr>
          <w:rFonts w:ascii="Times New Roman" w:hAnsi="Times New Roman" w:cs="Times New Roman"/>
          <w:sz w:val="24"/>
          <w:szCs w:val="24"/>
        </w:rPr>
        <w:t xml:space="preserve"> by </w:t>
      </w:r>
      <w:r w:rsidR="00E3307C" w:rsidRPr="00E3307C">
        <w:rPr>
          <w:rFonts w:ascii="Times New Roman" w:hAnsi="Times New Roman" w:cs="Times New Roman"/>
          <w:smallCaps/>
          <w:sz w:val="24"/>
          <w:szCs w:val="24"/>
        </w:rPr>
        <w:t>chinamora</w:t>
      </w:r>
      <w:r w:rsidR="00E3307C">
        <w:rPr>
          <w:rFonts w:ascii="Times New Roman" w:hAnsi="Times New Roman" w:cs="Times New Roman"/>
          <w:sz w:val="24"/>
          <w:szCs w:val="24"/>
        </w:rPr>
        <w:t xml:space="preserve"> </w:t>
      </w:r>
      <w:r w:rsidR="00DD0C2B">
        <w:rPr>
          <w:rFonts w:ascii="Times New Roman" w:hAnsi="Times New Roman" w:cs="Times New Roman"/>
          <w:sz w:val="24"/>
          <w:szCs w:val="24"/>
        </w:rPr>
        <w:t>J</w:t>
      </w:r>
      <w:r w:rsidR="009E737B">
        <w:rPr>
          <w:rFonts w:ascii="Times New Roman" w:hAnsi="Times New Roman" w:cs="Times New Roman"/>
          <w:sz w:val="24"/>
          <w:szCs w:val="24"/>
        </w:rPr>
        <w:t xml:space="preserve">. The order </w:t>
      </w:r>
      <w:r w:rsidR="00DD0C2B">
        <w:rPr>
          <w:rFonts w:ascii="Times New Roman" w:hAnsi="Times New Roman" w:cs="Times New Roman"/>
          <w:sz w:val="24"/>
          <w:szCs w:val="24"/>
        </w:rPr>
        <w:t>directed the applicant to pay the first respondent the sum of US$323,036.69, as damages in lieu of reinstate</w:t>
      </w:r>
      <w:r w:rsidR="009E737B">
        <w:rPr>
          <w:rFonts w:ascii="Times New Roman" w:hAnsi="Times New Roman" w:cs="Times New Roman"/>
          <w:sz w:val="24"/>
          <w:szCs w:val="24"/>
        </w:rPr>
        <w:t>m</w:t>
      </w:r>
      <w:r w:rsidR="00DD0C2B">
        <w:rPr>
          <w:rFonts w:ascii="Times New Roman" w:hAnsi="Times New Roman" w:cs="Times New Roman"/>
          <w:sz w:val="24"/>
          <w:szCs w:val="24"/>
        </w:rPr>
        <w:t>ent.</w:t>
      </w:r>
      <w:r w:rsidR="009E737B">
        <w:rPr>
          <w:rFonts w:ascii="Times New Roman" w:hAnsi="Times New Roman" w:cs="Times New Roman"/>
          <w:sz w:val="24"/>
          <w:szCs w:val="24"/>
        </w:rPr>
        <w:t xml:space="preserve"> It </w:t>
      </w:r>
      <w:r w:rsidR="009E737B">
        <w:rPr>
          <w:rFonts w:ascii="Times New Roman" w:hAnsi="Times New Roman" w:cs="Times New Roman"/>
          <w:sz w:val="24"/>
          <w:szCs w:val="24"/>
        </w:rPr>
        <w:lastRenderedPageBreak/>
        <w:t xml:space="preserve">also </w:t>
      </w:r>
      <w:r w:rsidR="00DD0C2B">
        <w:rPr>
          <w:rFonts w:ascii="Times New Roman" w:hAnsi="Times New Roman" w:cs="Times New Roman"/>
          <w:sz w:val="24"/>
          <w:szCs w:val="24"/>
        </w:rPr>
        <w:t xml:space="preserve">gave the </w:t>
      </w:r>
      <w:r w:rsidR="009E737B">
        <w:rPr>
          <w:rFonts w:ascii="Times New Roman" w:hAnsi="Times New Roman" w:cs="Times New Roman"/>
          <w:sz w:val="24"/>
          <w:szCs w:val="24"/>
        </w:rPr>
        <w:t>applicant</w:t>
      </w:r>
      <w:r w:rsidR="00DD0C2B">
        <w:rPr>
          <w:rFonts w:ascii="Times New Roman" w:hAnsi="Times New Roman" w:cs="Times New Roman"/>
          <w:sz w:val="24"/>
          <w:szCs w:val="24"/>
        </w:rPr>
        <w:t xml:space="preserve"> greenlight to pay the damages in local currency at the prevailing interbank rate as at the date of payment.</w:t>
      </w:r>
    </w:p>
    <w:p w14:paraId="5C02B36E" w14:textId="72C695CF" w:rsidR="00714044" w:rsidRDefault="00DD0C2B" w:rsidP="00714044">
      <w:pPr>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00150262">
        <w:rPr>
          <w:rFonts w:ascii="Times New Roman" w:hAnsi="Times New Roman" w:cs="Times New Roman"/>
          <w:sz w:val="24"/>
          <w:szCs w:val="24"/>
        </w:rPr>
        <w:t xml:space="preserve">The order </w:t>
      </w:r>
      <w:r w:rsidR="009E737B">
        <w:rPr>
          <w:rFonts w:ascii="Times New Roman" w:hAnsi="Times New Roman" w:cs="Times New Roman"/>
          <w:sz w:val="24"/>
          <w:szCs w:val="24"/>
        </w:rPr>
        <w:t xml:space="preserve">further </w:t>
      </w:r>
      <w:r w:rsidR="00150262">
        <w:rPr>
          <w:rFonts w:ascii="Times New Roman" w:hAnsi="Times New Roman" w:cs="Times New Roman"/>
          <w:sz w:val="24"/>
          <w:szCs w:val="24"/>
        </w:rPr>
        <w:t>directed the applicant to deliver to the first respondent a Toyota Land Cruiser vehicle, two laptops and a desktop as well as 11 520 litres of fuel or the equivalent in monetary value at the date of delivery.</w:t>
      </w:r>
      <w:r w:rsidR="0095392B">
        <w:rPr>
          <w:rFonts w:ascii="Times New Roman" w:hAnsi="Times New Roman" w:cs="Times New Roman"/>
          <w:sz w:val="24"/>
          <w:szCs w:val="24"/>
        </w:rPr>
        <w:t xml:space="preserve"> Armed with that order, the </w:t>
      </w:r>
      <w:r w:rsidR="00714044">
        <w:rPr>
          <w:rFonts w:ascii="Times New Roman" w:hAnsi="Times New Roman" w:cs="Times New Roman"/>
          <w:sz w:val="24"/>
          <w:szCs w:val="24"/>
        </w:rPr>
        <w:t xml:space="preserve">first respondent instructed the third respondent to attach the applicant’s goods to </w:t>
      </w:r>
      <w:r w:rsidR="0095392B">
        <w:rPr>
          <w:rFonts w:ascii="Times New Roman" w:hAnsi="Times New Roman" w:cs="Times New Roman"/>
          <w:sz w:val="24"/>
          <w:szCs w:val="24"/>
        </w:rPr>
        <w:t xml:space="preserve">satisfy the terms of the order. </w:t>
      </w:r>
    </w:p>
    <w:p w14:paraId="05453E05" w14:textId="78392201" w:rsidR="00BC2F3A" w:rsidRDefault="0095392B" w:rsidP="00714044">
      <w:pPr>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ab/>
        <w:t>Before execution took place, the applicant sought and was granted leave to appeal against the Labour Court judgment at the Supreme Court. The Supreme Court dismissed the applicant’s appeal and advised that reasons for judgment would follow. The applicant was aggrieved by the way its appeal was handled by the Supreme Court. On 21 January 2025, the applicant’s legal practitioners wrote to the Registrar of the Supreme Court requesting reasons for the decision</w:t>
      </w:r>
      <w:r w:rsidR="009E737B">
        <w:rPr>
          <w:rFonts w:ascii="Times New Roman" w:hAnsi="Times New Roman" w:cs="Times New Roman"/>
          <w:sz w:val="24"/>
          <w:szCs w:val="24"/>
        </w:rPr>
        <w:t xml:space="preserve"> to enable them to progress the matter further</w:t>
      </w:r>
      <w:r>
        <w:rPr>
          <w:rFonts w:ascii="Times New Roman" w:hAnsi="Times New Roman" w:cs="Times New Roman"/>
          <w:sz w:val="24"/>
          <w:szCs w:val="24"/>
        </w:rPr>
        <w:t xml:space="preserve">. </w:t>
      </w:r>
    </w:p>
    <w:p w14:paraId="2922C0A9" w14:textId="0816B851" w:rsidR="00BC041B" w:rsidRDefault="00BC2F3A" w:rsidP="00BC2F3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applicant’s legal practitioners also wrote to the first respondent’s legal practitioners seeking their indulgence to stay execution pending the determination of the applicant’s application</w:t>
      </w:r>
      <w:r w:rsidR="009E737B">
        <w:rPr>
          <w:rFonts w:ascii="Times New Roman" w:hAnsi="Times New Roman" w:cs="Times New Roman"/>
          <w:sz w:val="24"/>
          <w:szCs w:val="24"/>
        </w:rPr>
        <w:t xml:space="preserve"> for direct access</w:t>
      </w:r>
      <w:r>
        <w:rPr>
          <w:rFonts w:ascii="Times New Roman" w:hAnsi="Times New Roman" w:cs="Times New Roman"/>
          <w:sz w:val="24"/>
          <w:szCs w:val="24"/>
        </w:rPr>
        <w:t xml:space="preserve"> to the Constitutional Court</w:t>
      </w:r>
      <w:r w:rsidR="009E737B">
        <w:rPr>
          <w:rFonts w:ascii="Times New Roman" w:hAnsi="Times New Roman" w:cs="Times New Roman"/>
          <w:sz w:val="24"/>
          <w:szCs w:val="24"/>
        </w:rPr>
        <w:t xml:space="preserve"> </w:t>
      </w:r>
      <w:r>
        <w:rPr>
          <w:rFonts w:ascii="Times New Roman" w:hAnsi="Times New Roman" w:cs="Times New Roman"/>
          <w:sz w:val="24"/>
          <w:szCs w:val="24"/>
        </w:rPr>
        <w:t>to challenge the decision of the Supreme Court. The first respondent’s legal practitioners refused to accede to the request</w:t>
      </w:r>
      <w:r w:rsidR="009E737B">
        <w:rPr>
          <w:rFonts w:ascii="Times New Roman" w:hAnsi="Times New Roman" w:cs="Times New Roman"/>
          <w:sz w:val="24"/>
          <w:szCs w:val="24"/>
        </w:rPr>
        <w:t xml:space="preserve">, and they instructed </w:t>
      </w:r>
      <w:r>
        <w:rPr>
          <w:rFonts w:ascii="Times New Roman" w:hAnsi="Times New Roman" w:cs="Times New Roman"/>
          <w:sz w:val="24"/>
          <w:szCs w:val="24"/>
        </w:rPr>
        <w:t xml:space="preserve">the third respondent to proceed with execution. The third respondent proceeded </w:t>
      </w:r>
      <w:r w:rsidR="009E737B">
        <w:rPr>
          <w:rFonts w:ascii="Times New Roman" w:hAnsi="Times New Roman" w:cs="Times New Roman"/>
          <w:sz w:val="24"/>
          <w:szCs w:val="24"/>
        </w:rPr>
        <w:t xml:space="preserve">to the applicant’s premises and placed </w:t>
      </w:r>
      <w:r w:rsidR="00BC041B">
        <w:rPr>
          <w:rFonts w:ascii="Times New Roman" w:hAnsi="Times New Roman" w:cs="Times New Roman"/>
          <w:sz w:val="24"/>
          <w:szCs w:val="24"/>
        </w:rPr>
        <w:t xml:space="preserve">seven of the </w:t>
      </w:r>
      <w:r>
        <w:rPr>
          <w:rFonts w:ascii="Times New Roman" w:hAnsi="Times New Roman" w:cs="Times New Roman"/>
          <w:sz w:val="24"/>
          <w:szCs w:val="24"/>
        </w:rPr>
        <w:t xml:space="preserve">applicant’s vehicles </w:t>
      </w:r>
      <w:r w:rsidR="00BC041B">
        <w:rPr>
          <w:rFonts w:ascii="Times New Roman" w:hAnsi="Times New Roman" w:cs="Times New Roman"/>
          <w:sz w:val="24"/>
          <w:szCs w:val="24"/>
        </w:rPr>
        <w:t xml:space="preserve">under judicial attachment, with removal set to take place on 10 February 2025. On 7 February 2025, the applicant filed </w:t>
      </w:r>
      <w:r w:rsidR="001A7EB8">
        <w:rPr>
          <w:rFonts w:ascii="Times New Roman" w:hAnsi="Times New Roman" w:cs="Times New Roman"/>
          <w:sz w:val="24"/>
          <w:szCs w:val="24"/>
        </w:rPr>
        <w:t xml:space="preserve">the </w:t>
      </w:r>
      <w:r w:rsidR="00BC041B">
        <w:rPr>
          <w:rFonts w:ascii="Times New Roman" w:hAnsi="Times New Roman" w:cs="Times New Roman"/>
          <w:sz w:val="24"/>
          <w:szCs w:val="24"/>
        </w:rPr>
        <w:t>Constitutional Court application for direct access to that court</w:t>
      </w:r>
      <w:r w:rsidR="001A7EB8">
        <w:rPr>
          <w:rFonts w:ascii="Times New Roman" w:hAnsi="Times New Roman" w:cs="Times New Roman"/>
          <w:sz w:val="24"/>
          <w:szCs w:val="24"/>
        </w:rPr>
        <w:t xml:space="preserve"> in terms of s 167(5) of the Constitution</w:t>
      </w:r>
      <w:r w:rsidR="00BC041B">
        <w:rPr>
          <w:rFonts w:ascii="Times New Roman" w:hAnsi="Times New Roman" w:cs="Times New Roman"/>
          <w:sz w:val="24"/>
          <w:szCs w:val="24"/>
        </w:rPr>
        <w:t xml:space="preserve">. </w:t>
      </w:r>
    </w:p>
    <w:p w14:paraId="1876A495" w14:textId="4BFB7B40" w:rsidR="00BC041B" w:rsidRDefault="00BC041B" w:rsidP="00BC2F3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applicant avers that it has good prospects of success in having the Supreme Court judgment set aside. The approach to this court </w:t>
      </w:r>
      <w:r w:rsidR="00B014F3">
        <w:rPr>
          <w:rFonts w:ascii="Times New Roman" w:hAnsi="Times New Roman" w:cs="Times New Roman"/>
          <w:sz w:val="24"/>
          <w:szCs w:val="24"/>
        </w:rPr>
        <w:t xml:space="preserve">for stay of execution </w:t>
      </w:r>
      <w:r>
        <w:rPr>
          <w:rFonts w:ascii="Times New Roman" w:hAnsi="Times New Roman" w:cs="Times New Roman"/>
          <w:sz w:val="24"/>
          <w:szCs w:val="24"/>
        </w:rPr>
        <w:t>was predicated on the fear of irreparable harm</w:t>
      </w:r>
      <w:r w:rsidR="00B014F3">
        <w:rPr>
          <w:rFonts w:ascii="Times New Roman" w:hAnsi="Times New Roman" w:cs="Times New Roman"/>
          <w:sz w:val="24"/>
          <w:szCs w:val="24"/>
        </w:rPr>
        <w:t xml:space="preserve"> befalling the applicant</w:t>
      </w:r>
      <w:r>
        <w:rPr>
          <w:rFonts w:ascii="Times New Roman" w:hAnsi="Times New Roman" w:cs="Times New Roman"/>
          <w:sz w:val="24"/>
          <w:szCs w:val="24"/>
        </w:rPr>
        <w:t xml:space="preserve"> </w:t>
      </w:r>
      <w:r w:rsidR="002A5E4F">
        <w:rPr>
          <w:rFonts w:ascii="Times New Roman" w:hAnsi="Times New Roman" w:cs="Times New Roman"/>
          <w:sz w:val="24"/>
          <w:szCs w:val="24"/>
        </w:rPr>
        <w:t>if</w:t>
      </w:r>
      <w:r>
        <w:rPr>
          <w:rFonts w:ascii="Times New Roman" w:hAnsi="Times New Roman" w:cs="Times New Roman"/>
          <w:sz w:val="24"/>
          <w:szCs w:val="24"/>
        </w:rPr>
        <w:t xml:space="preserve"> the first respondent was allowed to proceed with the enforcement of the judgment. The buses and the motor vehicles that were attached were critical to the functions of the applicant. The buses were used to ferry students and staff members, while the motor vehicles were used for the day to day running of the applicant. </w:t>
      </w:r>
      <w:r w:rsidR="002A5E4F">
        <w:rPr>
          <w:rFonts w:ascii="Times New Roman" w:hAnsi="Times New Roman" w:cs="Times New Roman"/>
          <w:sz w:val="24"/>
          <w:szCs w:val="24"/>
        </w:rPr>
        <w:t xml:space="preserve">Allowing removal to proceed would disrupt the operations of the university. </w:t>
      </w:r>
    </w:p>
    <w:p w14:paraId="25D27DBC" w14:textId="49D4EB1B" w:rsidR="002A5E4F" w:rsidRDefault="002A5E4F" w:rsidP="00BC2F3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applicant further averred that the amount involved was considerably </w:t>
      </w:r>
      <w:r w:rsidR="00BF4674">
        <w:rPr>
          <w:rFonts w:ascii="Times New Roman" w:hAnsi="Times New Roman" w:cs="Times New Roman"/>
          <w:sz w:val="24"/>
          <w:szCs w:val="24"/>
        </w:rPr>
        <w:t xml:space="preserve">substantial </w:t>
      </w:r>
      <w:r>
        <w:rPr>
          <w:rFonts w:ascii="Times New Roman" w:hAnsi="Times New Roman" w:cs="Times New Roman"/>
          <w:sz w:val="24"/>
          <w:szCs w:val="24"/>
        </w:rPr>
        <w:t xml:space="preserve">and would cause the collapse of the applicant in circumstances where the first respondent was not due any payment at all. The damages involved were employment related and therefore subject to taxation. The first respondent could not execute the full amount before tax was paid. </w:t>
      </w:r>
      <w:r>
        <w:rPr>
          <w:rFonts w:ascii="Times New Roman" w:hAnsi="Times New Roman" w:cs="Times New Roman"/>
          <w:sz w:val="24"/>
          <w:szCs w:val="24"/>
        </w:rPr>
        <w:lastRenderedPageBreak/>
        <w:t>The obligation to deduct and remit the tax was on the applicant.</w:t>
      </w:r>
      <w:r w:rsidR="00E3307C">
        <w:rPr>
          <w:rFonts w:ascii="Times New Roman" w:hAnsi="Times New Roman" w:cs="Times New Roman"/>
          <w:sz w:val="24"/>
          <w:szCs w:val="24"/>
        </w:rPr>
        <w:t xml:space="preserve"> </w:t>
      </w:r>
      <w:r>
        <w:rPr>
          <w:rFonts w:ascii="Times New Roman" w:hAnsi="Times New Roman" w:cs="Times New Roman"/>
          <w:sz w:val="24"/>
          <w:szCs w:val="24"/>
        </w:rPr>
        <w:t xml:space="preserve"> It was further averred that the first respondent was not employed and had no means to repay th</w:t>
      </w:r>
      <w:r w:rsidR="00BF4674">
        <w:rPr>
          <w:rFonts w:ascii="Times New Roman" w:hAnsi="Times New Roman" w:cs="Times New Roman"/>
          <w:sz w:val="24"/>
          <w:szCs w:val="24"/>
        </w:rPr>
        <w:t xml:space="preserve">at </w:t>
      </w:r>
      <w:r>
        <w:rPr>
          <w:rFonts w:ascii="Times New Roman" w:hAnsi="Times New Roman" w:cs="Times New Roman"/>
          <w:sz w:val="24"/>
          <w:szCs w:val="24"/>
        </w:rPr>
        <w:t xml:space="preserve">huge amount in the event that the Constitutional Court matter was successful. </w:t>
      </w:r>
    </w:p>
    <w:p w14:paraId="4C280A5F" w14:textId="04B48272" w:rsidR="00E76727" w:rsidRDefault="00E76727" w:rsidP="00BC2F3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application was opposed by the first respondent. He raised as a preliminary point, the fact that the matter was not urgent at all. This was because the applicant sought to approach the Constitutional Court on what was clearly a non-constitutional matter. The applicant had previously been granted a stay of execution pending the determination of its appeal to the Supreme Court. That stay had been extinguished following the dismissal of its appeal by the Supreme Court. </w:t>
      </w:r>
      <w:r w:rsidR="00FE5250">
        <w:rPr>
          <w:rFonts w:ascii="Times New Roman" w:hAnsi="Times New Roman" w:cs="Times New Roman"/>
          <w:sz w:val="24"/>
          <w:szCs w:val="24"/>
        </w:rPr>
        <w:t>The applicant could not therefore simply approach this court on an urgent basis in order to challenge the factual findings of the Supreme Court.</w:t>
      </w:r>
    </w:p>
    <w:p w14:paraId="1C17C228" w14:textId="13BFEDAA" w:rsidR="00415FF9" w:rsidRDefault="00FE5250" w:rsidP="00BC2F3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As regards the merits, it was averred that the applicant had no prospects of success at all in the purported application to the Constitutional Court. This was because the Supreme Court had not made any pronouncement on any constitutional issue </w:t>
      </w:r>
      <w:r w:rsidR="00BF4674">
        <w:rPr>
          <w:rFonts w:ascii="Times New Roman" w:hAnsi="Times New Roman" w:cs="Times New Roman"/>
          <w:sz w:val="24"/>
          <w:szCs w:val="24"/>
        </w:rPr>
        <w:t>to</w:t>
      </w:r>
      <w:r>
        <w:rPr>
          <w:rFonts w:ascii="Times New Roman" w:hAnsi="Times New Roman" w:cs="Times New Roman"/>
          <w:sz w:val="24"/>
          <w:szCs w:val="24"/>
        </w:rPr>
        <w:t xml:space="preserve"> clothe the Constitutional Court </w:t>
      </w:r>
      <w:r w:rsidR="00BF4674">
        <w:rPr>
          <w:rFonts w:ascii="Times New Roman" w:hAnsi="Times New Roman" w:cs="Times New Roman"/>
          <w:sz w:val="24"/>
          <w:szCs w:val="24"/>
        </w:rPr>
        <w:t xml:space="preserve">with jurisdiction </w:t>
      </w:r>
      <w:r>
        <w:rPr>
          <w:rFonts w:ascii="Times New Roman" w:hAnsi="Times New Roman" w:cs="Times New Roman"/>
          <w:sz w:val="24"/>
          <w:szCs w:val="24"/>
        </w:rPr>
        <w:t xml:space="preserve">to hear the application. It was also averred that the applicant was clearly seeking to appeal against the Supreme Court findings on the merits of the matter, because no constitutional issue had been adverted to by the Supreme Court. </w:t>
      </w:r>
    </w:p>
    <w:p w14:paraId="52F4C70E" w14:textId="17F1252A" w:rsidR="00FE5250" w:rsidRPr="00415FF9" w:rsidRDefault="00415FF9" w:rsidP="00415FF9">
      <w:pPr>
        <w:spacing w:after="0" w:line="360" w:lineRule="auto"/>
        <w:jc w:val="both"/>
        <w:rPr>
          <w:rFonts w:ascii="Times New Roman" w:hAnsi="Times New Roman" w:cs="Times New Roman"/>
          <w:b/>
          <w:bCs/>
          <w:sz w:val="24"/>
          <w:szCs w:val="24"/>
        </w:rPr>
      </w:pPr>
      <w:r w:rsidRPr="00415FF9">
        <w:rPr>
          <w:rFonts w:ascii="Times New Roman" w:hAnsi="Times New Roman" w:cs="Times New Roman"/>
          <w:b/>
          <w:bCs/>
          <w:sz w:val="24"/>
          <w:szCs w:val="24"/>
        </w:rPr>
        <w:t xml:space="preserve">SUBMISSIONS AND ANALYSIS </w:t>
      </w:r>
      <w:r w:rsidR="00FE5250" w:rsidRPr="00415FF9">
        <w:rPr>
          <w:rFonts w:ascii="Times New Roman" w:hAnsi="Times New Roman" w:cs="Times New Roman"/>
          <w:b/>
          <w:bCs/>
          <w:sz w:val="24"/>
          <w:szCs w:val="24"/>
        </w:rPr>
        <w:t xml:space="preserve"> </w:t>
      </w:r>
    </w:p>
    <w:p w14:paraId="2A9580C5" w14:textId="207D330D" w:rsidR="00335397" w:rsidRDefault="00BC2F3A" w:rsidP="00714044">
      <w:pPr>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ab/>
      </w:r>
      <w:r w:rsidR="00642432">
        <w:rPr>
          <w:rFonts w:ascii="Times New Roman" w:hAnsi="Times New Roman" w:cs="Times New Roman"/>
          <w:sz w:val="24"/>
          <w:szCs w:val="24"/>
        </w:rPr>
        <w:t xml:space="preserve">The matter was postponed twice at the request of the parties to facilitate a possible out of court settlement. At the resumption of the hearing, </w:t>
      </w:r>
      <w:r w:rsidR="00ED6764">
        <w:rPr>
          <w:rFonts w:ascii="Times New Roman" w:hAnsi="Times New Roman" w:cs="Times New Roman"/>
          <w:sz w:val="24"/>
          <w:szCs w:val="24"/>
        </w:rPr>
        <w:t>counsel</w:t>
      </w:r>
      <w:r w:rsidR="00642432">
        <w:rPr>
          <w:rFonts w:ascii="Times New Roman" w:hAnsi="Times New Roman" w:cs="Times New Roman"/>
          <w:sz w:val="24"/>
          <w:szCs w:val="24"/>
        </w:rPr>
        <w:t xml:space="preserve"> agreed to file heads of argument and leave the court to determine the matter on the papers. </w:t>
      </w:r>
      <w:r w:rsidR="0065615C">
        <w:rPr>
          <w:rFonts w:ascii="Times New Roman" w:hAnsi="Times New Roman" w:cs="Times New Roman"/>
          <w:sz w:val="24"/>
          <w:szCs w:val="24"/>
        </w:rPr>
        <w:t>In its heads of argument, the applicant</w:t>
      </w:r>
      <w:r w:rsidR="00DC33A0">
        <w:rPr>
          <w:rFonts w:ascii="Times New Roman" w:hAnsi="Times New Roman" w:cs="Times New Roman"/>
          <w:sz w:val="24"/>
          <w:szCs w:val="24"/>
        </w:rPr>
        <w:t xml:space="preserve"> submitted that the matter was urgent because the first respondent’s writ of execution presently in operation demanded immediate compliance, which would lead to the execution of the applicant’s property to satisfy the judgment debt well before the Constitutional Court determined whether the applicant should be granted leave or not. It was also </w:t>
      </w:r>
      <w:r w:rsidR="00E54C7D">
        <w:rPr>
          <w:rFonts w:ascii="Times New Roman" w:hAnsi="Times New Roman" w:cs="Times New Roman"/>
          <w:sz w:val="24"/>
          <w:szCs w:val="24"/>
        </w:rPr>
        <w:t xml:space="preserve">submitted </w:t>
      </w:r>
      <w:r w:rsidR="00DC33A0">
        <w:rPr>
          <w:rFonts w:ascii="Times New Roman" w:hAnsi="Times New Roman" w:cs="Times New Roman"/>
          <w:sz w:val="24"/>
          <w:szCs w:val="24"/>
        </w:rPr>
        <w:t xml:space="preserve">that imminent harm was further compounded by the fact that, absent a stay of execution, the applicant’s application for direct access to the Constitutional court would be rendered </w:t>
      </w:r>
      <w:r w:rsidR="00DC33A0" w:rsidRPr="00DC33A0">
        <w:rPr>
          <w:rFonts w:ascii="Times New Roman" w:hAnsi="Times New Roman" w:cs="Times New Roman"/>
          <w:i/>
          <w:iCs/>
          <w:sz w:val="24"/>
          <w:szCs w:val="24"/>
        </w:rPr>
        <w:t>brutum fulmen</w:t>
      </w:r>
      <w:r w:rsidR="00DC33A0">
        <w:rPr>
          <w:rFonts w:ascii="Times New Roman" w:hAnsi="Times New Roman" w:cs="Times New Roman"/>
          <w:sz w:val="24"/>
          <w:szCs w:val="24"/>
        </w:rPr>
        <w:t xml:space="preserve"> and not worth pursuing any further. </w:t>
      </w:r>
    </w:p>
    <w:p w14:paraId="3B1DF948" w14:textId="455092B1" w:rsidR="00BC2F3A" w:rsidRDefault="00DC33A0" w:rsidP="00DC33A0">
      <w:pPr>
        <w:spacing w:after="0" w:line="360" w:lineRule="auto"/>
        <w:ind w:firstLine="720"/>
        <w:jc w:val="both"/>
        <w:rPr>
          <w:rFonts w:ascii="Times New Roman" w:hAnsi="Times New Roman" w:cs="Times New Roman"/>
          <w:sz w:val="24"/>
          <w:szCs w:val="24"/>
        </w:rPr>
      </w:pPr>
      <w:r w:rsidRPr="00AC0B3E">
        <w:rPr>
          <w:rFonts w:ascii="Times New Roman" w:hAnsi="Times New Roman" w:cs="Times New Roman"/>
          <w:color w:val="000000" w:themeColor="text1"/>
          <w:sz w:val="24"/>
          <w:szCs w:val="24"/>
        </w:rPr>
        <w:t>As regards the merits, it was</w:t>
      </w:r>
      <w:r w:rsidR="0065615C" w:rsidRPr="00AC0B3E">
        <w:rPr>
          <w:rFonts w:ascii="Times New Roman" w:hAnsi="Times New Roman" w:cs="Times New Roman"/>
          <w:color w:val="000000" w:themeColor="text1"/>
          <w:sz w:val="24"/>
          <w:szCs w:val="24"/>
        </w:rPr>
        <w:t xml:space="preserve"> submitted that what</w:t>
      </w:r>
      <w:r w:rsidR="00AC0B3E" w:rsidRPr="00AC0B3E">
        <w:rPr>
          <w:rFonts w:ascii="Times New Roman" w:hAnsi="Times New Roman" w:cs="Times New Roman"/>
          <w:color w:val="000000" w:themeColor="text1"/>
          <w:sz w:val="24"/>
          <w:szCs w:val="24"/>
        </w:rPr>
        <w:t xml:space="preserve"> the applicant </w:t>
      </w:r>
      <w:r w:rsidR="0065615C" w:rsidRPr="00AC0B3E">
        <w:rPr>
          <w:rFonts w:ascii="Times New Roman" w:hAnsi="Times New Roman" w:cs="Times New Roman"/>
          <w:color w:val="000000" w:themeColor="text1"/>
          <w:sz w:val="24"/>
          <w:szCs w:val="24"/>
        </w:rPr>
        <w:t xml:space="preserve">sought was an interdict </w:t>
      </w:r>
      <w:r w:rsidR="0065615C" w:rsidRPr="00AC0B3E">
        <w:rPr>
          <w:rFonts w:ascii="Times New Roman" w:hAnsi="Times New Roman" w:cs="Times New Roman"/>
          <w:i/>
          <w:iCs/>
          <w:color w:val="000000" w:themeColor="text1"/>
          <w:sz w:val="24"/>
          <w:szCs w:val="24"/>
        </w:rPr>
        <w:t>pendente lite</w:t>
      </w:r>
      <w:r w:rsidR="0065615C" w:rsidRPr="00AC0B3E">
        <w:rPr>
          <w:rFonts w:ascii="Times New Roman" w:hAnsi="Times New Roman" w:cs="Times New Roman"/>
          <w:color w:val="000000" w:themeColor="text1"/>
          <w:sz w:val="24"/>
          <w:szCs w:val="24"/>
        </w:rPr>
        <w:t xml:space="preserve">, a temporary order aimed at preserving the status </w:t>
      </w:r>
      <w:r w:rsidR="0065615C" w:rsidRPr="00AC0B3E">
        <w:rPr>
          <w:rFonts w:ascii="Times New Roman" w:hAnsi="Times New Roman" w:cs="Times New Roman"/>
          <w:i/>
          <w:iCs/>
          <w:color w:val="000000" w:themeColor="text1"/>
          <w:sz w:val="24"/>
          <w:szCs w:val="24"/>
        </w:rPr>
        <w:t>quo</w:t>
      </w:r>
      <w:r w:rsidR="0065615C" w:rsidRPr="00AC0B3E">
        <w:rPr>
          <w:rFonts w:ascii="Times New Roman" w:hAnsi="Times New Roman" w:cs="Times New Roman"/>
          <w:color w:val="000000" w:themeColor="text1"/>
          <w:sz w:val="24"/>
          <w:szCs w:val="24"/>
        </w:rPr>
        <w:t xml:space="preserve"> pending the final determination of adjunct </w:t>
      </w:r>
      <w:r w:rsidR="0065615C">
        <w:rPr>
          <w:rFonts w:ascii="Times New Roman" w:hAnsi="Times New Roman" w:cs="Times New Roman"/>
          <w:sz w:val="24"/>
          <w:szCs w:val="24"/>
        </w:rPr>
        <w:t xml:space="preserve">proceedings. Such an interdict served to restore the existing </w:t>
      </w:r>
      <w:r w:rsidR="00ED6764">
        <w:rPr>
          <w:rFonts w:ascii="Times New Roman" w:hAnsi="Times New Roman" w:cs="Times New Roman"/>
          <w:sz w:val="24"/>
          <w:szCs w:val="24"/>
        </w:rPr>
        <w:t>situation</w:t>
      </w:r>
      <w:r w:rsidR="0065615C">
        <w:rPr>
          <w:rFonts w:ascii="Times New Roman" w:hAnsi="Times New Roman" w:cs="Times New Roman"/>
          <w:sz w:val="24"/>
          <w:szCs w:val="24"/>
        </w:rPr>
        <w:t xml:space="preserve"> until the </w:t>
      </w:r>
      <w:r w:rsidR="00ED6764">
        <w:rPr>
          <w:rFonts w:ascii="Times New Roman" w:hAnsi="Times New Roman" w:cs="Times New Roman"/>
          <w:sz w:val="24"/>
          <w:szCs w:val="24"/>
        </w:rPr>
        <w:t>parties’</w:t>
      </w:r>
      <w:r w:rsidR="0065615C">
        <w:rPr>
          <w:rFonts w:ascii="Times New Roman" w:hAnsi="Times New Roman" w:cs="Times New Roman"/>
          <w:sz w:val="24"/>
          <w:szCs w:val="24"/>
        </w:rPr>
        <w:t xml:space="preserve"> substantive rights were adjudicated upon in another matter. It was further submitted that the granting of such relief did not involve the final determination of the parties </w:t>
      </w:r>
      <w:r w:rsidR="0065615C">
        <w:rPr>
          <w:rFonts w:ascii="Times New Roman" w:hAnsi="Times New Roman" w:cs="Times New Roman"/>
          <w:sz w:val="24"/>
          <w:szCs w:val="24"/>
        </w:rPr>
        <w:lastRenderedPageBreak/>
        <w:t>rights. Rather, it ensured that the pending litigation was not rendered nugatory before a decision is reached on the merits.</w:t>
      </w:r>
    </w:p>
    <w:p w14:paraId="6C7149A4" w14:textId="7849B01D" w:rsidR="0065615C" w:rsidRDefault="0065615C" w:rsidP="00714044">
      <w:pPr>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ab/>
        <w:t xml:space="preserve">In his heads of argument, the first respondent submitted that in an application of this nature, the court had to </w:t>
      </w:r>
      <w:r w:rsidR="002148EE">
        <w:rPr>
          <w:rFonts w:ascii="Times New Roman" w:hAnsi="Times New Roman" w:cs="Times New Roman"/>
          <w:sz w:val="24"/>
          <w:szCs w:val="24"/>
        </w:rPr>
        <w:t>be satisfied</w:t>
      </w:r>
      <w:r>
        <w:rPr>
          <w:rFonts w:ascii="Times New Roman" w:hAnsi="Times New Roman" w:cs="Times New Roman"/>
          <w:sz w:val="24"/>
          <w:szCs w:val="24"/>
        </w:rPr>
        <w:t xml:space="preserve"> that an injustice would result if a stay was not granted. Citing </w:t>
      </w:r>
      <w:r w:rsidR="00E3307C" w:rsidRPr="00E3307C">
        <w:rPr>
          <w:rFonts w:ascii="Times New Roman" w:hAnsi="Times New Roman" w:cs="Times New Roman"/>
          <w:smallCaps/>
          <w:sz w:val="24"/>
          <w:szCs w:val="24"/>
        </w:rPr>
        <w:t>mafusire</w:t>
      </w:r>
      <w:r w:rsidR="00E3307C">
        <w:rPr>
          <w:rFonts w:ascii="Times New Roman" w:hAnsi="Times New Roman" w:cs="Times New Roman"/>
          <w:sz w:val="24"/>
          <w:szCs w:val="24"/>
        </w:rPr>
        <w:t xml:space="preserve"> </w:t>
      </w:r>
      <w:r>
        <w:rPr>
          <w:rFonts w:ascii="Times New Roman" w:hAnsi="Times New Roman" w:cs="Times New Roman"/>
          <w:sz w:val="24"/>
          <w:szCs w:val="24"/>
        </w:rPr>
        <w:t xml:space="preserve">J in </w:t>
      </w:r>
      <w:r w:rsidRPr="0065615C">
        <w:rPr>
          <w:rFonts w:ascii="Times New Roman" w:hAnsi="Times New Roman" w:cs="Times New Roman"/>
          <w:i/>
          <w:iCs/>
          <w:sz w:val="24"/>
          <w:szCs w:val="24"/>
        </w:rPr>
        <w:t xml:space="preserve">Reef Mining (Pvt) Ltd &amp; Ano </w:t>
      </w:r>
      <w:r w:rsidRPr="00E3307C">
        <w:rPr>
          <w:rFonts w:ascii="Times New Roman" w:hAnsi="Times New Roman" w:cs="Times New Roman"/>
          <w:sz w:val="24"/>
          <w:szCs w:val="24"/>
        </w:rPr>
        <w:t>v</w:t>
      </w:r>
      <w:r w:rsidRPr="0065615C">
        <w:rPr>
          <w:rFonts w:ascii="Times New Roman" w:hAnsi="Times New Roman" w:cs="Times New Roman"/>
          <w:i/>
          <w:iCs/>
          <w:sz w:val="24"/>
          <w:szCs w:val="24"/>
        </w:rPr>
        <w:t xml:space="preserve"> The Sheriff</w:t>
      </w:r>
      <w:r>
        <w:rPr>
          <w:rFonts w:ascii="Times New Roman" w:hAnsi="Times New Roman" w:cs="Times New Roman"/>
          <w:sz w:val="24"/>
          <w:szCs w:val="24"/>
        </w:rPr>
        <w:t xml:space="preserve"> HH 163/15, the first respondent submitted that stay of execution ought to be granted if it would mean justice would turn on its head if </w:t>
      </w:r>
      <w:r w:rsidR="00AC0B3E">
        <w:rPr>
          <w:rFonts w:ascii="Times New Roman" w:hAnsi="Times New Roman" w:cs="Times New Roman"/>
          <w:sz w:val="24"/>
          <w:szCs w:val="24"/>
        </w:rPr>
        <w:t xml:space="preserve">the </w:t>
      </w:r>
      <w:r>
        <w:rPr>
          <w:rFonts w:ascii="Times New Roman" w:hAnsi="Times New Roman" w:cs="Times New Roman"/>
          <w:sz w:val="24"/>
          <w:szCs w:val="24"/>
        </w:rPr>
        <w:t xml:space="preserve">stay </w:t>
      </w:r>
      <w:r w:rsidR="00AC0B3E">
        <w:rPr>
          <w:rFonts w:ascii="Times New Roman" w:hAnsi="Times New Roman" w:cs="Times New Roman"/>
          <w:sz w:val="24"/>
          <w:szCs w:val="24"/>
        </w:rPr>
        <w:t xml:space="preserve">sought </w:t>
      </w:r>
      <w:r>
        <w:rPr>
          <w:rFonts w:ascii="Times New Roman" w:hAnsi="Times New Roman" w:cs="Times New Roman"/>
          <w:sz w:val="24"/>
          <w:szCs w:val="24"/>
        </w:rPr>
        <w:t xml:space="preserve">was not granted. In </w:t>
      </w:r>
      <w:r w:rsidRPr="0065615C">
        <w:rPr>
          <w:rFonts w:ascii="Times New Roman" w:hAnsi="Times New Roman" w:cs="Times New Roman"/>
          <w:i/>
          <w:iCs/>
          <w:sz w:val="24"/>
          <w:szCs w:val="24"/>
        </w:rPr>
        <w:t xml:space="preserve">Rushwaya </w:t>
      </w:r>
      <w:r w:rsidRPr="00E3307C">
        <w:rPr>
          <w:rFonts w:ascii="Times New Roman" w:hAnsi="Times New Roman" w:cs="Times New Roman"/>
          <w:sz w:val="24"/>
          <w:szCs w:val="24"/>
        </w:rPr>
        <w:t>v</w:t>
      </w:r>
      <w:r w:rsidRPr="0065615C">
        <w:rPr>
          <w:rFonts w:ascii="Times New Roman" w:hAnsi="Times New Roman" w:cs="Times New Roman"/>
          <w:i/>
          <w:iCs/>
          <w:sz w:val="24"/>
          <w:szCs w:val="24"/>
        </w:rPr>
        <w:t xml:space="preserve"> Bvungo</w:t>
      </w:r>
      <w:r>
        <w:rPr>
          <w:rFonts w:ascii="Times New Roman" w:hAnsi="Times New Roman" w:cs="Times New Roman"/>
          <w:sz w:val="24"/>
          <w:szCs w:val="24"/>
        </w:rPr>
        <w:t xml:space="preserve"> HMA 19/17, the learned judge also held that in a stay of execution, the requirement was simply real and substantial justice. On that basis, it was submitted for the first respondent that real and substantial justice required that the process of execution be allowed to proceed herein primarily because the applicant was afforded ample indulgence to exhaust its appeal rights </w:t>
      </w:r>
      <w:r w:rsidR="00AC0B3E">
        <w:rPr>
          <w:rFonts w:ascii="Times New Roman" w:hAnsi="Times New Roman" w:cs="Times New Roman"/>
          <w:sz w:val="24"/>
          <w:szCs w:val="24"/>
        </w:rPr>
        <w:t xml:space="preserve">at </w:t>
      </w:r>
      <w:r>
        <w:rPr>
          <w:rFonts w:ascii="Times New Roman" w:hAnsi="Times New Roman" w:cs="Times New Roman"/>
          <w:sz w:val="24"/>
          <w:szCs w:val="24"/>
        </w:rPr>
        <w:t xml:space="preserve">the Supreme Court. That indulgence was extended on the basis that the applicant enjoyed a right </w:t>
      </w:r>
      <w:r w:rsidR="00ED6764">
        <w:rPr>
          <w:rFonts w:ascii="Times New Roman" w:hAnsi="Times New Roman" w:cs="Times New Roman"/>
          <w:sz w:val="24"/>
          <w:szCs w:val="24"/>
        </w:rPr>
        <w:t>to</w:t>
      </w:r>
      <w:r>
        <w:rPr>
          <w:rFonts w:ascii="Times New Roman" w:hAnsi="Times New Roman" w:cs="Times New Roman"/>
          <w:sz w:val="24"/>
          <w:szCs w:val="24"/>
        </w:rPr>
        <w:t xml:space="preserve"> appeal to the Supreme Court. </w:t>
      </w:r>
    </w:p>
    <w:p w14:paraId="126C99F1" w14:textId="40C9421E" w:rsidR="00122642" w:rsidRDefault="0065615C" w:rsidP="002148EE">
      <w:pPr>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ab/>
      </w:r>
      <w:r w:rsidR="00AC0B3E">
        <w:rPr>
          <w:rFonts w:ascii="Times New Roman" w:hAnsi="Times New Roman" w:cs="Times New Roman"/>
          <w:sz w:val="24"/>
          <w:szCs w:val="24"/>
        </w:rPr>
        <w:t xml:space="preserve">Having considered the parties’ submissions on the question of urgency, the court was </w:t>
      </w:r>
      <w:r w:rsidR="00987624">
        <w:rPr>
          <w:rFonts w:ascii="Times New Roman" w:hAnsi="Times New Roman" w:cs="Times New Roman"/>
          <w:sz w:val="24"/>
          <w:szCs w:val="24"/>
        </w:rPr>
        <w:t>left without</w:t>
      </w:r>
      <w:r w:rsidR="00AC0B3E">
        <w:rPr>
          <w:rFonts w:ascii="Times New Roman" w:hAnsi="Times New Roman" w:cs="Times New Roman"/>
          <w:sz w:val="24"/>
          <w:szCs w:val="24"/>
        </w:rPr>
        <w:t xml:space="preserve"> doubt that the matter was urgent, and it had been properly filed under that </w:t>
      </w:r>
      <w:r w:rsidR="00AC0B3E" w:rsidRPr="00AC0B3E">
        <w:rPr>
          <w:rFonts w:ascii="Times New Roman" w:hAnsi="Times New Roman" w:cs="Times New Roman"/>
          <w:sz w:val="24"/>
          <w:szCs w:val="24"/>
        </w:rPr>
        <w:t xml:space="preserve">tag. The third respondent had already effected a judicial attachment of the applicant’s vehicles, and removal was set to take place on 10 February 2025.  </w:t>
      </w:r>
      <w:r w:rsidR="00AC0B3E">
        <w:rPr>
          <w:rFonts w:ascii="Times New Roman" w:hAnsi="Times New Roman" w:cs="Times New Roman"/>
          <w:sz w:val="24"/>
          <w:szCs w:val="24"/>
        </w:rPr>
        <w:t xml:space="preserve">Prior to that date, the applicant </w:t>
      </w:r>
      <w:r w:rsidR="00122642">
        <w:rPr>
          <w:rFonts w:ascii="Times New Roman" w:hAnsi="Times New Roman" w:cs="Times New Roman"/>
          <w:sz w:val="24"/>
          <w:szCs w:val="24"/>
        </w:rPr>
        <w:t>had,</w:t>
      </w:r>
      <w:r w:rsidR="00AC0B3E">
        <w:rPr>
          <w:rFonts w:ascii="Times New Roman" w:hAnsi="Times New Roman" w:cs="Times New Roman"/>
          <w:sz w:val="24"/>
          <w:szCs w:val="24"/>
        </w:rPr>
        <w:t xml:space="preserve"> on 7 February 2025, filed an application for direct access to the Constitutional court. It was clear to the court that the applicant’s apprehension of harm was not illusory. It was real. </w:t>
      </w:r>
      <w:r w:rsidR="00122642">
        <w:rPr>
          <w:rFonts w:ascii="Times New Roman" w:hAnsi="Times New Roman" w:cs="Times New Roman"/>
          <w:sz w:val="24"/>
          <w:szCs w:val="24"/>
        </w:rPr>
        <w:t xml:space="preserve">The matter was therefore urgent. </w:t>
      </w:r>
    </w:p>
    <w:p w14:paraId="5E1EF37A" w14:textId="7C0F82EF" w:rsidR="002148EE" w:rsidRDefault="00122642" w:rsidP="00122642">
      <w:pPr>
        <w:spacing w:after="0" w:line="360" w:lineRule="auto"/>
        <w:ind w:firstLine="720"/>
        <w:jc w:val="both"/>
        <w:rPr>
          <w:sz w:val="23"/>
          <w:szCs w:val="23"/>
        </w:rPr>
      </w:pPr>
      <w:r>
        <w:rPr>
          <w:rFonts w:ascii="Times New Roman" w:hAnsi="Times New Roman" w:cs="Times New Roman"/>
          <w:sz w:val="24"/>
          <w:szCs w:val="24"/>
        </w:rPr>
        <w:t xml:space="preserve">The application before me is one for an interim order. The order sought at this stage seeks to stay execution pending the return date. </w:t>
      </w:r>
      <w:r w:rsidR="002148EE">
        <w:rPr>
          <w:rFonts w:ascii="Times New Roman" w:hAnsi="Times New Roman" w:cs="Times New Roman"/>
          <w:sz w:val="24"/>
          <w:szCs w:val="24"/>
        </w:rPr>
        <w:t xml:space="preserve">The requirements for such an application to succeed at this stage were set out in </w:t>
      </w:r>
      <w:r w:rsidR="002148EE" w:rsidRPr="002148EE">
        <w:rPr>
          <w:rFonts w:ascii="Times New Roman" w:hAnsi="Times New Roman" w:cs="Times New Roman"/>
          <w:i/>
          <w:iCs/>
          <w:sz w:val="24"/>
          <w:szCs w:val="24"/>
        </w:rPr>
        <w:t xml:space="preserve">Airfield Investments (Pvt) Ltd </w:t>
      </w:r>
      <w:r w:rsidR="002148EE" w:rsidRPr="00E3307C">
        <w:rPr>
          <w:rFonts w:ascii="Times New Roman" w:hAnsi="Times New Roman" w:cs="Times New Roman"/>
          <w:sz w:val="24"/>
          <w:szCs w:val="24"/>
        </w:rPr>
        <w:t>v</w:t>
      </w:r>
      <w:r w:rsidR="002148EE" w:rsidRPr="002148EE">
        <w:rPr>
          <w:rFonts w:ascii="Times New Roman" w:hAnsi="Times New Roman" w:cs="Times New Roman"/>
          <w:i/>
          <w:iCs/>
          <w:sz w:val="24"/>
          <w:szCs w:val="24"/>
        </w:rPr>
        <w:t xml:space="preserve"> Minister of Lands, Agriculture and Rural Resettlement &amp; Ors.</w:t>
      </w:r>
      <w:r w:rsidR="002148EE" w:rsidRPr="002148EE">
        <w:rPr>
          <w:rStyle w:val="FootnoteReference"/>
          <w:rFonts w:ascii="Times New Roman" w:hAnsi="Times New Roman" w:cs="Times New Roman"/>
          <w:i/>
          <w:iCs/>
          <w:sz w:val="24"/>
          <w:szCs w:val="24"/>
        </w:rPr>
        <w:footnoteReference w:id="1"/>
      </w:r>
      <w:r w:rsidR="002148EE" w:rsidRPr="002148EE">
        <w:rPr>
          <w:rFonts w:ascii="Times New Roman" w:hAnsi="Times New Roman" w:cs="Times New Roman"/>
          <w:i/>
          <w:iCs/>
          <w:sz w:val="24"/>
          <w:szCs w:val="24"/>
        </w:rPr>
        <w:t xml:space="preserve"> </w:t>
      </w:r>
      <w:r w:rsidR="00E3307C" w:rsidRPr="00E3307C">
        <w:rPr>
          <w:rFonts w:ascii="Times New Roman" w:hAnsi="Times New Roman" w:cs="Times New Roman"/>
          <w:smallCaps/>
          <w:sz w:val="24"/>
          <w:szCs w:val="24"/>
        </w:rPr>
        <w:t>malaba</w:t>
      </w:r>
      <w:r w:rsidR="00E3307C" w:rsidRPr="002148EE">
        <w:rPr>
          <w:rFonts w:ascii="Times New Roman" w:hAnsi="Times New Roman" w:cs="Times New Roman"/>
          <w:sz w:val="24"/>
          <w:szCs w:val="24"/>
        </w:rPr>
        <w:t xml:space="preserve"> </w:t>
      </w:r>
      <w:r w:rsidR="002148EE" w:rsidRPr="002148EE">
        <w:rPr>
          <w:rFonts w:ascii="Times New Roman" w:hAnsi="Times New Roman" w:cs="Times New Roman"/>
          <w:sz w:val="24"/>
          <w:szCs w:val="24"/>
        </w:rPr>
        <w:t>JA (as he then was)</w:t>
      </w:r>
      <w:r w:rsidR="002148EE">
        <w:rPr>
          <w:rFonts w:ascii="Times New Roman" w:hAnsi="Times New Roman" w:cs="Times New Roman"/>
          <w:sz w:val="24"/>
          <w:szCs w:val="24"/>
        </w:rPr>
        <w:t xml:space="preserve"> </w:t>
      </w:r>
      <w:r w:rsidR="002148EE" w:rsidRPr="002148EE">
        <w:rPr>
          <w:rFonts w:ascii="Times New Roman" w:hAnsi="Times New Roman" w:cs="Times New Roman"/>
          <w:sz w:val="24"/>
          <w:szCs w:val="24"/>
        </w:rPr>
        <w:t>said</w:t>
      </w:r>
      <w:r w:rsidR="002148EE">
        <w:rPr>
          <w:sz w:val="23"/>
          <w:szCs w:val="23"/>
        </w:rPr>
        <w:t xml:space="preserve">: </w:t>
      </w:r>
    </w:p>
    <w:p w14:paraId="646F887A" w14:textId="77777777" w:rsidR="002148EE" w:rsidRPr="007E46FA" w:rsidRDefault="002148EE" w:rsidP="002148EE">
      <w:pPr>
        <w:pStyle w:val="Default"/>
        <w:ind w:left="720"/>
        <w:jc w:val="both"/>
        <w:rPr>
          <w:sz w:val="22"/>
          <w:szCs w:val="22"/>
        </w:rPr>
      </w:pPr>
      <w:r w:rsidRPr="007E46FA">
        <w:rPr>
          <w:sz w:val="22"/>
          <w:szCs w:val="22"/>
        </w:rPr>
        <w:t xml:space="preserve">“It must be borne in mind that an interim interdict is an extraordinary remedy, the granting of which is at the discretion of the court hearing the application for the relief. There are, however, requirements which an applicant for interim relief must satisfy before it can be granted. In </w:t>
      </w:r>
      <w:r w:rsidRPr="007E46FA">
        <w:rPr>
          <w:i/>
          <w:iCs/>
          <w:sz w:val="22"/>
          <w:szCs w:val="22"/>
        </w:rPr>
        <w:t xml:space="preserve">L F Boshoff Investments (Pty) Ltd v Cape Town Municipality </w:t>
      </w:r>
      <w:r w:rsidRPr="007E46FA">
        <w:rPr>
          <w:sz w:val="22"/>
          <w:szCs w:val="22"/>
        </w:rPr>
        <w:t xml:space="preserve">1969 (2) SA 256 (C) at 267 A-F, CORBETT J (as he then was) said an applicant for such temporary relief must show: </w:t>
      </w:r>
    </w:p>
    <w:p w14:paraId="25D3A583" w14:textId="77777777" w:rsidR="002148EE" w:rsidRPr="007E46FA" w:rsidRDefault="002148EE" w:rsidP="002148EE">
      <w:pPr>
        <w:pStyle w:val="Default"/>
        <w:ind w:left="1134" w:hanging="414"/>
        <w:jc w:val="both"/>
        <w:rPr>
          <w:sz w:val="22"/>
          <w:szCs w:val="22"/>
        </w:rPr>
      </w:pPr>
      <w:r w:rsidRPr="007E46FA">
        <w:rPr>
          <w:sz w:val="22"/>
          <w:szCs w:val="22"/>
        </w:rPr>
        <w:t xml:space="preserve">“(a) that the right which is the subject matter of the main action and which he seeks to protect by means of interim relief is clear or, if not clear, is </w:t>
      </w:r>
      <w:r w:rsidRPr="002148EE">
        <w:rPr>
          <w:i/>
          <w:iCs/>
          <w:sz w:val="22"/>
          <w:szCs w:val="22"/>
          <w:u w:val="single"/>
        </w:rPr>
        <w:t xml:space="preserve">prima facie </w:t>
      </w:r>
      <w:r w:rsidRPr="002148EE">
        <w:rPr>
          <w:sz w:val="22"/>
          <w:szCs w:val="22"/>
          <w:u w:val="single"/>
        </w:rPr>
        <w:t>established though open to some doubt</w:t>
      </w:r>
      <w:r w:rsidRPr="007E46FA">
        <w:rPr>
          <w:sz w:val="22"/>
          <w:szCs w:val="22"/>
        </w:rPr>
        <w:t xml:space="preserve">; </w:t>
      </w:r>
    </w:p>
    <w:p w14:paraId="4381495D" w14:textId="77777777" w:rsidR="002148EE" w:rsidRPr="007E46FA" w:rsidRDefault="002148EE" w:rsidP="002148EE">
      <w:pPr>
        <w:pStyle w:val="Default"/>
        <w:ind w:left="993" w:hanging="273"/>
        <w:jc w:val="both"/>
        <w:rPr>
          <w:sz w:val="22"/>
          <w:szCs w:val="22"/>
        </w:rPr>
      </w:pPr>
      <w:r w:rsidRPr="007E46FA">
        <w:rPr>
          <w:sz w:val="22"/>
          <w:szCs w:val="22"/>
        </w:rPr>
        <w:t xml:space="preserve">(b) that, if the right is only </w:t>
      </w:r>
      <w:r w:rsidRPr="007E46FA">
        <w:rPr>
          <w:i/>
          <w:iCs/>
          <w:sz w:val="22"/>
          <w:szCs w:val="22"/>
        </w:rPr>
        <w:t xml:space="preserve">prima facie </w:t>
      </w:r>
      <w:r w:rsidRPr="007E46FA">
        <w:rPr>
          <w:sz w:val="22"/>
          <w:szCs w:val="22"/>
        </w:rPr>
        <w:t xml:space="preserve">established, there is a well-grounded apprehension of irreparable harm to the applicant if the interim relief is not granted and he ultimately succeeds in establishing his right; </w:t>
      </w:r>
    </w:p>
    <w:p w14:paraId="51E84628" w14:textId="77777777" w:rsidR="002148EE" w:rsidRPr="007E46FA" w:rsidRDefault="002148EE" w:rsidP="002148EE">
      <w:pPr>
        <w:pStyle w:val="Default"/>
        <w:ind w:firstLine="720"/>
        <w:jc w:val="both"/>
        <w:rPr>
          <w:sz w:val="22"/>
          <w:szCs w:val="22"/>
        </w:rPr>
      </w:pPr>
      <w:r w:rsidRPr="007E46FA">
        <w:rPr>
          <w:sz w:val="22"/>
          <w:szCs w:val="22"/>
        </w:rPr>
        <w:t xml:space="preserve">(c) that the balance of convenience favours the granting of interim relief; and </w:t>
      </w:r>
    </w:p>
    <w:p w14:paraId="56D85069" w14:textId="378A2FFC" w:rsidR="002148EE" w:rsidRDefault="002148EE" w:rsidP="002148EE">
      <w:pPr>
        <w:spacing w:after="100" w:afterAutospacing="1" w:line="240" w:lineRule="auto"/>
        <w:ind w:firstLine="720"/>
        <w:jc w:val="both"/>
        <w:rPr>
          <w:rFonts w:ascii="Times New Roman" w:hAnsi="Times New Roman" w:cs="Times New Roman"/>
        </w:rPr>
      </w:pPr>
      <w:r w:rsidRPr="007E46FA">
        <w:rPr>
          <w:rFonts w:ascii="Times New Roman" w:hAnsi="Times New Roman" w:cs="Times New Roman"/>
        </w:rPr>
        <w:lastRenderedPageBreak/>
        <w:t>(d) that the applicant has no other satisfactory remedy.”</w:t>
      </w:r>
      <w:r w:rsidR="00200655">
        <w:rPr>
          <w:rStyle w:val="FootnoteReference"/>
          <w:rFonts w:ascii="Times New Roman" w:hAnsi="Times New Roman" w:cs="Times New Roman"/>
        </w:rPr>
        <w:footnoteReference w:id="2"/>
      </w:r>
      <w:r>
        <w:rPr>
          <w:rFonts w:ascii="Times New Roman" w:hAnsi="Times New Roman" w:cs="Times New Roman"/>
        </w:rPr>
        <w:t xml:space="preserve"> (Underlining for emphasis)</w:t>
      </w:r>
    </w:p>
    <w:p w14:paraId="788BC82E" w14:textId="32371183" w:rsidR="002148EE" w:rsidRDefault="002148EE" w:rsidP="002148E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At this stage, all that an applicant must demonstrate is that there exists a </w:t>
      </w:r>
      <w:r w:rsidRPr="002148EE">
        <w:rPr>
          <w:rFonts w:ascii="Times New Roman" w:hAnsi="Times New Roman" w:cs="Times New Roman"/>
          <w:i/>
          <w:iCs/>
          <w:sz w:val="24"/>
          <w:szCs w:val="24"/>
        </w:rPr>
        <w:t>prima facie</w:t>
      </w:r>
      <w:r>
        <w:rPr>
          <w:rFonts w:ascii="Times New Roman" w:hAnsi="Times New Roman" w:cs="Times New Roman"/>
          <w:sz w:val="24"/>
          <w:szCs w:val="24"/>
        </w:rPr>
        <w:t xml:space="preserve"> right, which may even be the subject of doubt. </w:t>
      </w:r>
      <w:r w:rsidR="0081514C">
        <w:rPr>
          <w:rFonts w:ascii="Times New Roman" w:hAnsi="Times New Roman" w:cs="Times New Roman"/>
          <w:sz w:val="24"/>
          <w:szCs w:val="24"/>
        </w:rPr>
        <w:t>Rule 60 (9) of the High Court rules, 2021, is instructive. It states as follows:</w:t>
      </w:r>
    </w:p>
    <w:p w14:paraId="43D1CB77" w14:textId="29779954" w:rsidR="0081514C" w:rsidRDefault="0081514C" w:rsidP="0081514C">
      <w:pPr>
        <w:spacing w:after="0" w:line="240" w:lineRule="auto"/>
        <w:ind w:left="720"/>
        <w:jc w:val="both"/>
        <w:rPr>
          <w:rFonts w:ascii="Times New Roman" w:hAnsi="Times New Roman" w:cs="Times New Roman"/>
        </w:rPr>
      </w:pPr>
      <w:r w:rsidRPr="0081514C">
        <w:rPr>
          <w:rFonts w:ascii="Times New Roman" w:hAnsi="Times New Roman" w:cs="Times New Roman"/>
        </w:rPr>
        <w:t xml:space="preserve">“Where in an application for a provisional order the judge is satisfied that the papers establish a </w:t>
      </w:r>
      <w:r w:rsidRPr="0081514C">
        <w:rPr>
          <w:rFonts w:ascii="Times New Roman" w:hAnsi="Times New Roman" w:cs="Times New Roman"/>
          <w:i/>
          <w:iCs/>
        </w:rPr>
        <w:t xml:space="preserve">prima facie </w:t>
      </w:r>
      <w:r w:rsidRPr="0081514C">
        <w:rPr>
          <w:rFonts w:ascii="Times New Roman" w:hAnsi="Times New Roman" w:cs="Times New Roman"/>
        </w:rPr>
        <w:t>case, he or she shall grant a provisional order either in terms of the draft filed or as varied.</w:t>
      </w:r>
      <w:r>
        <w:rPr>
          <w:rFonts w:ascii="Times New Roman" w:hAnsi="Times New Roman" w:cs="Times New Roman"/>
        </w:rPr>
        <w:t>”</w:t>
      </w:r>
    </w:p>
    <w:p w14:paraId="0ABD7A7E" w14:textId="77777777" w:rsidR="00200655" w:rsidRPr="0081514C" w:rsidRDefault="00200655" w:rsidP="0081514C">
      <w:pPr>
        <w:spacing w:after="0" w:line="240" w:lineRule="auto"/>
        <w:ind w:left="720"/>
        <w:jc w:val="both"/>
        <w:rPr>
          <w:rFonts w:ascii="Times New Roman" w:hAnsi="Times New Roman" w:cs="Times New Roman"/>
        </w:rPr>
      </w:pPr>
    </w:p>
    <w:p w14:paraId="4F39C29E" w14:textId="71DD7E22" w:rsidR="00873D34" w:rsidRDefault="0081514C" w:rsidP="0081514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judge before whom an urgent application is placed only needs to satisfy himself that the papers before him establish a </w:t>
      </w:r>
      <w:r w:rsidRPr="0081514C">
        <w:rPr>
          <w:rFonts w:ascii="Times New Roman" w:hAnsi="Times New Roman" w:cs="Times New Roman"/>
          <w:i/>
          <w:iCs/>
          <w:sz w:val="24"/>
          <w:szCs w:val="24"/>
        </w:rPr>
        <w:t>prima facie</w:t>
      </w:r>
      <w:r>
        <w:rPr>
          <w:rFonts w:ascii="Times New Roman" w:hAnsi="Times New Roman" w:cs="Times New Roman"/>
          <w:sz w:val="24"/>
          <w:szCs w:val="24"/>
        </w:rPr>
        <w:t xml:space="preserve"> case. The rules permit the judge to formulate that view </w:t>
      </w:r>
      <w:r w:rsidR="00200655">
        <w:rPr>
          <w:rFonts w:ascii="Times New Roman" w:hAnsi="Times New Roman" w:cs="Times New Roman"/>
          <w:sz w:val="24"/>
          <w:szCs w:val="24"/>
        </w:rPr>
        <w:t xml:space="preserve">even </w:t>
      </w:r>
      <w:r>
        <w:rPr>
          <w:rFonts w:ascii="Times New Roman" w:hAnsi="Times New Roman" w:cs="Times New Roman"/>
          <w:sz w:val="24"/>
          <w:szCs w:val="24"/>
        </w:rPr>
        <w:t xml:space="preserve">without </w:t>
      </w:r>
      <w:r w:rsidR="00200655">
        <w:rPr>
          <w:rFonts w:ascii="Times New Roman" w:hAnsi="Times New Roman" w:cs="Times New Roman"/>
          <w:sz w:val="24"/>
          <w:szCs w:val="24"/>
        </w:rPr>
        <w:t>having heard the parties.</w:t>
      </w:r>
      <w:r w:rsidR="00200655" w:rsidRPr="00200655">
        <w:rPr>
          <w:rFonts w:ascii="Times New Roman" w:hAnsi="Times New Roman" w:cs="Times New Roman"/>
          <w:sz w:val="24"/>
          <w:szCs w:val="24"/>
        </w:rPr>
        <w:t xml:space="preserve"> </w:t>
      </w:r>
      <w:r w:rsidR="00200655">
        <w:rPr>
          <w:rFonts w:ascii="Times New Roman" w:hAnsi="Times New Roman" w:cs="Times New Roman"/>
          <w:sz w:val="24"/>
          <w:szCs w:val="24"/>
        </w:rPr>
        <w:t>What an applicant must therefore demonstrate at this stage is different from what the applicant must establish on the return date when it seeks confirmation of the provisional order</w:t>
      </w:r>
      <w:r w:rsidR="00987624">
        <w:rPr>
          <w:rFonts w:ascii="Times New Roman" w:hAnsi="Times New Roman" w:cs="Times New Roman"/>
          <w:sz w:val="24"/>
          <w:szCs w:val="24"/>
        </w:rPr>
        <w:t>,</w:t>
      </w:r>
      <w:r w:rsidR="00200655">
        <w:rPr>
          <w:rFonts w:ascii="Times New Roman" w:hAnsi="Times New Roman" w:cs="Times New Roman"/>
          <w:sz w:val="24"/>
          <w:szCs w:val="24"/>
        </w:rPr>
        <w:t xml:space="preserve"> if it has been granted. While at this stage the applicant must establish a </w:t>
      </w:r>
      <w:r w:rsidR="00200655" w:rsidRPr="00200655">
        <w:rPr>
          <w:rFonts w:ascii="Times New Roman" w:hAnsi="Times New Roman" w:cs="Times New Roman"/>
          <w:i/>
          <w:iCs/>
          <w:sz w:val="24"/>
          <w:szCs w:val="24"/>
        </w:rPr>
        <w:t>prima facie</w:t>
      </w:r>
      <w:r w:rsidR="00200655">
        <w:rPr>
          <w:rFonts w:ascii="Times New Roman" w:hAnsi="Times New Roman" w:cs="Times New Roman"/>
          <w:sz w:val="24"/>
          <w:szCs w:val="24"/>
        </w:rPr>
        <w:t xml:space="preserve"> right which may be open to doubt, this is not the case on the return date where the applicant must prove its case on a balance of probabilities. It is on the return date that this court must interrogate the merits or demerits of the pending constitutional application. At this stage, the court must therefore be careful not to stray and interrogate the very </w:t>
      </w:r>
      <w:r w:rsidR="00987624">
        <w:rPr>
          <w:rFonts w:ascii="Times New Roman" w:hAnsi="Times New Roman" w:cs="Times New Roman"/>
          <w:sz w:val="24"/>
          <w:szCs w:val="24"/>
        </w:rPr>
        <w:t>issues</w:t>
      </w:r>
      <w:r w:rsidR="00200655">
        <w:rPr>
          <w:rFonts w:ascii="Times New Roman" w:hAnsi="Times New Roman" w:cs="Times New Roman"/>
          <w:sz w:val="24"/>
          <w:szCs w:val="24"/>
        </w:rPr>
        <w:t xml:space="preserve"> that the court on the return date </w:t>
      </w:r>
      <w:r w:rsidR="00987624">
        <w:rPr>
          <w:rFonts w:ascii="Times New Roman" w:hAnsi="Times New Roman" w:cs="Times New Roman"/>
          <w:sz w:val="24"/>
          <w:szCs w:val="24"/>
        </w:rPr>
        <w:t>is</w:t>
      </w:r>
      <w:r w:rsidR="00200655">
        <w:rPr>
          <w:rFonts w:ascii="Times New Roman" w:hAnsi="Times New Roman" w:cs="Times New Roman"/>
          <w:sz w:val="24"/>
          <w:szCs w:val="24"/>
        </w:rPr>
        <w:t xml:space="preserve"> seized with.</w:t>
      </w:r>
    </w:p>
    <w:p w14:paraId="64CE5279" w14:textId="6514C1BF" w:rsidR="00AC4B5E" w:rsidRDefault="00200655" w:rsidP="00416C3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It was submitted on behalf of the first respondent that the applicant was accorded the protection of a stay of execution pending the determination of its appeal to the Supreme Court. This was because the applicant had the right to appeal the decision of the Labour Court to the Supreme Court. The court was urged not to extend the same indulgence in the present matter because no constitutional issues arose for determination</w:t>
      </w:r>
      <w:r w:rsidR="00AC4B5E">
        <w:rPr>
          <w:rFonts w:ascii="Times New Roman" w:hAnsi="Times New Roman" w:cs="Times New Roman"/>
          <w:sz w:val="24"/>
          <w:szCs w:val="24"/>
        </w:rPr>
        <w:t xml:space="preserve"> in the Supreme Court. </w:t>
      </w:r>
      <w:r w:rsidR="00416C37">
        <w:rPr>
          <w:rFonts w:ascii="Times New Roman" w:hAnsi="Times New Roman" w:cs="Times New Roman"/>
          <w:sz w:val="24"/>
          <w:szCs w:val="24"/>
        </w:rPr>
        <w:t xml:space="preserve">As I have already observed, the merits or demerits of the application for direct access must be interrogated on the return date. I say so because this is exactly what the applicant seeks in paragraph 1 of the terms of the final order sought. On the return date, the court must therefore determine this issue in the context of paragraph 1 of the terms of the final order sought. Denying the applicant the stay of execution that it seeks pending the return date, would be tantamount to prejudging the decision of the court on the return date. </w:t>
      </w:r>
    </w:p>
    <w:p w14:paraId="4FA556B3" w14:textId="77777777" w:rsidR="00416C37" w:rsidRDefault="00416C37" w:rsidP="00416C3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It is for the foregoing reasons that the court is satisfied that there is merit in the applicant’s quest for the suspension of execution pending the confirmation or discharge of the provisional order. Resultantly, the following order is hereby granted.</w:t>
      </w:r>
    </w:p>
    <w:p w14:paraId="6740DB51" w14:textId="71919705" w:rsidR="00416C37" w:rsidRPr="00ED6764" w:rsidRDefault="00416C37" w:rsidP="00416C37">
      <w:pPr>
        <w:spacing w:line="240" w:lineRule="auto"/>
        <w:ind w:firstLine="360"/>
        <w:jc w:val="both"/>
        <w:rPr>
          <w:rFonts w:ascii="Times New Roman" w:hAnsi="Times New Roman" w:cs="Times New Roman"/>
          <w:b/>
          <w:bCs/>
          <w:sz w:val="24"/>
          <w:szCs w:val="24"/>
        </w:rPr>
      </w:pPr>
      <w:r w:rsidRPr="00ED6764">
        <w:rPr>
          <w:rFonts w:ascii="Times New Roman" w:hAnsi="Times New Roman" w:cs="Times New Roman"/>
          <w:b/>
          <w:bCs/>
          <w:sz w:val="24"/>
          <w:szCs w:val="24"/>
        </w:rPr>
        <w:lastRenderedPageBreak/>
        <w:t>TERMS OF FINAL ORDER SOUGHT:</w:t>
      </w:r>
    </w:p>
    <w:p w14:paraId="3E2AA06C" w14:textId="77777777" w:rsidR="00416C37" w:rsidRPr="00ED6764" w:rsidRDefault="00416C37" w:rsidP="00ED6764">
      <w:pPr>
        <w:pStyle w:val="ListParagraph"/>
        <w:numPr>
          <w:ilvl w:val="0"/>
          <w:numId w:val="11"/>
        </w:numPr>
        <w:spacing w:line="276" w:lineRule="auto"/>
        <w:jc w:val="both"/>
        <w:rPr>
          <w:rFonts w:ascii="Times New Roman" w:hAnsi="Times New Roman" w:cs="Times New Roman"/>
          <w:b/>
          <w:bCs/>
          <w:sz w:val="24"/>
          <w:szCs w:val="24"/>
        </w:rPr>
      </w:pPr>
      <w:r w:rsidRPr="00ED6764">
        <w:rPr>
          <w:rFonts w:ascii="Times New Roman" w:hAnsi="Times New Roman" w:cs="Times New Roman"/>
          <w:b/>
          <w:bCs/>
          <w:sz w:val="24"/>
          <w:szCs w:val="24"/>
        </w:rPr>
        <w:t>That you show cause why a final order should not be made in the following terms:-</w:t>
      </w:r>
    </w:p>
    <w:p w14:paraId="04591B97" w14:textId="0AF162A0" w:rsidR="00416C37" w:rsidRPr="00ED6764" w:rsidRDefault="00416C37" w:rsidP="00ED6764">
      <w:pPr>
        <w:pStyle w:val="ListParagraph"/>
        <w:numPr>
          <w:ilvl w:val="0"/>
          <w:numId w:val="8"/>
        </w:numPr>
        <w:spacing w:after="200" w:line="276" w:lineRule="auto"/>
        <w:jc w:val="both"/>
        <w:rPr>
          <w:rFonts w:ascii="Times New Roman" w:hAnsi="Times New Roman" w:cs="Times New Roman"/>
          <w:sz w:val="24"/>
          <w:szCs w:val="24"/>
        </w:rPr>
      </w:pPr>
      <w:r w:rsidRPr="00ED6764">
        <w:rPr>
          <w:rFonts w:ascii="Times New Roman" w:hAnsi="Times New Roman" w:cs="Times New Roman"/>
          <w:sz w:val="24"/>
          <w:szCs w:val="24"/>
        </w:rPr>
        <w:t xml:space="preserve">That the execution of the </w:t>
      </w:r>
      <w:r w:rsidR="005023B9">
        <w:rPr>
          <w:rFonts w:ascii="Times New Roman" w:hAnsi="Times New Roman" w:cs="Times New Roman"/>
          <w:sz w:val="24"/>
          <w:szCs w:val="24"/>
        </w:rPr>
        <w:t>w</w:t>
      </w:r>
      <w:r w:rsidRPr="00ED6764">
        <w:rPr>
          <w:rFonts w:ascii="Times New Roman" w:hAnsi="Times New Roman" w:cs="Times New Roman"/>
          <w:sz w:val="24"/>
          <w:szCs w:val="24"/>
        </w:rPr>
        <w:t xml:space="preserve">rit of </w:t>
      </w:r>
      <w:r w:rsidR="005023B9">
        <w:rPr>
          <w:rFonts w:ascii="Times New Roman" w:hAnsi="Times New Roman" w:cs="Times New Roman"/>
          <w:sz w:val="24"/>
          <w:szCs w:val="24"/>
        </w:rPr>
        <w:t>e</w:t>
      </w:r>
      <w:r w:rsidRPr="00ED6764">
        <w:rPr>
          <w:rFonts w:ascii="Times New Roman" w:hAnsi="Times New Roman" w:cs="Times New Roman"/>
          <w:sz w:val="24"/>
          <w:szCs w:val="24"/>
        </w:rPr>
        <w:t>xecution issued by this Court under case No. HCH 29/23 be and is hereby stayed pending the finalization of an application for leave for direct access and ancillary proceedings in the Constitutional Court.</w:t>
      </w:r>
    </w:p>
    <w:p w14:paraId="698426DA" w14:textId="77777777" w:rsidR="00416C37" w:rsidRPr="00ED6764" w:rsidRDefault="00416C37" w:rsidP="00ED6764">
      <w:pPr>
        <w:pStyle w:val="ListParagraph"/>
        <w:numPr>
          <w:ilvl w:val="0"/>
          <w:numId w:val="8"/>
        </w:numPr>
        <w:spacing w:after="200" w:line="276" w:lineRule="auto"/>
        <w:jc w:val="both"/>
        <w:rPr>
          <w:rFonts w:ascii="Times New Roman" w:hAnsi="Times New Roman" w:cs="Times New Roman"/>
          <w:sz w:val="24"/>
          <w:szCs w:val="24"/>
        </w:rPr>
      </w:pPr>
      <w:r w:rsidRPr="00ED6764">
        <w:rPr>
          <w:rFonts w:ascii="Times New Roman" w:hAnsi="Times New Roman" w:cs="Times New Roman"/>
          <w:sz w:val="24"/>
          <w:szCs w:val="24"/>
        </w:rPr>
        <w:t xml:space="preserve">There shall be no order as to costs of suit. </w:t>
      </w:r>
    </w:p>
    <w:p w14:paraId="0DD35F7A" w14:textId="77777777" w:rsidR="00416C37" w:rsidRPr="00ED6764" w:rsidRDefault="00416C37" w:rsidP="00416C37">
      <w:pPr>
        <w:spacing w:after="200" w:line="240" w:lineRule="auto"/>
        <w:ind w:left="360"/>
        <w:jc w:val="both"/>
        <w:rPr>
          <w:rFonts w:ascii="Times New Roman" w:hAnsi="Times New Roman" w:cs="Times New Roman"/>
          <w:b/>
          <w:bCs/>
          <w:sz w:val="24"/>
          <w:szCs w:val="24"/>
        </w:rPr>
      </w:pPr>
      <w:r w:rsidRPr="00ED6764">
        <w:rPr>
          <w:rFonts w:ascii="Times New Roman" w:hAnsi="Times New Roman" w:cs="Times New Roman"/>
          <w:b/>
          <w:bCs/>
          <w:sz w:val="24"/>
          <w:szCs w:val="24"/>
        </w:rPr>
        <w:t xml:space="preserve">INTERIM RELIEF SOUGHT </w:t>
      </w:r>
    </w:p>
    <w:p w14:paraId="01027C7A" w14:textId="38E19285" w:rsidR="00416C37" w:rsidRPr="00ED6764" w:rsidRDefault="00416C37" w:rsidP="00ED6764">
      <w:pPr>
        <w:pStyle w:val="ListParagraph"/>
        <w:numPr>
          <w:ilvl w:val="0"/>
          <w:numId w:val="11"/>
        </w:numPr>
        <w:spacing w:after="200" w:line="276" w:lineRule="auto"/>
        <w:jc w:val="both"/>
        <w:rPr>
          <w:rFonts w:ascii="Times New Roman" w:hAnsi="Times New Roman" w:cs="Times New Roman"/>
          <w:b/>
          <w:bCs/>
          <w:sz w:val="24"/>
          <w:szCs w:val="24"/>
        </w:rPr>
      </w:pPr>
      <w:r w:rsidRPr="00ED6764">
        <w:rPr>
          <w:rFonts w:ascii="Times New Roman" w:hAnsi="Times New Roman" w:cs="Times New Roman"/>
          <w:b/>
          <w:bCs/>
          <w:sz w:val="24"/>
          <w:szCs w:val="24"/>
        </w:rPr>
        <w:t xml:space="preserve">Pending confirmation or discharge of this Provisional Order, the </w:t>
      </w:r>
      <w:r w:rsidR="005023B9">
        <w:rPr>
          <w:rFonts w:ascii="Times New Roman" w:hAnsi="Times New Roman" w:cs="Times New Roman"/>
          <w:b/>
          <w:bCs/>
          <w:sz w:val="24"/>
          <w:szCs w:val="24"/>
        </w:rPr>
        <w:t>a</w:t>
      </w:r>
      <w:r w:rsidRPr="00ED6764">
        <w:rPr>
          <w:rFonts w:ascii="Times New Roman" w:hAnsi="Times New Roman" w:cs="Times New Roman"/>
          <w:b/>
          <w:bCs/>
          <w:sz w:val="24"/>
          <w:szCs w:val="24"/>
        </w:rPr>
        <w:t>pplicant is granted the following interim relief:</w:t>
      </w:r>
    </w:p>
    <w:p w14:paraId="576E0DCA" w14:textId="33DBE5FE" w:rsidR="00416C37" w:rsidRPr="00ED6764" w:rsidRDefault="00416C37" w:rsidP="00ED6764">
      <w:pPr>
        <w:pStyle w:val="ListParagraph"/>
        <w:numPr>
          <w:ilvl w:val="0"/>
          <w:numId w:val="12"/>
        </w:numPr>
        <w:spacing w:after="200" w:line="276" w:lineRule="auto"/>
        <w:jc w:val="both"/>
        <w:rPr>
          <w:rFonts w:ascii="Times New Roman" w:hAnsi="Times New Roman" w:cs="Times New Roman"/>
          <w:sz w:val="24"/>
          <w:szCs w:val="24"/>
        </w:rPr>
      </w:pPr>
      <w:r w:rsidRPr="00ED6764">
        <w:rPr>
          <w:rFonts w:ascii="Times New Roman" w:hAnsi="Times New Roman" w:cs="Times New Roman"/>
          <w:sz w:val="24"/>
          <w:szCs w:val="24"/>
        </w:rPr>
        <w:t>The 3</w:t>
      </w:r>
      <w:r w:rsidRPr="00ED6764">
        <w:rPr>
          <w:rFonts w:ascii="Times New Roman" w:hAnsi="Times New Roman" w:cs="Times New Roman"/>
          <w:sz w:val="24"/>
          <w:szCs w:val="24"/>
          <w:vertAlign w:val="superscript"/>
        </w:rPr>
        <w:t>rd</w:t>
      </w:r>
      <w:r w:rsidRPr="00ED6764">
        <w:rPr>
          <w:rFonts w:ascii="Times New Roman" w:hAnsi="Times New Roman" w:cs="Times New Roman"/>
          <w:sz w:val="24"/>
          <w:szCs w:val="24"/>
        </w:rPr>
        <w:t xml:space="preserve"> </w:t>
      </w:r>
      <w:r w:rsidR="003D7DD9">
        <w:rPr>
          <w:rFonts w:ascii="Times New Roman" w:hAnsi="Times New Roman" w:cs="Times New Roman"/>
          <w:sz w:val="24"/>
          <w:szCs w:val="24"/>
        </w:rPr>
        <w:t>r</w:t>
      </w:r>
      <w:r w:rsidRPr="00ED6764">
        <w:rPr>
          <w:rFonts w:ascii="Times New Roman" w:hAnsi="Times New Roman" w:cs="Times New Roman"/>
          <w:sz w:val="24"/>
          <w:szCs w:val="24"/>
        </w:rPr>
        <w:t xml:space="preserve">espondent, or his lawful deputy, be and is hereby ordered not to remove </w:t>
      </w:r>
      <w:r w:rsidR="003D7DD9">
        <w:rPr>
          <w:rFonts w:ascii="Times New Roman" w:hAnsi="Times New Roman" w:cs="Times New Roman"/>
          <w:sz w:val="24"/>
          <w:szCs w:val="24"/>
        </w:rPr>
        <w:t>a</w:t>
      </w:r>
      <w:r w:rsidRPr="00ED6764">
        <w:rPr>
          <w:rFonts w:ascii="Times New Roman" w:hAnsi="Times New Roman" w:cs="Times New Roman"/>
          <w:sz w:val="24"/>
          <w:szCs w:val="24"/>
        </w:rPr>
        <w:t>pplicant’s property from University of Zimbabwe, 630 Churchill Avenue, Mt Pleasant Harare pending confirmation of this order.</w:t>
      </w:r>
    </w:p>
    <w:p w14:paraId="3413E470" w14:textId="252523E1" w:rsidR="00416C37" w:rsidRDefault="00416C37" w:rsidP="00ED6764">
      <w:pPr>
        <w:pStyle w:val="ListParagraph"/>
        <w:numPr>
          <w:ilvl w:val="0"/>
          <w:numId w:val="12"/>
        </w:numPr>
        <w:spacing w:after="200" w:line="276" w:lineRule="auto"/>
        <w:jc w:val="both"/>
        <w:rPr>
          <w:rFonts w:ascii="Times New Roman" w:hAnsi="Times New Roman" w:cs="Times New Roman"/>
          <w:sz w:val="24"/>
          <w:szCs w:val="24"/>
        </w:rPr>
      </w:pPr>
      <w:r w:rsidRPr="00ED6764">
        <w:rPr>
          <w:rFonts w:ascii="Times New Roman" w:hAnsi="Times New Roman" w:cs="Times New Roman"/>
          <w:sz w:val="24"/>
          <w:szCs w:val="24"/>
        </w:rPr>
        <w:t>The 3</w:t>
      </w:r>
      <w:r w:rsidRPr="00ED6764">
        <w:rPr>
          <w:rFonts w:ascii="Times New Roman" w:hAnsi="Times New Roman" w:cs="Times New Roman"/>
          <w:sz w:val="24"/>
          <w:szCs w:val="24"/>
          <w:vertAlign w:val="superscript"/>
        </w:rPr>
        <w:t>rd</w:t>
      </w:r>
      <w:r w:rsidRPr="00ED6764">
        <w:rPr>
          <w:rFonts w:ascii="Times New Roman" w:hAnsi="Times New Roman" w:cs="Times New Roman"/>
          <w:sz w:val="24"/>
          <w:szCs w:val="24"/>
        </w:rPr>
        <w:t xml:space="preserve"> </w:t>
      </w:r>
      <w:r w:rsidR="003D7DD9">
        <w:rPr>
          <w:rFonts w:ascii="Times New Roman" w:hAnsi="Times New Roman" w:cs="Times New Roman"/>
          <w:sz w:val="24"/>
          <w:szCs w:val="24"/>
        </w:rPr>
        <w:t>r</w:t>
      </w:r>
      <w:r w:rsidRPr="00ED6764">
        <w:rPr>
          <w:rFonts w:ascii="Times New Roman" w:hAnsi="Times New Roman" w:cs="Times New Roman"/>
          <w:sz w:val="24"/>
          <w:szCs w:val="24"/>
        </w:rPr>
        <w:t>espondent, or his lawful deputy, be and is hereby ordered not to s</w:t>
      </w:r>
      <w:r w:rsidR="003D7DD9">
        <w:rPr>
          <w:rFonts w:ascii="Times New Roman" w:hAnsi="Times New Roman" w:cs="Times New Roman"/>
          <w:sz w:val="24"/>
          <w:szCs w:val="24"/>
        </w:rPr>
        <w:t>ell</w:t>
      </w:r>
      <w:r w:rsidRPr="00ED6764">
        <w:rPr>
          <w:rFonts w:ascii="Times New Roman" w:hAnsi="Times New Roman" w:cs="Times New Roman"/>
          <w:sz w:val="24"/>
          <w:szCs w:val="24"/>
        </w:rPr>
        <w:t xml:space="preserve"> </w:t>
      </w:r>
      <w:r w:rsidR="003D7DD9">
        <w:rPr>
          <w:rFonts w:ascii="Times New Roman" w:hAnsi="Times New Roman" w:cs="Times New Roman"/>
          <w:sz w:val="24"/>
          <w:szCs w:val="24"/>
        </w:rPr>
        <w:t>a</w:t>
      </w:r>
      <w:r w:rsidRPr="00ED6764">
        <w:rPr>
          <w:rFonts w:ascii="Times New Roman" w:hAnsi="Times New Roman" w:cs="Times New Roman"/>
          <w:sz w:val="24"/>
          <w:szCs w:val="24"/>
        </w:rPr>
        <w:t>pplicant’s property pending confirmation of this order.</w:t>
      </w:r>
    </w:p>
    <w:p w14:paraId="38067E4D" w14:textId="77777777" w:rsidR="00E3307C" w:rsidRPr="00ED6764" w:rsidRDefault="00E3307C" w:rsidP="00E3307C">
      <w:pPr>
        <w:pStyle w:val="ListParagraph"/>
        <w:spacing w:after="200" w:line="276" w:lineRule="auto"/>
        <w:jc w:val="both"/>
        <w:rPr>
          <w:rFonts w:ascii="Times New Roman" w:hAnsi="Times New Roman" w:cs="Times New Roman"/>
          <w:sz w:val="24"/>
          <w:szCs w:val="24"/>
        </w:rPr>
      </w:pPr>
    </w:p>
    <w:p w14:paraId="081F9F06" w14:textId="77777777" w:rsidR="00416C37" w:rsidRDefault="00416C37" w:rsidP="00133051">
      <w:pPr>
        <w:spacing w:after="0" w:line="240" w:lineRule="auto"/>
        <w:ind w:left="360"/>
        <w:jc w:val="both"/>
        <w:rPr>
          <w:rFonts w:ascii="Times New Roman" w:hAnsi="Times New Roman" w:cs="Times New Roman"/>
          <w:b/>
          <w:bCs/>
          <w:sz w:val="24"/>
          <w:szCs w:val="24"/>
        </w:rPr>
      </w:pPr>
      <w:r w:rsidRPr="00ED6764">
        <w:rPr>
          <w:rFonts w:ascii="Times New Roman" w:hAnsi="Times New Roman" w:cs="Times New Roman"/>
          <w:b/>
          <w:bCs/>
          <w:sz w:val="24"/>
          <w:szCs w:val="24"/>
        </w:rPr>
        <w:t xml:space="preserve">SERVICE OF PROVISIONAL ORDER </w:t>
      </w:r>
    </w:p>
    <w:p w14:paraId="32062E4D" w14:textId="77777777" w:rsidR="00133051" w:rsidRPr="00ED6764" w:rsidRDefault="00133051" w:rsidP="00133051">
      <w:pPr>
        <w:spacing w:after="0" w:line="240" w:lineRule="auto"/>
        <w:ind w:left="360"/>
        <w:jc w:val="both"/>
        <w:rPr>
          <w:rFonts w:ascii="Times New Roman" w:hAnsi="Times New Roman" w:cs="Times New Roman"/>
          <w:b/>
          <w:bCs/>
          <w:sz w:val="24"/>
          <w:szCs w:val="24"/>
        </w:rPr>
      </w:pPr>
    </w:p>
    <w:p w14:paraId="4024571C" w14:textId="7DFD9F1D" w:rsidR="00416C37" w:rsidRPr="00ED6764" w:rsidRDefault="00416C37" w:rsidP="00133051">
      <w:pPr>
        <w:spacing w:after="0" w:line="276" w:lineRule="auto"/>
        <w:ind w:left="360"/>
        <w:jc w:val="both"/>
        <w:rPr>
          <w:rFonts w:ascii="Times New Roman" w:hAnsi="Times New Roman" w:cs="Times New Roman"/>
          <w:sz w:val="24"/>
          <w:szCs w:val="24"/>
        </w:rPr>
      </w:pPr>
      <w:r w:rsidRPr="00ED6764">
        <w:rPr>
          <w:rFonts w:ascii="Times New Roman" w:hAnsi="Times New Roman" w:cs="Times New Roman"/>
          <w:sz w:val="24"/>
          <w:szCs w:val="24"/>
        </w:rPr>
        <w:t>Applicants’ legal practitioners are hereby authorized to serve the provisional order on the respondents.</w:t>
      </w:r>
    </w:p>
    <w:p w14:paraId="7339A0B3" w14:textId="77777777" w:rsidR="00416C37" w:rsidRPr="00ED6764" w:rsidRDefault="00416C37" w:rsidP="00416C37">
      <w:pPr>
        <w:spacing w:after="0" w:line="360" w:lineRule="auto"/>
        <w:ind w:firstLine="720"/>
        <w:jc w:val="both"/>
        <w:rPr>
          <w:rFonts w:ascii="Times New Roman" w:hAnsi="Times New Roman" w:cs="Times New Roman"/>
          <w:sz w:val="24"/>
          <w:szCs w:val="24"/>
        </w:rPr>
      </w:pPr>
    </w:p>
    <w:p w14:paraId="4151B8DC" w14:textId="77777777" w:rsidR="00AC628B" w:rsidRDefault="00AC628B" w:rsidP="00AC628B">
      <w:pPr>
        <w:autoSpaceDE w:val="0"/>
        <w:autoSpaceDN w:val="0"/>
        <w:adjustRightInd w:val="0"/>
        <w:spacing w:after="0" w:line="360" w:lineRule="auto"/>
        <w:jc w:val="both"/>
        <w:rPr>
          <w:rFonts w:ascii="Times New Roman" w:hAnsi="Times New Roman" w:cs="Times New Roman"/>
          <w:sz w:val="24"/>
          <w:szCs w:val="24"/>
          <w:lang w:val="en-ZW"/>
        </w:rPr>
      </w:pPr>
    </w:p>
    <w:p w14:paraId="772DAF74" w14:textId="77777777" w:rsidR="00AC628B" w:rsidRDefault="00AC628B" w:rsidP="00AC628B">
      <w:pPr>
        <w:pStyle w:val="ListParagraph"/>
        <w:spacing w:after="0" w:line="240" w:lineRule="auto"/>
        <w:ind w:left="0"/>
        <w:jc w:val="both"/>
        <w:rPr>
          <w:rFonts w:ascii="Times New Roman" w:hAnsi="Times New Roman" w:cs="Times New Roman"/>
        </w:rPr>
      </w:pPr>
    </w:p>
    <w:p w14:paraId="2EB0E5AF" w14:textId="378CABE9" w:rsidR="00AC628B" w:rsidRPr="00ED6764" w:rsidRDefault="00ED6764" w:rsidP="00AC628B">
      <w:pPr>
        <w:pStyle w:val="ListParagraph"/>
        <w:spacing w:after="0" w:line="240" w:lineRule="auto"/>
        <w:ind w:left="0"/>
        <w:jc w:val="both"/>
        <w:rPr>
          <w:rFonts w:ascii="Times New Roman" w:hAnsi="Times New Roman" w:cs="Times New Roman"/>
          <w:sz w:val="24"/>
          <w:szCs w:val="24"/>
        </w:rPr>
      </w:pPr>
      <w:r w:rsidRPr="00ED6764">
        <w:rPr>
          <w:rFonts w:ascii="Times New Roman" w:hAnsi="Times New Roman" w:cs="Times New Roman"/>
          <w:i/>
          <w:sz w:val="24"/>
          <w:szCs w:val="24"/>
        </w:rPr>
        <w:t>Atherstone &amp; Cook</w:t>
      </w:r>
      <w:r w:rsidR="00AC628B" w:rsidRPr="00ED6764">
        <w:rPr>
          <w:rFonts w:ascii="Times New Roman" w:hAnsi="Times New Roman" w:cs="Times New Roman"/>
          <w:sz w:val="24"/>
          <w:szCs w:val="24"/>
        </w:rPr>
        <w:t>, applicant’s legal practitioners</w:t>
      </w:r>
    </w:p>
    <w:p w14:paraId="53683DD2" w14:textId="79FBCA9A" w:rsidR="00AC628B" w:rsidRPr="00ED6764" w:rsidRDefault="00ED6764" w:rsidP="00AC628B">
      <w:pPr>
        <w:pStyle w:val="ListParagraph"/>
        <w:spacing w:after="0" w:line="240" w:lineRule="auto"/>
        <w:ind w:left="0"/>
        <w:jc w:val="both"/>
        <w:rPr>
          <w:rFonts w:ascii="Times New Roman" w:hAnsi="Times New Roman" w:cs="Times New Roman"/>
          <w:sz w:val="24"/>
          <w:szCs w:val="24"/>
        </w:rPr>
      </w:pPr>
      <w:r w:rsidRPr="00ED6764">
        <w:rPr>
          <w:rFonts w:ascii="Times New Roman" w:hAnsi="Times New Roman" w:cs="Times New Roman"/>
          <w:i/>
          <w:sz w:val="24"/>
          <w:szCs w:val="24"/>
        </w:rPr>
        <w:t>Chinawa Law Chambers</w:t>
      </w:r>
      <w:r w:rsidR="009D7DD9" w:rsidRPr="00ED6764">
        <w:rPr>
          <w:rFonts w:ascii="Times New Roman" w:hAnsi="Times New Roman" w:cs="Times New Roman"/>
          <w:i/>
          <w:sz w:val="24"/>
          <w:szCs w:val="24"/>
        </w:rPr>
        <w:t>,</w:t>
      </w:r>
      <w:r w:rsidR="00AC628B" w:rsidRPr="00ED6764">
        <w:rPr>
          <w:rFonts w:ascii="Times New Roman" w:hAnsi="Times New Roman" w:cs="Times New Roman"/>
          <w:sz w:val="24"/>
          <w:szCs w:val="24"/>
        </w:rPr>
        <w:t xml:space="preserve"> first</w:t>
      </w:r>
      <w:r w:rsidRPr="00ED6764">
        <w:rPr>
          <w:rFonts w:ascii="Times New Roman" w:hAnsi="Times New Roman" w:cs="Times New Roman"/>
          <w:sz w:val="24"/>
          <w:szCs w:val="24"/>
        </w:rPr>
        <w:t xml:space="preserve"> </w:t>
      </w:r>
      <w:r w:rsidR="009D7DD9" w:rsidRPr="00ED6764">
        <w:rPr>
          <w:rFonts w:ascii="Times New Roman" w:hAnsi="Times New Roman" w:cs="Times New Roman"/>
          <w:sz w:val="24"/>
          <w:szCs w:val="24"/>
        </w:rPr>
        <w:t>respondent</w:t>
      </w:r>
      <w:r w:rsidRPr="00ED6764">
        <w:rPr>
          <w:rFonts w:ascii="Times New Roman" w:hAnsi="Times New Roman" w:cs="Times New Roman"/>
          <w:sz w:val="24"/>
          <w:szCs w:val="24"/>
        </w:rPr>
        <w:t xml:space="preserve">’s </w:t>
      </w:r>
      <w:r w:rsidR="009D7DD9" w:rsidRPr="00ED6764">
        <w:rPr>
          <w:rFonts w:ascii="Times New Roman" w:hAnsi="Times New Roman" w:cs="Times New Roman"/>
          <w:sz w:val="24"/>
          <w:szCs w:val="24"/>
        </w:rPr>
        <w:t>legal</w:t>
      </w:r>
      <w:r w:rsidR="00AC628B" w:rsidRPr="00ED6764">
        <w:rPr>
          <w:rFonts w:ascii="Times New Roman" w:hAnsi="Times New Roman" w:cs="Times New Roman"/>
          <w:sz w:val="24"/>
          <w:szCs w:val="24"/>
        </w:rPr>
        <w:t xml:space="preserve"> practitioners</w:t>
      </w:r>
    </w:p>
    <w:p w14:paraId="25CBCFD4" w14:textId="77777777" w:rsidR="00AC628B" w:rsidRPr="00ED6764" w:rsidRDefault="00AC628B" w:rsidP="00AC628B">
      <w:pPr>
        <w:spacing w:line="360" w:lineRule="auto"/>
        <w:ind w:left="720" w:hanging="720"/>
        <w:contextualSpacing/>
        <w:jc w:val="both"/>
        <w:rPr>
          <w:rFonts w:ascii="Times New Roman" w:hAnsi="Times New Roman" w:cs="Times New Roman"/>
          <w:b/>
          <w:sz w:val="24"/>
          <w:szCs w:val="24"/>
        </w:rPr>
      </w:pPr>
    </w:p>
    <w:sectPr w:rsidR="00AC628B" w:rsidRPr="00ED6764">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63C783" w14:textId="77777777" w:rsidR="00E4004C" w:rsidRDefault="00E4004C" w:rsidP="00AC4537">
      <w:pPr>
        <w:spacing w:after="0" w:line="240" w:lineRule="auto"/>
      </w:pPr>
      <w:r>
        <w:separator/>
      </w:r>
    </w:p>
  </w:endnote>
  <w:endnote w:type="continuationSeparator" w:id="0">
    <w:p w14:paraId="0E2A184A" w14:textId="77777777" w:rsidR="00E4004C" w:rsidRDefault="00E4004C" w:rsidP="00AC45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1A0848" w14:textId="77777777" w:rsidR="00E4004C" w:rsidRDefault="00E4004C" w:rsidP="00AC4537">
      <w:pPr>
        <w:spacing w:after="0" w:line="240" w:lineRule="auto"/>
      </w:pPr>
      <w:r>
        <w:separator/>
      </w:r>
    </w:p>
  </w:footnote>
  <w:footnote w:type="continuationSeparator" w:id="0">
    <w:p w14:paraId="7E098715" w14:textId="77777777" w:rsidR="00E4004C" w:rsidRDefault="00E4004C" w:rsidP="00AC4537">
      <w:pPr>
        <w:spacing w:after="0" w:line="240" w:lineRule="auto"/>
      </w:pPr>
      <w:r>
        <w:continuationSeparator/>
      </w:r>
    </w:p>
  </w:footnote>
  <w:footnote w:id="1">
    <w:p w14:paraId="4391AADB" w14:textId="77777777" w:rsidR="002148EE" w:rsidRPr="005A4745" w:rsidRDefault="002148EE" w:rsidP="002148EE">
      <w:pPr>
        <w:pStyle w:val="FootnoteText"/>
        <w:rPr>
          <w:rFonts w:ascii="Times New Roman" w:hAnsi="Times New Roman" w:cs="Times New Roman"/>
          <w:sz w:val="18"/>
          <w:szCs w:val="18"/>
        </w:rPr>
      </w:pPr>
      <w:r>
        <w:rPr>
          <w:rStyle w:val="FootnoteReference"/>
        </w:rPr>
        <w:footnoteRef/>
      </w:r>
      <w:r>
        <w:t xml:space="preserve"> </w:t>
      </w:r>
      <w:r w:rsidRPr="005A4745">
        <w:rPr>
          <w:rFonts w:ascii="Times New Roman" w:hAnsi="Times New Roman" w:cs="Times New Roman"/>
          <w:i/>
          <w:iCs/>
          <w:sz w:val="18"/>
          <w:szCs w:val="18"/>
        </w:rPr>
        <w:t xml:space="preserve">2004 (1) ZLR 511 (S) </w:t>
      </w:r>
      <w:r w:rsidRPr="005A4745">
        <w:rPr>
          <w:rFonts w:ascii="Times New Roman" w:hAnsi="Times New Roman" w:cs="Times New Roman"/>
          <w:sz w:val="18"/>
          <w:szCs w:val="18"/>
        </w:rPr>
        <w:t>at 517 C-E</w:t>
      </w:r>
    </w:p>
  </w:footnote>
  <w:footnote w:id="2">
    <w:p w14:paraId="4B5FA3A6" w14:textId="423453D0" w:rsidR="00200655" w:rsidRPr="00200655" w:rsidRDefault="00200655">
      <w:pPr>
        <w:pStyle w:val="FootnoteText"/>
        <w:rPr>
          <w:rFonts w:ascii="Times New Roman" w:hAnsi="Times New Roman" w:cs="Times New Roman"/>
        </w:rPr>
      </w:pPr>
      <w:r w:rsidRPr="00200655">
        <w:rPr>
          <w:rStyle w:val="FootnoteReference"/>
          <w:rFonts w:ascii="Times New Roman" w:hAnsi="Times New Roman" w:cs="Times New Roman"/>
        </w:rPr>
        <w:footnoteRef/>
      </w:r>
      <w:r w:rsidRPr="00200655">
        <w:rPr>
          <w:rFonts w:ascii="Times New Roman" w:hAnsi="Times New Roman" w:cs="Times New Roman"/>
        </w:rPr>
        <w:t xml:space="preserve"> See also </w:t>
      </w:r>
      <w:r w:rsidRPr="00200655">
        <w:rPr>
          <w:rFonts w:ascii="Times New Roman" w:hAnsi="Times New Roman" w:cs="Times New Roman"/>
          <w:i/>
          <w:iCs/>
        </w:rPr>
        <w:t>Nhende v Zigora &amp; Another</w:t>
      </w:r>
      <w:r w:rsidRPr="00200655">
        <w:rPr>
          <w:rFonts w:ascii="Times New Roman" w:hAnsi="Times New Roman" w:cs="Times New Roman"/>
        </w:rPr>
        <w:t xml:space="preserve"> SC 102/22</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76954192"/>
      <w:docPartObj>
        <w:docPartGallery w:val="Page Numbers (Top of Page)"/>
        <w:docPartUnique/>
      </w:docPartObj>
    </w:sdtPr>
    <w:sdtEndPr>
      <w:rPr>
        <w:rFonts w:ascii="Times New Roman" w:hAnsi="Times New Roman" w:cs="Times New Roman"/>
        <w:noProof/>
      </w:rPr>
    </w:sdtEndPr>
    <w:sdtContent>
      <w:p w14:paraId="138EE0EC" w14:textId="671273EC" w:rsidR="00376F01" w:rsidRDefault="00376F01">
        <w:pPr>
          <w:pStyle w:val="Header"/>
          <w:jc w:val="right"/>
          <w:rPr>
            <w:rFonts w:ascii="Times New Roman" w:hAnsi="Times New Roman" w:cs="Times New Roman"/>
            <w:noProof/>
          </w:rPr>
        </w:pPr>
        <w:r w:rsidRPr="0087621C">
          <w:rPr>
            <w:rFonts w:ascii="Times New Roman" w:hAnsi="Times New Roman" w:cs="Times New Roman"/>
          </w:rPr>
          <w:fldChar w:fldCharType="begin"/>
        </w:r>
        <w:r w:rsidRPr="0087621C">
          <w:rPr>
            <w:rFonts w:ascii="Times New Roman" w:hAnsi="Times New Roman" w:cs="Times New Roman"/>
          </w:rPr>
          <w:instrText xml:space="preserve"> PAGE   \* MERGEFORMAT </w:instrText>
        </w:r>
        <w:r w:rsidRPr="0087621C">
          <w:rPr>
            <w:rFonts w:ascii="Times New Roman" w:hAnsi="Times New Roman" w:cs="Times New Roman"/>
          </w:rPr>
          <w:fldChar w:fldCharType="separate"/>
        </w:r>
        <w:r w:rsidR="00067936">
          <w:rPr>
            <w:rFonts w:ascii="Times New Roman" w:hAnsi="Times New Roman" w:cs="Times New Roman"/>
            <w:noProof/>
          </w:rPr>
          <w:t>1</w:t>
        </w:r>
        <w:r w:rsidRPr="0087621C">
          <w:rPr>
            <w:rFonts w:ascii="Times New Roman" w:hAnsi="Times New Roman" w:cs="Times New Roman"/>
            <w:noProof/>
          </w:rPr>
          <w:fldChar w:fldCharType="end"/>
        </w:r>
      </w:p>
      <w:p w14:paraId="3B88D738" w14:textId="2ED8B19D" w:rsidR="00221654" w:rsidRPr="0087621C" w:rsidRDefault="00221654">
        <w:pPr>
          <w:pStyle w:val="Header"/>
          <w:jc w:val="right"/>
          <w:rPr>
            <w:rFonts w:ascii="Times New Roman" w:hAnsi="Times New Roman" w:cs="Times New Roman"/>
            <w:noProof/>
          </w:rPr>
        </w:pPr>
        <w:r>
          <w:rPr>
            <w:rFonts w:ascii="Times New Roman" w:hAnsi="Times New Roman" w:cs="Times New Roman"/>
            <w:noProof/>
          </w:rPr>
          <w:t>HH</w:t>
        </w:r>
        <w:r w:rsidR="00E3307C">
          <w:rPr>
            <w:rFonts w:ascii="Times New Roman" w:hAnsi="Times New Roman" w:cs="Times New Roman"/>
            <w:noProof/>
          </w:rPr>
          <w:t xml:space="preserve"> 12</w:t>
        </w:r>
        <w:r w:rsidR="00B01175">
          <w:rPr>
            <w:rFonts w:ascii="Times New Roman" w:hAnsi="Times New Roman" w:cs="Times New Roman"/>
            <w:noProof/>
          </w:rPr>
          <w:t>5</w:t>
        </w:r>
        <w:r w:rsidR="00E3307C">
          <w:rPr>
            <w:rFonts w:ascii="Times New Roman" w:hAnsi="Times New Roman" w:cs="Times New Roman"/>
            <w:noProof/>
          </w:rPr>
          <w:t>-25</w:t>
        </w:r>
      </w:p>
      <w:p w14:paraId="6B578597" w14:textId="133F81D3" w:rsidR="00376F01" w:rsidRDefault="00376F01">
        <w:pPr>
          <w:pStyle w:val="Header"/>
          <w:jc w:val="right"/>
          <w:rPr>
            <w:rFonts w:ascii="Times New Roman" w:hAnsi="Times New Roman" w:cs="Times New Roman"/>
            <w:noProof/>
          </w:rPr>
        </w:pPr>
        <w:r w:rsidRPr="0087621C">
          <w:rPr>
            <w:rFonts w:ascii="Times New Roman" w:hAnsi="Times New Roman" w:cs="Times New Roman"/>
            <w:noProof/>
          </w:rPr>
          <w:t>H</w:t>
        </w:r>
        <w:r w:rsidR="009B3244">
          <w:rPr>
            <w:rFonts w:ascii="Times New Roman" w:hAnsi="Times New Roman" w:cs="Times New Roman"/>
            <w:noProof/>
          </w:rPr>
          <w:t>C</w:t>
        </w:r>
        <w:r w:rsidRPr="0087621C">
          <w:rPr>
            <w:rFonts w:ascii="Times New Roman" w:hAnsi="Times New Roman" w:cs="Times New Roman"/>
            <w:noProof/>
          </w:rPr>
          <w:t xml:space="preserve">H </w:t>
        </w:r>
        <w:r w:rsidR="009B3244">
          <w:rPr>
            <w:rFonts w:ascii="Times New Roman" w:hAnsi="Times New Roman" w:cs="Times New Roman"/>
            <w:noProof/>
          </w:rPr>
          <w:t>57</w:t>
        </w:r>
        <w:r w:rsidR="000334A8">
          <w:rPr>
            <w:rFonts w:ascii="Times New Roman" w:hAnsi="Times New Roman" w:cs="Times New Roman"/>
            <w:noProof/>
          </w:rPr>
          <w:t>7</w:t>
        </w:r>
        <w:r w:rsidR="009B3244">
          <w:rPr>
            <w:rFonts w:ascii="Times New Roman" w:hAnsi="Times New Roman" w:cs="Times New Roman"/>
            <w:noProof/>
          </w:rPr>
          <w:t>/25</w:t>
        </w:r>
      </w:p>
      <w:p w14:paraId="17ACD31D" w14:textId="2BF3C534" w:rsidR="00376F01" w:rsidRPr="0087621C" w:rsidRDefault="009B3244">
        <w:pPr>
          <w:pStyle w:val="Header"/>
          <w:jc w:val="right"/>
          <w:rPr>
            <w:rFonts w:ascii="Times New Roman" w:hAnsi="Times New Roman" w:cs="Times New Roman"/>
          </w:rPr>
        </w:pPr>
        <w:r>
          <w:rPr>
            <w:rFonts w:ascii="Times New Roman" w:hAnsi="Times New Roman" w:cs="Times New Roman"/>
            <w:noProof/>
          </w:rPr>
          <w:t>Ref Case No. HC 29/23</w:t>
        </w:r>
      </w:p>
    </w:sdtContent>
  </w:sdt>
  <w:p w14:paraId="5C2BD0AE" w14:textId="77777777" w:rsidR="00376F01" w:rsidRPr="0087621C" w:rsidRDefault="00376F01">
    <w:pPr>
      <w:pStyle w:val="Header"/>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E307A2"/>
    <w:multiLevelType w:val="hybridMultilevel"/>
    <w:tmpl w:val="E922827A"/>
    <w:lvl w:ilvl="0" w:tplc="1354C878">
      <w:start w:val="1"/>
      <w:numFmt w:val="decimal"/>
      <w:lvlText w:val="%1."/>
      <w:lvlJc w:val="left"/>
      <w:pPr>
        <w:ind w:left="720" w:hanging="360"/>
      </w:pPr>
      <w:rPr>
        <w:rFonts w:hint="default"/>
        <w:b w:val="0"/>
        <w:bCs w:val="0"/>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15:restartNumberingAfterBreak="0">
    <w:nsid w:val="13FC4F21"/>
    <w:multiLevelType w:val="hybridMultilevel"/>
    <w:tmpl w:val="C7F48A32"/>
    <w:lvl w:ilvl="0" w:tplc="127A542E">
      <w:start w:val="1"/>
      <w:numFmt w:val="lowerLetter"/>
      <w:lvlText w:val="%1."/>
      <w:lvlJc w:val="left"/>
      <w:pPr>
        <w:ind w:left="781" w:hanging="360"/>
      </w:pPr>
      <w:rPr>
        <w:b/>
      </w:rPr>
    </w:lvl>
    <w:lvl w:ilvl="1" w:tplc="30090019" w:tentative="1">
      <w:start w:val="1"/>
      <w:numFmt w:val="lowerLetter"/>
      <w:lvlText w:val="%2."/>
      <w:lvlJc w:val="left"/>
      <w:pPr>
        <w:ind w:left="1501" w:hanging="360"/>
      </w:pPr>
    </w:lvl>
    <w:lvl w:ilvl="2" w:tplc="3009001B" w:tentative="1">
      <w:start w:val="1"/>
      <w:numFmt w:val="lowerRoman"/>
      <w:lvlText w:val="%3."/>
      <w:lvlJc w:val="right"/>
      <w:pPr>
        <w:ind w:left="2221" w:hanging="180"/>
      </w:pPr>
    </w:lvl>
    <w:lvl w:ilvl="3" w:tplc="3009000F" w:tentative="1">
      <w:start w:val="1"/>
      <w:numFmt w:val="decimal"/>
      <w:lvlText w:val="%4."/>
      <w:lvlJc w:val="left"/>
      <w:pPr>
        <w:ind w:left="2941" w:hanging="360"/>
      </w:pPr>
    </w:lvl>
    <w:lvl w:ilvl="4" w:tplc="30090019" w:tentative="1">
      <w:start w:val="1"/>
      <w:numFmt w:val="lowerLetter"/>
      <w:lvlText w:val="%5."/>
      <w:lvlJc w:val="left"/>
      <w:pPr>
        <w:ind w:left="3661" w:hanging="360"/>
      </w:pPr>
    </w:lvl>
    <w:lvl w:ilvl="5" w:tplc="3009001B" w:tentative="1">
      <w:start w:val="1"/>
      <w:numFmt w:val="lowerRoman"/>
      <w:lvlText w:val="%6."/>
      <w:lvlJc w:val="right"/>
      <w:pPr>
        <w:ind w:left="4381" w:hanging="180"/>
      </w:pPr>
    </w:lvl>
    <w:lvl w:ilvl="6" w:tplc="3009000F" w:tentative="1">
      <w:start w:val="1"/>
      <w:numFmt w:val="decimal"/>
      <w:lvlText w:val="%7."/>
      <w:lvlJc w:val="left"/>
      <w:pPr>
        <w:ind w:left="5101" w:hanging="360"/>
      </w:pPr>
    </w:lvl>
    <w:lvl w:ilvl="7" w:tplc="30090019" w:tentative="1">
      <w:start w:val="1"/>
      <w:numFmt w:val="lowerLetter"/>
      <w:lvlText w:val="%8."/>
      <w:lvlJc w:val="left"/>
      <w:pPr>
        <w:ind w:left="5821" w:hanging="360"/>
      </w:pPr>
    </w:lvl>
    <w:lvl w:ilvl="8" w:tplc="3009001B" w:tentative="1">
      <w:start w:val="1"/>
      <w:numFmt w:val="lowerRoman"/>
      <w:lvlText w:val="%9."/>
      <w:lvlJc w:val="right"/>
      <w:pPr>
        <w:ind w:left="6541" w:hanging="180"/>
      </w:pPr>
    </w:lvl>
  </w:abstractNum>
  <w:abstractNum w:abstractNumId="2" w15:restartNumberingAfterBreak="0">
    <w:nsid w:val="25F67AA6"/>
    <w:multiLevelType w:val="hybridMultilevel"/>
    <w:tmpl w:val="605ABFD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7826488"/>
    <w:multiLevelType w:val="hybridMultilevel"/>
    <w:tmpl w:val="6F34BCBE"/>
    <w:lvl w:ilvl="0" w:tplc="8C50681C">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4" w15:restartNumberingAfterBreak="0">
    <w:nsid w:val="344A41CA"/>
    <w:multiLevelType w:val="hybridMultilevel"/>
    <w:tmpl w:val="795AEFC8"/>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5" w15:restartNumberingAfterBreak="0">
    <w:nsid w:val="36201664"/>
    <w:multiLevelType w:val="hybridMultilevel"/>
    <w:tmpl w:val="605ABFD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E45297F"/>
    <w:multiLevelType w:val="hybridMultilevel"/>
    <w:tmpl w:val="3712005C"/>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7" w15:restartNumberingAfterBreak="0">
    <w:nsid w:val="447C03C3"/>
    <w:multiLevelType w:val="hybridMultilevel"/>
    <w:tmpl w:val="0C5A45D0"/>
    <w:lvl w:ilvl="0" w:tplc="3009001B">
      <w:start w:val="1"/>
      <w:numFmt w:val="lowerRoman"/>
      <w:lvlText w:val="%1."/>
      <w:lvlJc w:val="righ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8" w15:restartNumberingAfterBreak="0">
    <w:nsid w:val="59556ABD"/>
    <w:multiLevelType w:val="hybridMultilevel"/>
    <w:tmpl w:val="A55AE1EA"/>
    <w:lvl w:ilvl="0" w:tplc="D02EF416">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9" w15:restartNumberingAfterBreak="0">
    <w:nsid w:val="6A5A5A0B"/>
    <w:multiLevelType w:val="hybridMultilevel"/>
    <w:tmpl w:val="50C29E96"/>
    <w:lvl w:ilvl="0" w:tplc="30090019">
      <w:start w:val="1"/>
      <w:numFmt w:val="lowerLetter"/>
      <w:lvlText w:val="%1."/>
      <w:lvlJc w:val="left"/>
      <w:pPr>
        <w:ind w:left="781" w:hanging="360"/>
      </w:pPr>
    </w:lvl>
    <w:lvl w:ilvl="1" w:tplc="30090019" w:tentative="1">
      <w:start w:val="1"/>
      <w:numFmt w:val="lowerLetter"/>
      <w:lvlText w:val="%2."/>
      <w:lvlJc w:val="left"/>
      <w:pPr>
        <w:ind w:left="1501" w:hanging="360"/>
      </w:pPr>
    </w:lvl>
    <w:lvl w:ilvl="2" w:tplc="3009001B" w:tentative="1">
      <w:start w:val="1"/>
      <w:numFmt w:val="lowerRoman"/>
      <w:lvlText w:val="%3."/>
      <w:lvlJc w:val="right"/>
      <w:pPr>
        <w:ind w:left="2221" w:hanging="180"/>
      </w:pPr>
    </w:lvl>
    <w:lvl w:ilvl="3" w:tplc="3009000F" w:tentative="1">
      <w:start w:val="1"/>
      <w:numFmt w:val="decimal"/>
      <w:lvlText w:val="%4."/>
      <w:lvlJc w:val="left"/>
      <w:pPr>
        <w:ind w:left="2941" w:hanging="360"/>
      </w:pPr>
    </w:lvl>
    <w:lvl w:ilvl="4" w:tplc="30090019" w:tentative="1">
      <w:start w:val="1"/>
      <w:numFmt w:val="lowerLetter"/>
      <w:lvlText w:val="%5."/>
      <w:lvlJc w:val="left"/>
      <w:pPr>
        <w:ind w:left="3661" w:hanging="360"/>
      </w:pPr>
    </w:lvl>
    <w:lvl w:ilvl="5" w:tplc="3009001B" w:tentative="1">
      <w:start w:val="1"/>
      <w:numFmt w:val="lowerRoman"/>
      <w:lvlText w:val="%6."/>
      <w:lvlJc w:val="right"/>
      <w:pPr>
        <w:ind w:left="4381" w:hanging="180"/>
      </w:pPr>
    </w:lvl>
    <w:lvl w:ilvl="6" w:tplc="3009000F" w:tentative="1">
      <w:start w:val="1"/>
      <w:numFmt w:val="decimal"/>
      <w:lvlText w:val="%7."/>
      <w:lvlJc w:val="left"/>
      <w:pPr>
        <w:ind w:left="5101" w:hanging="360"/>
      </w:pPr>
    </w:lvl>
    <w:lvl w:ilvl="7" w:tplc="30090019" w:tentative="1">
      <w:start w:val="1"/>
      <w:numFmt w:val="lowerLetter"/>
      <w:lvlText w:val="%8."/>
      <w:lvlJc w:val="left"/>
      <w:pPr>
        <w:ind w:left="5821" w:hanging="360"/>
      </w:pPr>
    </w:lvl>
    <w:lvl w:ilvl="8" w:tplc="3009001B" w:tentative="1">
      <w:start w:val="1"/>
      <w:numFmt w:val="lowerRoman"/>
      <w:lvlText w:val="%9."/>
      <w:lvlJc w:val="right"/>
      <w:pPr>
        <w:ind w:left="6541" w:hanging="180"/>
      </w:pPr>
    </w:lvl>
  </w:abstractNum>
  <w:abstractNum w:abstractNumId="10" w15:restartNumberingAfterBreak="0">
    <w:nsid w:val="73027280"/>
    <w:multiLevelType w:val="hybridMultilevel"/>
    <w:tmpl w:val="FDDC8F00"/>
    <w:lvl w:ilvl="0" w:tplc="9F783528">
      <w:start w:val="1"/>
      <w:numFmt w:val="upperLetter"/>
      <w:lvlText w:val="%1."/>
      <w:lvlJc w:val="left"/>
      <w:pPr>
        <w:ind w:left="720" w:hanging="360"/>
      </w:pPr>
      <w:rPr>
        <w:rFonts w:hint="default"/>
        <w:b/>
        <w:bCs/>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1" w15:restartNumberingAfterBreak="0">
    <w:nsid w:val="78325BF6"/>
    <w:multiLevelType w:val="hybridMultilevel"/>
    <w:tmpl w:val="605ABFDA"/>
    <w:lvl w:ilvl="0" w:tplc="3009000F">
      <w:start w:val="1"/>
      <w:numFmt w:val="decimal"/>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2" w15:restartNumberingAfterBreak="0">
    <w:nsid w:val="79840B07"/>
    <w:multiLevelType w:val="hybridMultilevel"/>
    <w:tmpl w:val="1712622C"/>
    <w:lvl w:ilvl="0" w:tplc="3009001B">
      <w:start w:val="1"/>
      <w:numFmt w:val="lowerRoman"/>
      <w:lvlText w:val="%1."/>
      <w:lvlJc w:val="right"/>
      <w:pPr>
        <w:ind w:left="900" w:hanging="360"/>
      </w:pPr>
    </w:lvl>
    <w:lvl w:ilvl="1" w:tplc="30090019" w:tentative="1">
      <w:start w:val="1"/>
      <w:numFmt w:val="lowerLetter"/>
      <w:lvlText w:val="%2."/>
      <w:lvlJc w:val="left"/>
      <w:pPr>
        <w:ind w:left="1800" w:hanging="360"/>
      </w:pPr>
    </w:lvl>
    <w:lvl w:ilvl="2" w:tplc="3009001B">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12"/>
  </w:num>
  <w:num w:numId="2">
    <w:abstractNumId w:val="1"/>
  </w:num>
  <w:num w:numId="3">
    <w:abstractNumId w:val="7"/>
  </w:num>
  <w:num w:numId="4">
    <w:abstractNumId w:val="3"/>
  </w:num>
  <w:num w:numId="5">
    <w:abstractNumId w:val="9"/>
  </w:num>
  <w:num w:numId="6">
    <w:abstractNumId w:val="8"/>
  </w:num>
  <w:num w:numId="7">
    <w:abstractNumId w:val="6"/>
  </w:num>
  <w:num w:numId="8">
    <w:abstractNumId w:val="11"/>
  </w:num>
  <w:num w:numId="9">
    <w:abstractNumId w:val="2"/>
  </w:num>
  <w:num w:numId="10">
    <w:abstractNumId w:val="5"/>
  </w:num>
  <w:num w:numId="11">
    <w:abstractNumId w:val="10"/>
  </w:num>
  <w:num w:numId="12">
    <w:abstractNumId w:val="0"/>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2AEC"/>
    <w:rsid w:val="00005EBC"/>
    <w:rsid w:val="00006AFF"/>
    <w:rsid w:val="00015497"/>
    <w:rsid w:val="00020AFA"/>
    <w:rsid w:val="000334A8"/>
    <w:rsid w:val="00054CAE"/>
    <w:rsid w:val="00063E63"/>
    <w:rsid w:val="000652AF"/>
    <w:rsid w:val="00067936"/>
    <w:rsid w:val="00067E77"/>
    <w:rsid w:val="000731C7"/>
    <w:rsid w:val="000B23BF"/>
    <w:rsid w:val="000D3356"/>
    <w:rsid w:val="000F1717"/>
    <w:rsid w:val="00100336"/>
    <w:rsid w:val="00114627"/>
    <w:rsid w:val="00122642"/>
    <w:rsid w:val="00133051"/>
    <w:rsid w:val="00133062"/>
    <w:rsid w:val="0013628B"/>
    <w:rsid w:val="001449E2"/>
    <w:rsid w:val="00150262"/>
    <w:rsid w:val="001541A6"/>
    <w:rsid w:val="0016535C"/>
    <w:rsid w:val="00166D93"/>
    <w:rsid w:val="0017595F"/>
    <w:rsid w:val="001765E3"/>
    <w:rsid w:val="00176C75"/>
    <w:rsid w:val="0018312C"/>
    <w:rsid w:val="00191DA3"/>
    <w:rsid w:val="00197B02"/>
    <w:rsid w:val="001A7EB8"/>
    <w:rsid w:val="001B69AB"/>
    <w:rsid w:val="001C060B"/>
    <w:rsid w:val="001C5664"/>
    <w:rsid w:val="001C7BEC"/>
    <w:rsid w:val="00200655"/>
    <w:rsid w:val="0020084A"/>
    <w:rsid w:val="00206CDA"/>
    <w:rsid w:val="002148EE"/>
    <w:rsid w:val="002176E3"/>
    <w:rsid w:val="00221654"/>
    <w:rsid w:val="00226769"/>
    <w:rsid w:val="0023344C"/>
    <w:rsid w:val="002368C3"/>
    <w:rsid w:val="002432DF"/>
    <w:rsid w:val="00246E53"/>
    <w:rsid w:val="002524BE"/>
    <w:rsid w:val="0025256C"/>
    <w:rsid w:val="00290F48"/>
    <w:rsid w:val="002912CF"/>
    <w:rsid w:val="00295EA7"/>
    <w:rsid w:val="002A18E5"/>
    <w:rsid w:val="002A5AA2"/>
    <w:rsid w:val="002A5E4F"/>
    <w:rsid w:val="002B0739"/>
    <w:rsid w:val="002B51C5"/>
    <w:rsid w:val="002C0949"/>
    <w:rsid w:val="002C4A7C"/>
    <w:rsid w:val="002C50D3"/>
    <w:rsid w:val="002E1FD9"/>
    <w:rsid w:val="002E74D5"/>
    <w:rsid w:val="002F001E"/>
    <w:rsid w:val="002F13B1"/>
    <w:rsid w:val="002F1D4B"/>
    <w:rsid w:val="00330B67"/>
    <w:rsid w:val="00335397"/>
    <w:rsid w:val="00376F01"/>
    <w:rsid w:val="00382CF4"/>
    <w:rsid w:val="00383D6A"/>
    <w:rsid w:val="003850AE"/>
    <w:rsid w:val="0038539B"/>
    <w:rsid w:val="003A6811"/>
    <w:rsid w:val="003A7F87"/>
    <w:rsid w:val="003B0004"/>
    <w:rsid w:val="003B1DDD"/>
    <w:rsid w:val="003C6F97"/>
    <w:rsid w:val="003D7DD9"/>
    <w:rsid w:val="003E4427"/>
    <w:rsid w:val="003F1D66"/>
    <w:rsid w:val="003F7C42"/>
    <w:rsid w:val="00415FF9"/>
    <w:rsid w:val="00416C37"/>
    <w:rsid w:val="00437A85"/>
    <w:rsid w:val="004646C9"/>
    <w:rsid w:val="00472E18"/>
    <w:rsid w:val="004C090D"/>
    <w:rsid w:val="004D0747"/>
    <w:rsid w:val="004D7CEE"/>
    <w:rsid w:val="004E4296"/>
    <w:rsid w:val="004F2D53"/>
    <w:rsid w:val="005023B9"/>
    <w:rsid w:val="005059B3"/>
    <w:rsid w:val="00524743"/>
    <w:rsid w:val="00531364"/>
    <w:rsid w:val="005324DE"/>
    <w:rsid w:val="00537E07"/>
    <w:rsid w:val="005402A8"/>
    <w:rsid w:val="005442C8"/>
    <w:rsid w:val="00550113"/>
    <w:rsid w:val="00551752"/>
    <w:rsid w:val="0055318F"/>
    <w:rsid w:val="005654F0"/>
    <w:rsid w:val="00572C31"/>
    <w:rsid w:val="00584392"/>
    <w:rsid w:val="005A3CA2"/>
    <w:rsid w:val="005C24B4"/>
    <w:rsid w:val="005C66BB"/>
    <w:rsid w:val="005D016A"/>
    <w:rsid w:val="005F4621"/>
    <w:rsid w:val="006051A0"/>
    <w:rsid w:val="00613E56"/>
    <w:rsid w:val="006202AE"/>
    <w:rsid w:val="00632819"/>
    <w:rsid w:val="00642432"/>
    <w:rsid w:val="006543E3"/>
    <w:rsid w:val="0065615C"/>
    <w:rsid w:val="00667DF8"/>
    <w:rsid w:val="0067130F"/>
    <w:rsid w:val="00673E6D"/>
    <w:rsid w:val="0067567F"/>
    <w:rsid w:val="006871E0"/>
    <w:rsid w:val="006A2E50"/>
    <w:rsid w:val="006A4113"/>
    <w:rsid w:val="006B0754"/>
    <w:rsid w:val="006B2B26"/>
    <w:rsid w:val="006C368F"/>
    <w:rsid w:val="006C6902"/>
    <w:rsid w:val="006D5B25"/>
    <w:rsid w:val="006E093A"/>
    <w:rsid w:val="006E6EAD"/>
    <w:rsid w:val="00714044"/>
    <w:rsid w:val="007167DF"/>
    <w:rsid w:val="0072681F"/>
    <w:rsid w:val="00731B6E"/>
    <w:rsid w:val="00736513"/>
    <w:rsid w:val="00741024"/>
    <w:rsid w:val="0074105E"/>
    <w:rsid w:val="007512F0"/>
    <w:rsid w:val="007529EE"/>
    <w:rsid w:val="00760191"/>
    <w:rsid w:val="00766E37"/>
    <w:rsid w:val="00767D63"/>
    <w:rsid w:val="00794853"/>
    <w:rsid w:val="00802152"/>
    <w:rsid w:val="0081514C"/>
    <w:rsid w:val="008156AA"/>
    <w:rsid w:val="00831EA6"/>
    <w:rsid w:val="008368C2"/>
    <w:rsid w:val="008512BD"/>
    <w:rsid w:val="00852EE6"/>
    <w:rsid w:val="00857311"/>
    <w:rsid w:val="008621AE"/>
    <w:rsid w:val="0087103E"/>
    <w:rsid w:val="00873D34"/>
    <w:rsid w:val="0087621C"/>
    <w:rsid w:val="008B678B"/>
    <w:rsid w:val="008C0DFC"/>
    <w:rsid w:val="008C1FB3"/>
    <w:rsid w:val="008D086C"/>
    <w:rsid w:val="008D172E"/>
    <w:rsid w:val="008E01BD"/>
    <w:rsid w:val="008E3F96"/>
    <w:rsid w:val="008F52F6"/>
    <w:rsid w:val="0090260A"/>
    <w:rsid w:val="009027AF"/>
    <w:rsid w:val="00906873"/>
    <w:rsid w:val="009132DD"/>
    <w:rsid w:val="00916D2A"/>
    <w:rsid w:val="009268C6"/>
    <w:rsid w:val="0095392B"/>
    <w:rsid w:val="00955275"/>
    <w:rsid w:val="0098084D"/>
    <w:rsid w:val="00987624"/>
    <w:rsid w:val="0099088C"/>
    <w:rsid w:val="009954A1"/>
    <w:rsid w:val="009B3244"/>
    <w:rsid w:val="009B4D83"/>
    <w:rsid w:val="009C1A23"/>
    <w:rsid w:val="009C2DD5"/>
    <w:rsid w:val="009D0C56"/>
    <w:rsid w:val="009D4306"/>
    <w:rsid w:val="009D7DD9"/>
    <w:rsid w:val="009E58DB"/>
    <w:rsid w:val="009E69EE"/>
    <w:rsid w:val="009E737B"/>
    <w:rsid w:val="009F2C4E"/>
    <w:rsid w:val="00A22248"/>
    <w:rsid w:val="00A522CA"/>
    <w:rsid w:val="00A71764"/>
    <w:rsid w:val="00A73F56"/>
    <w:rsid w:val="00A8084F"/>
    <w:rsid w:val="00A95FE4"/>
    <w:rsid w:val="00AC01EE"/>
    <w:rsid w:val="00AC0B3E"/>
    <w:rsid w:val="00AC14A7"/>
    <w:rsid w:val="00AC4537"/>
    <w:rsid w:val="00AC4B5E"/>
    <w:rsid w:val="00AC4FF9"/>
    <w:rsid w:val="00AC628B"/>
    <w:rsid w:val="00AD1EBF"/>
    <w:rsid w:val="00B01175"/>
    <w:rsid w:val="00B014F3"/>
    <w:rsid w:val="00B01829"/>
    <w:rsid w:val="00B20623"/>
    <w:rsid w:val="00B25553"/>
    <w:rsid w:val="00B264FC"/>
    <w:rsid w:val="00B30550"/>
    <w:rsid w:val="00B308F4"/>
    <w:rsid w:val="00B3708C"/>
    <w:rsid w:val="00B65BBE"/>
    <w:rsid w:val="00B67386"/>
    <w:rsid w:val="00B77A04"/>
    <w:rsid w:val="00B8022E"/>
    <w:rsid w:val="00B811BD"/>
    <w:rsid w:val="00B85F8A"/>
    <w:rsid w:val="00B94042"/>
    <w:rsid w:val="00BA544C"/>
    <w:rsid w:val="00BB3D06"/>
    <w:rsid w:val="00BC041B"/>
    <w:rsid w:val="00BC2F3A"/>
    <w:rsid w:val="00BD14F1"/>
    <w:rsid w:val="00BE26B0"/>
    <w:rsid w:val="00BF4674"/>
    <w:rsid w:val="00BF6D4A"/>
    <w:rsid w:val="00BF735A"/>
    <w:rsid w:val="00C011BF"/>
    <w:rsid w:val="00C15890"/>
    <w:rsid w:val="00C170E9"/>
    <w:rsid w:val="00C24489"/>
    <w:rsid w:val="00C31BE3"/>
    <w:rsid w:val="00C43C1A"/>
    <w:rsid w:val="00C43D41"/>
    <w:rsid w:val="00C46ABB"/>
    <w:rsid w:val="00C522CF"/>
    <w:rsid w:val="00C52AEC"/>
    <w:rsid w:val="00C64334"/>
    <w:rsid w:val="00C74556"/>
    <w:rsid w:val="00C74784"/>
    <w:rsid w:val="00C80D59"/>
    <w:rsid w:val="00C8585E"/>
    <w:rsid w:val="00C875BD"/>
    <w:rsid w:val="00CA0916"/>
    <w:rsid w:val="00CA1B54"/>
    <w:rsid w:val="00CB421B"/>
    <w:rsid w:val="00CC0477"/>
    <w:rsid w:val="00CC10B1"/>
    <w:rsid w:val="00CC254C"/>
    <w:rsid w:val="00CC37F9"/>
    <w:rsid w:val="00CC5710"/>
    <w:rsid w:val="00CD6324"/>
    <w:rsid w:val="00CE6095"/>
    <w:rsid w:val="00CF0A6A"/>
    <w:rsid w:val="00CF3EC2"/>
    <w:rsid w:val="00D0164E"/>
    <w:rsid w:val="00D0634E"/>
    <w:rsid w:val="00D064B6"/>
    <w:rsid w:val="00D149F2"/>
    <w:rsid w:val="00D207AA"/>
    <w:rsid w:val="00D2378C"/>
    <w:rsid w:val="00D33540"/>
    <w:rsid w:val="00D536CA"/>
    <w:rsid w:val="00D62E42"/>
    <w:rsid w:val="00D7140B"/>
    <w:rsid w:val="00D74569"/>
    <w:rsid w:val="00D815C3"/>
    <w:rsid w:val="00D868B6"/>
    <w:rsid w:val="00D87474"/>
    <w:rsid w:val="00DB692F"/>
    <w:rsid w:val="00DC33A0"/>
    <w:rsid w:val="00DD0C2B"/>
    <w:rsid w:val="00DD7AC7"/>
    <w:rsid w:val="00DE0160"/>
    <w:rsid w:val="00DE741B"/>
    <w:rsid w:val="00DE7CE2"/>
    <w:rsid w:val="00DF4207"/>
    <w:rsid w:val="00E04059"/>
    <w:rsid w:val="00E11C44"/>
    <w:rsid w:val="00E25587"/>
    <w:rsid w:val="00E3307C"/>
    <w:rsid w:val="00E36DBF"/>
    <w:rsid w:val="00E4004C"/>
    <w:rsid w:val="00E54C7D"/>
    <w:rsid w:val="00E65787"/>
    <w:rsid w:val="00E76727"/>
    <w:rsid w:val="00E77AE1"/>
    <w:rsid w:val="00E869E7"/>
    <w:rsid w:val="00E9353C"/>
    <w:rsid w:val="00EA3946"/>
    <w:rsid w:val="00EA63FB"/>
    <w:rsid w:val="00EC3E7F"/>
    <w:rsid w:val="00EC7DF8"/>
    <w:rsid w:val="00ED6764"/>
    <w:rsid w:val="00EF097E"/>
    <w:rsid w:val="00EF4B0B"/>
    <w:rsid w:val="00F00628"/>
    <w:rsid w:val="00F14713"/>
    <w:rsid w:val="00F239EE"/>
    <w:rsid w:val="00F26FD3"/>
    <w:rsid w:val="00F3657D"/>
    <w:rsid w:val="00F4493A"/>
    <w:rsid w:val="00F54B09"/>
    <w:rsid w:val="00FA335C"/>
    <w:rsid w:val="00FA6E7F"/>
    <w:rsid w:val="00FA7E55"/>
    <w:rsid w:val="00FD1B44"/>
    <w:rsid w:val="00FE5250"/>
    <w:rsid w:val="00FF7268"/>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B4CF45"/>
  <w15:chartTrackingRefBased/>
  <w15:docId w15:val="{6C9ED3DC-8FBE-4827-8BE2-1E62F4F88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52AEC"/>
    <w:rPr>
      <w:lang w:val="en-US"/>
    </w:rPr>
  </w:style>
  <w:style w:type="paragraph" w:styleId="Heading1">
    <w:name w:val="heading 1"/>
    <w:basedOn w:val="Normal"/>
    <w:next w:val="Normal"/>
    <w:link w:val="Heading1Char"/>
    <w:uiPriority w:val="9"/>
    <w:qFormat/>
    <w:rsid w:val="00C31BE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852EE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52AEC"/>
    <w:pPr>
      <w:spacing w:after="0" w:line="240" w:lineRule="auto"/>
    </w:pPr>
    <w:rPr>
      <w:lang w:val="en-US"/>
    </w:rPr>
  </w:style>
  <w:style w:type="paragraph" w:styleId="ListParagraph">
    <w:name w:val="List Paragraph"/>
    <w:basedOn w:val="Normal"/>
    <w:uiPriority w:val="34"/>
    <w:qFormat/>
    <w:rsid w:val="00D064B6"/>
    <w:pPr>
      <w:ind w:left="720"/>
      <w:contextualSpacing/>
    </w:pPr>
  </w:style>
  <w:style w:type="paragraph" w:styleId="Header">
    <w:name w:val="header"/>
    <w:basedOn w:val="Normal"/>
    <w:link w:val="HeaderChar"/>
    <w:uiPriority w:val="99"/>
    <w:unhideWhenUsed/>
    <w:rsid w:val="00AC4537"/>
    <w:pPr>
      <w:tabs>
        <w:tab w:val="center" w:pos="4513"/>
        <w:tab w:val="right" w:pos="9026"/>
      </w:tabs>
      <w:spacing w:after="0" w:line="240" w:lineRule="auto"/>
    </w:pPr>
  </w:style>
  <w:style w:type="character" w:customStyle="1" w:styleId="HeaderChar">
    <w:name w:val="Header Char"/>
    <w:basedOn w:val="DefaultParagraphFont"/>
    <w:link w:val="Header"/>
    <w:uiPriority w:val="99"/>
    <w:rsid w:val="00AC4537"/>
    <w:rPr>
      <w:lang w:val="en-US"/>
    </w:rPr>
  </w:style>
  <w:style w:type="paragraph" w:styleId="Footer">
    <w:name w:val="footer"/>
    <w:basedOn w:val="Normal"/>
    <w:link w:val="FooterChar"/>
    <w:uiPriority w:val="99"/>
    <w:unhideWhenUsed/>
    <w:rsid w:val="00AC4537"/>
    <w:pPr>
      <w:tabs>
        <w:tab w:val="center" w:pos="4513"/>
        <w:tab w:val="right" w:pos="9026"/>
      </w:tabs>
      <w:spacing w:after="0" w:line="240" w:lineRule="auto"/>
    </w:pPr>
  </w:style>
  <w:style w:type="character" w:customStyle="1" w:styleId="FooterChar">
    <w:name w:val="Footer Char"/>
    <w:basedOn w:val="DefaultParagraphFont"/>
    <w:link w:val="Footer"/>
    <w:uiPriority w:val="99"/>
    <w:rsid w:val="00AC4537"/>
    <w:rPr>
      <w:lang w:val="en-US"/>
    </w:rPr>
  </w:style>
  <w:style w:type="character" w:customStyle="1" w:styleId="Heading1Char">
    <w:name w:val="Heading 1 Char"/>
    <w:basedOn w:val="DefaultParagraphFont"/>
    <w:link w:val="Heading1"/>
    <w:uiPriority w:val="9"/>
    <w:rsid w:val="00C31BE3"/>
    <w:rPr>
      <w:rFonts w:asciiTheme="majorHAnsi" w:eastAsiaTheme="majorEastAsia" w:hAnsiTheme="majorHAnsi" w:cstheme="majorBidi"/>
      <w:color w:val="2E74B5" w:themeColor="accent1" w:themeShade="BF"/>
      <w:sz w:val="32"/>
      <w:szCs w:val="32"/>
      <w:lang w:val="en-US"/>
    </w:rPr>
  </w:style>
  <w:style w:type="character" w:customStyle="1" w:styleId="Heading2Char">
    <w:name w:val="Heading 2 Char"/>
    <w:basedOn w:val="DefaultParagraphFont"/>
    <w:link w:val="Heading2"/>
    <w:uiPriority w:val="9"/>
    <w:rsid w:val="00852EE6"/>
    <w:rPr>
      <w:rFonts w:asciiTheme="majorHAnsi" w:eastAsiaTheme="majorEastAsia" w:hAnsiTheme="majorHAnsi" w:cstheme="majorBidi"/>
      <w:color w:val="2E74B5" w:themeColor="accent1" w:themeShade="BF"/>
      <w:sz w:val="26"/>
      <w:szCs w:val="26"/>
      <w:lang w:val="en-US"/>
    </w:rPr>
  </w:style>
  <w:style w:type="paragraph" w:styleId="FootnoteText">
    <w:name w:val="footnote text"/>
    <w:basedOn w:val="Normal"/>
    <w:link w:val="FootnoteTextChar"/>
    <w:uiPriority w:val="99"/>
    <w:unhideWhenUsed/>
    <w:rsid w:val="00CF3EC2"/>
    <w:pPr>
      <w:spacing w:after="0" w:line="240" w:lineRule="auto"/>
    </w:pPr>
    <w:rPr>
      <w:sz w:val="20"/>
      <w:szCs w:val="20"/>
      <w:lang w:val="en-ZW"/>
    </w:rPr>
  </w:style>
  <w:style w:type="character" w:customStyle="1" w:styleId="FootnoteTextChar">
    <w:name w:val="Footnote Text Char"/>
    <w:basedOn w:val="DefaultParagraphFont"/>
    <w:link w:val="FootnoteText"/>
    <w:uiPriority w:val="99"/>
    <w:rsid w:val="00CF3EC2"/>
    <w:rPr>
      <w:sz w:val="20"/>
      <w:szCs w:val="20"/>
    </w:rPr>
  </w:style>
  <w:style w:type="character" w:styleId="FootnoteReference">
    <w:name w:val="footnote reference"/>
    <w:basedOn w:val="DefaultParagraphFont"/>
    <w:uiPriority w:val="99"/>
    <w:semiHidden/>
    <w:unhideWhenUsed/>
    <w:rsid w:val="00CF3EC2"/>
    <w:rPr>
      <w:vertAlign w:val="superscript"/>
    </w:rPr>
  </w:style>
  <w:style w:type="paragraph" w:customStyle="1" w:styleId="Default">
    <w:name w:val="Default"/>
    <w:rsid w:val="002148EE"/>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5585525">
      <w:bodyDiv w:val="1"/>
      <w:marLeft w:val="0"/>
      <w:marRight w:val="0"/>
      <w:marTop w:val="0"/>
      <w:marBottom w:val="0"/>
      <w:divBdr>
        <w:top w:val="none" w:sz="0" w:space="0" w:color="auto"/>
        <w:left w:val="none" w:sz="0" w:space="0" w:color="auto"/>
        <w:bottom w:val="none" w:sz="0" w:space="0" w:color="auto"/>
        <w:right w:val="none" w:sz="0" w:space="0" w:color="auto"/>
      </w:divBdr>
    </w:div>
    <w:div w:id="1016888655">
      <w:bodyDiv w:val="1"/>
      <w:marLeft w:val="0"/>
      <w:marRight w:val="0"/>
      <w:marTop w:val="0"/>
      <w:marBottom w:val="0"/>
      <w:divBdr>
        <w:top w:val="none" w:sz="0" w:space="0" w:color="auto"/>
        <w:left w:val="none" w:sz="0" w:space="0" w:color="auto"/>
        <w:bottom w:val="none" w:sz="0" w:space="0" w:color="auto"/>
        <w:right w:val="none" w:sz="0" w:space="0" w:color="auto"/>
      </w:divBdr>
    </w:div>
    <w:div w:id="1745644398">
      <w:bodyDiv w:val="1"/>
      <w:marLeft w:val="0"/>
      <w:marRight w:val="0"/>
      <w:marTop w:val="0"/>
      <w:marBottom w:val="0"/>
      <w:divBdr>
        <w:top w:val="none" w:sz="0" w:space="0" w:color="auto"/>
        <w:left w:val="none" w:sz="0" w:space="0" w:color="auto"/>
        <w:bottom w:val="none" w:sz="0" w:space="0" w:color="auto"/>
        <w:right w:val="none" w:sz="0" w:space="0" w:color="auto"/>
      </w:divBdr>
    </w:div>
    <w:div w:id="1813254009">
      <w:bodyDiv w:val="1"/>
      <w:marLeft w:val="0"/>
      <w:marRight w:val="0"/>
      <w:marTop w:val="0"/>
      <w:marBottom w:val="0"/>
      <w:divBdr>
        <w:top w:val="none" w:sz="0" w:space="0" w:color="auto"/>
        <w:left w:val="none" w:sz="0" w:space="0" w:color="auto"/>
        <w:bottom w:val="none" w:sz="0" w:space="0" w:color="auto"/>
        <w:right w:val="none" w:sz="0" w:space="0" w:color="auto"/>
      </w:divBdr>
    </w:div>
    <w:div w:id="1869098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1355D8-0F02-4BD1-9662-12484DEF5F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2071</Words>
  <Characters>11806</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13850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Justice Mutevedzi</dc:creator>
  <cp:keywords/>
  <dc:description/>
  <cp:lastModifiedBy>JSC</cp:lastModifiedBy>
  <cp:revision>2</cp:revision>
  <cp:lastPrinted>2025-03-03T17:18:00Z</cp:lastPrinted>
  <dcterms:created xsi:type="dcterms:W3CDTF">2025-03-07T10:17:00Z</dcterms:created>
  <dcterms:modified xsi:type="dcterms:W3CDTF">2025-03-07T10:17:00Z</dcterms:modified>
</cp:coreProperties>
</file>