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25D71" w14:textId="0E9993AB" w:rsidR="00F31E39" w:rsidRPr="00D10188" w:rsidRDefault="00F31E39" w:rsidP="00F31E39">
      <w:pPr>
        <w:pStyle w:val="NoSpacing"/>
        <w:jc w:val="both"/>
        <w:rPr>
          <w:b/>
          <w:szCs w:val="24"/>
        </w:rPr>
      </w:pPr>
      <w:bookmarkStart w:id="0" w:name="_GoBack"/>
      <w:bookmarkEnd w:id="0"/>
      <w:r>
        <w:rPr>
          <w:b/>
          <w:szCs w:val="24"/>
        </w:rPr>
        <w:t xml:space="preserve">UNICAF UNIVERSITY </w:t>
      </w:r>
    </w:p>
    <w:p w14:paraId="1EA7C1D9" w14:textId="77777777" w:rsidR="00F31E39" w:rsidRPr="00D10188" w:rsidRDefault="00F31E39" w:rsidP="00F31E39">
      <w:pPr>
        <w:pStyle w:val="NoSpacing"/>
        <w:jc w:val="both"/>
        <w:rPr>
          <w:b/>
          <w:szCs w:val="24"/>
        </w:rPr>
      </w:pPr>
    </w:p>
    <w:p w14:paraId="24C456CF" w14:textId="77777777" w:rsidR="00F31E39" w:rsidRPr="00AB0BB2" w:rsidRDefault="00F31E39" w:rsidP="00F31E39">
      <w:pPr>
        <w:pStyle w:val="NoSpacing"/>
        <w:jc w:val="both"/>
        <w:rPr>
          <w:b/>
          <w:szCs w:val="24"/>
          <w:lang w:val="en-ZW"/>
        </w:rPr>
      </w:pPr>
      <w:r w:rsidRPr="00D10188">
        <w:rPr>
          <w:b/>
          <w:szCs w:val="24"/>
        </w:rPr>
        <w:t>Versus</w:t>
      </w:r>
    </w:p>
    <w:p w14:paraId="1B4306C9" w14:textId="77777777" w:rsidR="00F31E39" w:rsidRPr="00D10188" w:rsidRDefault="00F31E39" w:rsidP="00F31E39">
      <w:pPr>
        <w:pStyle w:val="NoSpacing"/>
        <w:jc w:val="both"/>
        <w:rPr>
          <w:b/>
          <w:szCs w:val="24"/>
        </w:rPr>
      </w:pPr>
    </w:p>
    <w:p w14:paraId="756820B6" w14:textId="7B35E6F7" w:rsidR="00F31E39" w:rsidRPr="00D10188" w:rsidRDefault="00F31E39" w:rsidP="00F31E39">
      <w:pPr>
        <w:pStyle w:val="NoSpacing"/>
        <w:jc w:val="both"/>
        <w:rPr>
          <w:b/>
          <w:szCs w:val="24"/>
        </w:rPr>
      </w:pPr>
      <w:r>
        <w:rPr>
          <w:b/>
          <w:szCs w:val="24"/>
        </w:rPr>
        <w:t xml:space="preserve">ZIMBABWE COUNCIL FOR HIGHER EDUCATION </w:t>
      </w:r>
    </w:p>
    <w:p w14:paraId="36BBE233" w14:textId="77777777" w:rsidR="00F31E39" w:rsidRPr="00D10188" w:rsidRDefault="00F31E39" w:rsidP="00F31E39">
      <w:pPr>
        <w:pStyle w:val="NoSpacing"/>
        <w:jc w:val="both"/>
        <w:rPr>
          <w:b/>
          <w:szCs w:val="24"/>
        </w:rPr>
      </w:pPr>
    </w:p>
    <w:p w14:paraId="60E19092" w14:textId="77777777" w:rsidR="00F31E39" w:rsidRPr="00D10188" w:rsidRDefault="00F31E39" w:rsidP="00F31E39">
      <w:pPr>
        <w:pStyle w:val="NoSpacing"/>
        <w:jc w:val="both"/>
        <w:rPr>
          <w:szCs w:val="24"/>
        </w:rPr>
      </w:pPr>
      <w:r w:rsidRPr="00D10188">
        <w:rPr>
          <w:szCs w:val="24"/>
        </w:rPr>
        <w:t>IN THE HIGH COURT OF ZIMBABWE</w:t>
      </w:r>
    </w:p>
    <w:p w14:paraId="48742D45" w14:textId="1EC4FD88" w:rsidR="00F31E39" w:rsidRPr="00D10188" w:rsidRDefault="00F31E39" w:rsidP="00F31E39">
      <w:pPr>
        <w:pStyle w:val="NoSpacing"/>
        <w:jc w:val="both"/>
        <w:rPr>
          <w:szCs w:val="24"/>
        </w:rPr>
      </w:pPr>
      <w:r>
        <w:rPr>
          <w:szCs w:val="24"/>
        </w:rPr>
        <w:t>DUBE-BANDA</w:t>
      </w:r>
      <w:r w:rsidRPr="00D10188">
        <w:rPr>
          <w:szCs w:val="24"/>
        </w:rPr>
        <w:t xml:space="preserve"> J</w:t>
      </w:r>
    </w:p>
    <w:p w14:paraId="56380710" w14:textId="7F167447" w:rsidR="00F31E39" w:rsidRDefault="00F31E39" w:rsidP="00F31E39">
      <w:pPr>
        <w:pStyle w:val="NoSpacing"/>
        <w:jc w:val="both"/>
        <w:rPr>
          <w:szCs w:val="24"/>
        </w:rPr>
      </w:pPr>
      <w:r>
        <w:rPr>
          <w:szCs w:val="24"/>
        </w:rPr>
        <w:t>HARARE</w:t>
      </w:r>
      <w:r w:rsidR="000047AA">
        <w:rPr>
          <w:szCs w:val="24"/>
        </w:rPr>
        <w:t xml:space="preserve"> 1 July 2025 &amp; 1</w:t>
      </w:r>
      <w:r w:rsidR="00142B30">
        <w:rPr>
          <w:szCs w:val="24"/>
        </w:rPr>
        <w:t>3</w:t>
      </w:r>
      <w:r w:rsidR="009D0CA9">
        <w:rPr>
          <w:szCs w:val="24"/>
        </w:rPr>
        <w:t xml:space="preserve"> November</w:t>
      </w:r>
      <w:r w:rsidR="000047AA">
        <w:rPr>
          <w:szCs w:val="24"/>
        </w:rPr>
        <w:t xml:space="preserve"> 2025</w:t>
      </w:r>
    </w:p>
    <w:p w14:paraId="16066F88" w14:textId="77777777" w:rsidR="00636DBF" w:rsidRDefault="00636DBF" w:rsidP="00F31E39">
      <w:pPr>
        <w:pStyle w:val="NoSpacing"/>
        <w:jc w:val="both"/>
        <w:rPr>
          <w:szCs w:val="24"/>
        </w:rPr>
      </w:pPr>
    </w:p>
    <w:p w14:paraId="3BCEF367" w14:textId="06543036" w:rsidR="00636DBF" w:rsidRPr="00636DBF" w:rsidRDefault="00636DBF" w:rsidP="00F31E39">
      <w:pPr>
        <w:pStyle w:val="NoSpacing"/>
        <w:jc w:val="both"/>
        <w:rPr>
          <w:b/>
          <w:bCs/>
          <w:szCs w:val="24"/>
        </w:rPr>
      </w:pPr>
      <w:r w:rsidRPr="00636DBF">
        <w:rPr>
          <w:b/>
          <w:bCs/>
          <w:szCs w:val="24"/>
        </w:rPr>
        <w:t xml:space="preserve">Court application to set aside an administrative decision </w:t>
      </w:r>
    </w:p>
    <w:p w14:paraId="3E73DDC2" w14:textId="77777777" w:rsidR="00F31E39" w:rsidRPr="00D10188" w:rsidRDefault="00F31E39" w:rsidP="00F31E39">
      <w:pPr>
        <w:pStyle w:val="NoSpacing"/>
        <w:jc w:val="both"/>
        <w:rPr>
          <w:szCs w:val="24"/>
        </w:rPr>
      </w:pPr>
    </w:p>
    <w:p w14:paraId="7E0F395C" w14:textId="315E59B1" w:rsidR="00F31E39" w:rsidRPr="00D10188" w:rsidRDefault="000047AA" w:rsidP="00F31E39">
      <w:pPr>
        <w:pStyle w:val="NoSpacing"/>
        <w:jc w:val="both"/>
        <w:rPr>
          <w:szCs w:val="24"/>
        </w:rPr>
      </w:pPr>
      <w:r>
        <w:rPr>
          <w:i/>
          <w:szCs w:val="24"/>
        </w:rPr>
        <w:t xml:space="preserve">O. </w:t>
      </w:r>
      <w:proofErr w:type="spellStart"/>
      <w:r>
        <w:rPr>
          <w:i/>
          <w:szCs w:val="24"/>
        </w:rPr>
        <w:t>Kondogwe</w:t>
      </w:r>
      <w:proofErr w:type="spellEnd"/>
      <w:r>
        <w:rPr>
          <w:i/>
          <w:szCs w:val="24"/>
        </w:rPr>
        <w:t xml:space="preserve"> </w:t>
      </w:r>
      <w:r w:rsidR="00F31E39" w:rsidRPr="00D10188">
        <w:rPr>
          <w:szCs w:val="24"/>
        </w:rPr>
        <w:t>for the applicant</w:t>
      </w:r>
    </w:p>
    <w:p w14:paraId="29186F1E" w14:textId="664F8EA8" w:rsidR="00F31E39" w:rsidRPr="00D10188" w:rsidRDefault="000047AA" w:rsidP="00F31E39">
      <w:pPr>
        <w:pStyle w:val="NoSpacing"/>
        <w:jc w:val="both"/>
        <w:rPr>
          <w:szCs w:val="24"/>
        </w:rPr>
      </w:pPr>
      <w:r>
        <w:rPr>
          <w:i/>
          <w:szCs w:val="24"/>
        </w:rPr>
        <w:t>S</w:t>
      </w:r>
      <w:r w:rsidR="00AB0BB2">
        <w:rPr>
          <w:i/>
          <w:szCs w:val="24"/>
        </w:rPr>
        <w:t>.</w:t>
      </w:r>
      <w:r>
        <w:rPr>
          <w:i/>
          <w:szCs w:val="24"/>
        </w:rPr>
        <w:t xml:space="preserve"> R. </w:t>
      </w:r>
      <w:proofErr w:type="spellStart"/>
      <w:r>
        <w:rPr>
          <w:i/>
          <w:szCs w:val="24"/>
        </w:rPr>
        <w:t>Paswani</w:t>
      </w:r>
      <w:proofErr w:type="spellEnd"/>
      <w:r>
        <w:rPr>
          <w:i/>
          <w:szCs w:val="24"/>
        </w:rPr>
        <w:t xml:space="preserve"> </w:t>
      </w:r>
      <w:r w:rsidR="00F31E39" w:rsidRPr="00D10188">
        <w:rPr>
          <w:szCs w:val="24"/>
        </w:rPr>
        <w:t>for the respondent</w:t>
      </w:r>
    </w:p>
    <w:p w14:paraId="7678B226" w14:textId="4EF229DD" w:rsidR="00F31E39" w:rsidRPr="000850B2" w:rsidRDefault="00F31E39" w:rsidP="00033CB3">
      <w:pPr>
        <w:spacing w:line="360" w:lineRule="auto"/>
        <w:jc w:val="both"/>
        <w:rPr>
          <w:rFonts w:ascii="Times New Roman" w:hAnsi="Times New Roman" w:cs="Times New Roman"/>
          <w:sz w:val="24"/>
          <w:szCs w:val="24"/>
          <w:lang w:val="en-US"/>
        </w:rPr>
      </w:pPr>
      <w:r w:rsidRPr="00D10188">
        <w:rPr>
          <w:szCs w:val="24"/>
        </w:rPr>
        <w:tab/>
      </w:r>
      <w:r w:rsidR="000850B2" w:rsidRPr="000850B2">
        <w:rPr>
          <w:rFonts w:ascii="Times New Roman" w:hAnsi="Times New Roman" w:cs="Times New Roman"/>
          <w:b/>
          <w:szCs w:val="24"/>
        </w:rPr>
        <w:t>DUBE-BANDA</w:t>
      </w:r>
      <w:r w:rsidRPr="000850B2">
        <w:rPr>
          <w:rFonts w:ascii="Times New Roman" w:hAnsi="Times New Roman" w:cs="Times New Roman"/>
          <w:b/>
          <w:szCs w:val="24"/>
        </w:rPr>
        <w:t xml:space="preserve"> J:</w:t>
      </w:r>
    </w:p>
    <w:p w14:paraId="479123A4" w14:textId="54B6B236" w:rsidR="00A75B91" w:rsidRDefault="00283993" w:rsidP="00A75B9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This is </w:t>
      </w:r>
      <w:r w:rsidR="00F66000">
        <w:rPr>
          <w:rFonts w:ascii="Times New Roman" w:hAnsi="Times New Roman" w:cs="Times New Roman"/>
          <w:sz w:val="24"/>
          <w:szCs w:val="24"/>
          <w:lang w:val="en-US"/>
        </w:rPr>
        <w:t xml:space="preserve">a </w:t>
      </w:r>
      <w:r>
        <w:rPr>
          <w:rFonts w:ascii="Times New Roman" w:hAnsi="Times New Roman" w:cs="Times New Roman"/>
          <w:sz w:val="24"/>
          <w:szCs w:val="24"/>
          <w:lang w:val="en-US"/>
        </w:rPr>
        <w:t>court application to set aside an administrative decision in terms of s 4 of the Administrative Justice Act [</w:t>
      </w:r>
      <w:r w:rsidRPr="00094752">
        <w:rPr>
          <w:rFonts w:ascii="Times New Roman" w:hAnsi="Times New Roman" w:cs="Times New Roman"/>
          <w:i/>
          <w:iCs/>
          <w:sz w:val="24"/>
          <w:szCs w:val="24"/>
          <w:lang w:val="en-US"/>
        </w:rPr>
        <w:t>Chapter 10:28</w:t>
      </w:r>
      <w:r>
        <w:rPr>
          <w:rFonts w:ascii="Times New Roman" w:hAnsi="Times New Roman" w:cs="Times New Roman"/>
          <w:sz w:val="24"/>
          <w:szCs w:val="24"/>
          <w:lang w:val="en-US"/>
        </w:rPr>
        <w:t>].</w:t>
      </w:r>
    </w:p>
    <w:p w14:paraId="45D1A782" w14:textId="5A06B5C9" w:rsidR="00D13BE1" w:rsidRDefault="00A75B91" w:rsidP="0094675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applicant </w:t>
      </w:r>
      <w:r w:rsidR="00EA302D">
        <w:rPr>
          <w:rFonts w:ascii="Times New Roman" w:hAnsi="Times New Roman" w:cs="Times New Roman"/>
          <w:sz w:val="24"/>
          <w:szCs w:val="24"/>
          <w:lang w:val="en-US"/>
        </w:rPr>
        <w:t>(“</w:t>
      </w:r>
      <w:r w:rsidR="00892804">
        <w:rPr>
          <w:rFonts w:ascii="Times New Roman" w:hAnsi="Times New Roman" w:cs="Times New Roman"/>
          <w:sz w:val="24"/>
          <w:szCs w:val="24"/>
          <w:lang w:val="en-US"/>
        </w:rPr>
        <w:t>U</w:t>
      </w:r>
      <w:r w:rsidR="00EA302D">
        <w:rPr>
          <w:rFonts w:ascii="Times New Roman" w:hAnsi="Times New Roman" w:cs="Times New Roman"/>
          <w:sz w:val="24"/>
          <w:szCs w:val="24"/>
          <w:lang w:val="en-US"/>
        </w:rPr>
        <w:t xml:space="preserve">NICAF”) </w:t>
      </w:r>
      <w:r>
        <w:rPr>
          <w:rFonts w:ascii="Times New Roman" w:hAnsi="Times New Roman" w:cs="Times New Roman"/>
          <w:sz w:val="24"/>
          <w:szCs w:val="24"/>
          <w:lang w:val="en-US"/>
        </w:rPr>
        <w:t>describes itself as a pan-Africa</w:t>
      </w:r>
      <w:r w:rsidR="008037D8">
        <w:rPr>
          <w:rFonts w:ascii="Times New Roman" w:hAnsi="Times New Roman" w:cs="Times New Roman"/>
          <w:sz w:val="24"/>
          <w:szCs w:val="24"/>
          <w:lang w:val="en-US"/>
        </w:rPr>
        <w:t>n</w:t>
      </w:r>
      <w:r>
        <w:rPr>
          <w:rFonts w:ascii="Times New Roman" w:hAnsi="Times New Roman" w:cs="Times New Roman"/>
          <w:sz w:val="24"/>
          <w:szCs w:val="24"/>
          <w:lang w:val="en-US"/>
        </w:rPr>
        <w:t>, independent, internationally recognized University licensed in various countries</w:t>
      </w:r>
      <w:r w:rsidR="001409A9">
        <w:rPr>
          <w:rFonts w:ascii="Times New Roman" w:hAnsi="Times New Roman" w:cs="Times New Roman"/>
          <w:sz w:val="24"/>
          <w:szCs w:val="24"/>
          <w:lang w:val="en-US"/>
        </w:rPr>
        <w:t>,</w:t>
      </w:r>
      <w:r>
        <w:rPr>
          <w:rFonts w:ascii="Times New Roman" w:hAnsi="Times New Roman" w:cs="Times New Roman"/>
          <w:sz w:val="24"/>
          <w:szCs w:val="24"/>
          <w:lang w:val="en-US"/>
        </w:rPr>
        <w:t xml:space="preserve"> with its headquarters in Cyprus. The respondent</w:t>
      </w:r>
      <w:r w:rsidR="00246392">
        <w:rPr>
          <w:rFonts w:ascii="Times New Roman" w:hAnsi="Times New Roman" w:cs="Times New Roman"/>
          <w:sz w:val="24"/>
          <w:szCs w:val="24"/>
          <w:lang w:val="en-US"/>
        </w:rPr>
        <w:t xml:space="preserve"> (Council)</w:t>
      </w:r>
      <w:r>
        <w:rPr>
          <w:rFonts w:ascii="Times New Roman" w:hAnsi="Times New Roman" w:cs="Times New Roman"/>
          <w:sz w:val="24"/>
          <w:szCs w:val="24"/>
          <w:lang w:val="en-US"/>
        </w:rPr>
        <w:t xml:space="preserve"> </w:t>
      </w:r>
      <w:r w:rsidR="00C768A4">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a </w:t>
      </w:r>
      <w:r w:rsidR="00D13BE1">
        <w:rPr>
          <w:rFonts w:ascii="Times New Roman" w:hAnsi="Times New Roman" w:cs="Times New Roman"/>
          <w:sz w:val="24"/>
          <w:szCs w:val="24"/>
          <w:lang w:val="en-US"/>
        </w:rPr>
        <w:t xml:space="preserve">corporate </w:t>
      </w:r>
      <w:r>
        <w:rPr>
          <w:rFonts w:ascii="Times New Roman" w:hAnsi="Times New Roman" w:cs="Times New Roman"/>
          <w:sz w:val="24"/>
          <w:szCs w:val="24"/>
          <w:lang w:val="en-US"/>
        </w:rPr>
        <w:t>body</w:t>
      </w:r>
      <w:r w:rsidR="00D13BE1">
        <w:rPr>
          <w:rFonts w:ascii="Times New Roman" w:hAnsi="Times New Roman" w:cs="Times New Roman"/>
          <w:sz w:val="24"/>
          <w:szCs w:val="24"/>
          <w:lang w:val="en-US"/>
        </w:rPr>
        <w:t>, capable of suing and being sued in its name, responsible</w:t>
      </w:r>
      <w:r>
        <w:rPr>
          <w:rFonts w:ascii="Times New Roman" w:hAnsi="Times New Roman" w:cs="Times New Roman"/>
          <w:sz w:val="24"/>
          <w:szCs w:val="24"/>
          <w:lang w:val="en-US"/>
        </w:rPr>
        <w:t xml:space="preserve"> for </w:t>
      </w:r>
      <w:r w:rsidR="00B718AA">
        <w:rPr>
          <w:rFonts w:ascii="Times New Roman" w:hAnsi="Times New Roman" w:cs="Times New Roman"/>
          <w:sz w:val="24"/>
          <w:szCs w:val="24"/>
          <w:lang w:val="en-US"/>
        </w:rPr>
        <w:t xml:space="preserve">the </w:t>
      </w:r>
      <w:r>
        <w:rPr>
          <w:rFonts w:ascii="Times New Roman" w:hAnsi="Times New Roman" w:cs="Times New Roman"/>
          <w:sz w:val="24"/>
          <w:szCs w:val="24"/>
          <w:lang w:val="en-US"/>
        </w:rPr>
        <w:t>registration and accreditation of institutions of higher educatio</w:t>
      </w:r>
      <w:r w:rsidR="00D13BE1">
        <w:rPr>
          <w:rFonts w:ascii="Times New Roman" w:hAnsi="Times New Roman" w:cs="Times New Roman"/>
          <w:sz w:val="24"/>
          <w:szCs w:val="24"/>
          <w:lang w:val="en-US"/>
        </w:rPr>
        <w:t>n in Zimbabwe</w:t>
      </w:r>
    </w:p>
    <w:p w14:paraId="495F7961" w14:textId="79825351" w:rsidR="003749A6" w:rsidRDefault="00D13BE1" w:rsidP="0094675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A75B91">
        <w:rPr>
          <w:rFonts w:ascii="Times New Roman" w:hAnsi="Times New Roman" w:cs="Times New Roman"/>
          <w:sz w:val="24"/>
          <w:szCs w:val="24"/>
          <w:lang w:val="en-US"/>
        </w:rPr>
        <w:t xml:space="preserve"> </w:t>
      </w:r>
      <w:r w:rsidR="00EB14A2">
        <w:rPr>
          <w:rFonts w:ascii="Times New Roman" w:hAnsi="Times New Roman" w:cs="Times New Roman"/>
          <w:sz w:val="24"/>
          <w:szCs w:val="24"/>
          <w:lang w:val="en-US"/>
        </w:rPr>
        <w:t>The applicant seeks an order</w:t>
      </w:r>
      <w:r w:rsidR="004C4B56">
        <w:rPr>
          <w:rFonts w:ascii="Times New Roman" w:hAnsi="Times New Roman" w:cs="Times New Roman"/>
          <w:sz w:val="24"/>
          <w:szCs w:val="24"/>
          <w:lang w:val="en-US"/>
        </w:rPr>
        <w:t xml:space="preserve"> in terms of s4 of the Administrative Justice Act. The order sought is</w:t>
      </w:r>
      <w:r w:rsidR="00EB14A2">
        <w:rPr>
          <w:rFonts w:ascii="Times New Roman" w:hAnsi="Times New Roman" w:cs="Times New Roman"/>
          <w:sz w:val="24"/>
          <w:szCs w:val="24"/>
          <w:lang w:val="en-US"/>
        </w:rPr>
        <w:t xml:space="preserve"> couched as follows</w:t>
      </w:r>
      <w:r w:rsidR="00283993">
        <w:rPr>
          <w:rFonts w:ascii="Times New Roman" w:hAnsi="Times New Roman" w:cs="Times New Roman"/>
          <w:sz w:val="24"/>
          <w:szCs w:val="24"/>
          <w:lang w:val="en-US"/>
        </w:rPr>
        <w:t>:</w:t>
      </w:r>
    </w:p>
    <w:p w14:paraId="3D32643E" w14:textId="0507D52B" w:rsidR="00EB14A2" w:rsidRDefault="00283993" w:rsidP="00EB14A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w:t>
      </w:r>
      <w:r w:rsidR="00EB14A2">
        <w:rPr>
          <w:rFonts w:ascii="Times New Roman" w:hAnsi="Times New Roman" w:cs="Times New Roman"/>
          <w:sz w:val="24"/>
          <w:szCs w:val="24"/>
          <w:lang w:val="en-US"/>
        </w:rPr>
        <w:t xml:space="preserve"> decision of the respondent dated 15 November 2022 refusing to renew the applicant’s provisional registration licence be declared unlawful and is hereby set aside. </w:t>
      </w:r>
    </w:p>
    <w:p w14:paraId="355A1B77" w14:textId="422B449E" w:rsidR="00EB14A2" w:rsidRDefault="00283993" w:rsidP="00EB14A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w:t>
      </w:r>
      <w:r w:rsidR="00EB14A2">
        <w:rPr>
          <w:rFonts w:ascii="Times New Roman" w:hAnsi="Times New Roman" w:cs="Times New Roman"/>
          <w:sz w:val="24"/>
          <w:szCs w:val="24"/>
          <w:lang w:val="en-US"/>
        </w:rPr>
        <w:t xml:space="preserve">he respondent be and is hereby ordered to issue </w:t>
      </w:r>
      <w:r w:rsidR="001409A9">
        <w:rPr>
          <w:rFonts w:ascii="Times New Roman" w:hAnsi="Times New Roman" w:cs="Times New Roman"/>
          <w:sz w:val="24"/>
          <w:szCs w:val="24"/>
          <w:lang w:val="en-US"/>
        </w:rPr>
        <w:t xml:space="preserve">the </w:t>
      </w:r>
      <w:r w:rsidR="00EB14A2">
        <w:rPr>
          <w:rFonts w:ascii="Times New Roman" w:hAnsi="Times New Roman" w:cs="Times New Roman"/>
          <w:sz w:val="24"/>
          <w:szCs w:val="24"/>
          <w:lang w:val="en-US"/>
        </w:rPr>
        <w:t xml:space="preserve">applicant with a provisional registration licence in terms of s 11 of the Zimbabwe Council </w:t>
      </w:r>
      <w:r w:rsidR="00051662">
        <w:rPr>
          <w:rFonts w:ascii="Times New Roman" w:hAnsi="Times New Roman" w:cs="Times New Roman"/>
          <w:sz w:val="24"/>
          <w:szCs w:val="24"/>
          <w:lang w:val="en-US"/>
        </w:rPr>
        <w:t>for Higher Education Act [</w:t>
      </w:r>
      <w:r w:rsidR="00051662" w:rsidRPr="00DA241F">
        <w:rPr>
          <w:rFonts w:ascii="Times New Roman" w:hAnsi="Times New Roman" w:cs="Times New Roman"/>
          <w:i/>
          <w:iCs/>
          <w:sz w:val="24"/>
          <w:szCs w:val="24"/>
          <w:lang w:val="en-US"/>
        </w:rPr>
        <w:t>Chapter 25:27</w:t>
      </w:r>
      <w:r w:rsidR="00051662">
        <w:rPr>
          <w:rFonts w:ascii="Times New Roman" w:hAnsi="Times New Roman" w:cs="Times New Roman"/>
          <w:sz w:val="24"/>
          <w:szCs w:val="24"/>
          <w:lang w:val="en-US"/>
        </w:rPr>
        <w:t xml:space="preserve">] within 14 days of </w:t>
      </w:r>
      <w:r w:rsidR="001409A9">
        <w:rPr>
          <w:rFonts w:ascii="Times New Roman" w:hAnsi="Times New Roman" w:cs="Times New Roman"/>
          <w:sz w:val="24"/>
          <w:szCs w:val="24"/>
          <w:lang w:val="en-US"/>
        </w:rPr>
        <w:t xml:space="preserve">the </w:t>
      </w:r>
      <w:r w:rsidR="00051662">
        <w:rPr>
          <w:rFonts w:ascii="Times New Roman" w:hAnsi="Times New Roman" w:cs="Times New Roman"/>
          <w:sz w:val="24"/>
          <w:szCs w:val="24"/>
          <w:lang w:val="en-US"/>
        </w:rPr>
        <w:t xml:space="preserve">granting of this order. </w:t>
      </w:r>
    </w:p>
    <w:p w14:paraId="098767B9" w14:textId="7B2CF3B5" w:rsidR="00051662" w:rsidRDefault="00C30510" w:rsidP="00EB14A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i</w:t>
      </w:r>
      <w:r w:rsidR="00051662">
        <w:rPr>
          <w:rFonts w:ascii="Times New Roman" w:hAnsi="Times New Roman" w:cs="Times New Roman"/>
          <w:sz w:val="24"/>
          <w:szCs w:val="24"/>
          <w:lang w:val="en-US"/>
        </w:rPr>
        <w:t xml:space="preserve">n the event of failure by </w:t>
      </w:r>
      <w:r w:rsidR="001409A9">
        <w:rPr>
          <w:rFonts w:ascii="Times New Roman" w:hAnsi="Times New Roman" w:cs="Times New Roman"/>
          <w:sz w:val="24"/>
          <w:szCs w:val="24"/>
          <w:lang w:val="en-US"/>
        </w:rPr>
        <w:t xml:space="preserve">the </w:t>
      </w:r>
      <w:r w:rsidR="00051662">
        <w:rPr>
          <w:rFonts w:ascii="Times New Roman" w:hAnsi="Times New Roman" w:cs="Times New Roman"/>
          <w:sz w:val="24"/>
          <w:szCs w:val="24"/>
          <w:lang w:val="en-US"/>
        </w:rPr>
        <w:t xml:space="preserve">respondent to comply with paragraph 2 above, the provisional registration licence shall be deemed to have been granted. </w:t>
      </w:r>
    </w:p>
    <w:p w14:paraId="1276EE20" w14:textId="751559F4" w:rsidR="00051662" w:rsidRDefault="00051662" w:rsidP="00EB14A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Respondent shall pay costs. </w:t>
      </w:r>
    </w:p>
    <w:p w14:paraId="36258D36" w14:textId="684EDEB9" w:rsidR="00E84D7E" w:rsidRDefault="00CD74A5" w:rsidP="00E84D7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C4B56">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E84D7E">
        <w:rPr>
          <w:rFonts w:ascii="Times New Roman" w:hAnsi="Times New Roman" w:cs="Times New Roman"/>
          <w:sz w:val="24"/>
          <w:szCs w:val="24"/>
          <w:lang w:val="en-US"/>
        </w:rPr>
        <w:t xml:space="preserve">The application is opposed. </w:t>
      </w:r>
    </w:p>
    <w:p w14:paraId="6A3BC2DA" w14:textId="28E511B3" w:rsidR="004001C7" w:rsidRPr="00142B30" w:rsidRDefault="004001C7" w:rsidP="00E84D7E">
      <w:pPr>
        <w:spacing w:after="0" w:line="360" w:lineRule="auto"/>
        <w:jc w:val="both"/>
        <w:rPr>
          <w:rFonts w:ascii="Times New Roman" w:hAnsi="Times New Roman" w:cs="Times New Roman"/>
          <w:b/>
          <w:bCs/>
          <w:sz w:val="24"/>
          <w:szCs w:val="24"/>
          <w:u w:val="single"/>
          <w:lang w:val="en-US"/>
        </w:rPr>
      </w:pPr>
      <w:r w:rsidRPr="00142B30">
        <w:rPr>
          <w:rFonts w:ascii="Times New Roman" w:hAnsi="Times New Roman" w:cs="Times New Roman"/>
          <w:b/>
          <w:bCs/>
          <w:sz w:val="24"/>
          <w:szCs w:val="24"/>
          <w:u w:val="single"/>
          <w:lang w:val="en-US"/>
        </w:rPr>
        <w:t xml:space="preserve">Factual background </w:t>
      </w:r>
    </w:p>
    <w:p w14:paraId="1CC72719" w14:textId="4ABBDB13" w:rsidR="00E84D7E" w:rsidRDefault="00E84D7E" w:rsidP="00E84D7E">
      <w:pPr>
        <w:spacing w:after="0" w:line="360" w:lineRule="auto"/>
        <w:jc w:val="both"/>
        <w:rPr>
          <w:rFonts w:ascii="Times New Roman" w:hAnsi="Times New Roman" w:cs="Times New Roman"/>
          <w:sz w:val="24"/>
          <w:szCs w:val="24"/>
          <w:lang w:val="en-US"/>
        </w:rPr>
      </w:pPr>
      <w:r w:rsidRPr="00E84D7E">
        <w:rPr>
          <w:rFonts w:ascii="Times New Roman" w:hAnsi="Times New Roman" w:cs="Times New Roman"/>
          <w:sz w:val="24"/>
          <w:szCs w:val="24"/>
          <w:lang w:val="en-US"/>
        </w:rPr>
        <w:lastRenderedPageBreak/>
        <w:t>[</w:t>
      </w:r>
      <w:r w:rsidR="00A9042F">
        <w:rPr>
          <w:rFonts w:ascii="Times New Roman" w:hAnsi="Times New Roman" w:cs="Times New Roman"/>
          <w:sz w:val="24"/>
          <w:szCs w:val="24"/>
          <w:lang w:val="en-US"/>
        </w:rPr>
        <w:t>5</w:t>
      </w:r>
      <w:r w:rsidRPr="00E84D7E">
        <w:rPr>
          <w:rFonts w:ascii="Times New Roman" w:hAnsi="Times New Roman" w:cs="Times New Roman"/>
          <w:sz w:val="24"/>
          <w:szCs w:val="24"/>
          <w:lang w:val="en-US"/>
        </w:rPr>
        <w:t xml:space="preserve">] </w:t>
      </w:r>
      <w:r w:rsidR="00B55D28">
        <w:rPr>
          <w:rFonts w:ascii="Times New Roman" w:hAnsi="Times New Roman" w:cs="Times New Roman"/>
          <w:sz w:val="24"/>
          <w:szCs w:val="24"/>
          <w:lang w:val="en-US"/>
        </w:rPr>
        <w:t xml:space="preserve">In summary, the background to this matter is the following. </w:t>
      </w:r>
      <w:r w:rsidR="004C4B56">
        <w:rPr>
          <w:rFonts w:ascii="Times New Roman" w:hAnsi="Times New Roman" w:cs="Times New Roman"/>
          <w:sz w:val="24"/>
          <w:szCs w:val="24"/>
          <w:lang w:val="en-US"/>
        </w:rPr>
        <w:t xml:space="preserve">The applicant </w:t>
      </w:r>
      <w:r w:rsidR="004001C7">
        <w:rPr>
          <w:rFonts w:ascii="Times New Roman" w:hAnsi="Times New Roman" w:cs="Times New Roman"/>
          <w:sz w:val="24"/>
          <w:szCs w:val="24"/>
          <w:lang w:val="en-US"/>
        </w:rPr>
        <w:t xml:space="preserve">is a </w:t>
      </w:r>
      <w:r w:rsidR="006E57A9">
        <w:rPr>
          <w:rFonts w:ascii="Times New Roman" w:hAnsi="Times New Roman" w:cs="Times New Roman"/>
          <w:sz w:val="24"/>
          <w:szCs w:val="24"/>
          <w:lang w:val="en-US"/>
        </w:rPr>
        <w:t>University</w:t>
      </w:r>
      <w:r w:rsidR="004001C7">
        <w:rPr>
          <w:rFonts w:ascii="Times New Roman" w:hAnsi="Times New Roman" w:cs="Times New Roman"/>
          <w:sz w:val="24"/>
          <w:szCs w:val="24"/>
          <w:lang w:val="en-US"/>
        </w:rPr>
        <w:t xml:space="preserve">, and on 20 September 2018, it </w:t>
      </w:r>
      <w:r w:rsidR="004C4B56">
        <w:rPr>
          <w:rFonts w:ascii="Times New Roman" w:hAnsi="Times New Roman" w:cs="Times New Roman"/>
          <w:sz w:val="24"/>
          <w:szCs w:val="24"/>
          <w:lang w:val="en-US"/>
        </w:rPr>
        <w:t>applied for a provisional registration licence in terms of the provisions of the Zimbabwe Council of Higher Education Act [</w:t>
      </w:r>
      <w:r w:rsidR="004C4B56" w:rsidRPr="00EE639E">
        <w:rPr>
          <w:rFonts w:ascii="Times New Roman" w:hAnsi="Times New Roman" w:cs="Times New Roman"/>
          <w:i/>
          <w:iCs/>
          <w:sz w:val="24"/>
          <w:szCs w:val="24"/>
          <w:lang w:val="en-US"/>
        </w:rPr>
        <w:t>Chapter 25:27</w:t>
      </w:r>
      <w:r w:rsidR="004C4B56">
        <w:rPr>
          <w:rFonts w:ascii="Times New Roman" w:hAnsi="Times New Roman" w:cs="Times New Roman"/>
          <w:sz w:val="24"/>
          <w:szCs w:val="24"/>
          <w:lang w:val="en-US"/>
        </w:rPr>
        <w:t>] (“</w:t>
      </w:r>
      <w:r w:rsidR="00BD0CD3">
        <w:rPr>
          <w:rFonts w:ascii="Times New Roman" w:hAnsi="Times New Roman" w:cs="Times New Roman"/>
          <w:sz w:val="24"/>
          <w:szCs w:val="24"/>
          <w:lang w:val="en-US"/>
        </w:rPr>
        <w:t xml:space="preserve">the </w:t>
      </w:r>
      <w:r w:rsidR="004C4B56">
        <w:rPr>
          <w:rFonts w:ascii="Times New Roman" w:hAnsi="Times New Roman" w:cs="Times New Roman"/>
          <w:sz w:val="24"/>
          <w:szCs w:val="24"/>
          <w:lang w:val="en-US"/>
        </w:rPr>
        <w:t xml:space="preserve">Act”).  </w:t>
      </w:r>
      <w:r w:rsidR="00D474DF">
        <w:rPr>
          <w:rFonts w:ascii="Times New Roman" w:hAnsi="Times New Roman" w:cs="Times New Roman"/>
          <w:sz w:val="24"/>
          <w:szCs w:val="24"/>
          <w:lang w:val="en-US"/>
        </w:rPr>
        <w:t xml:space="preserve">On 10 October 2019, </w:t>
      </w:r>
      <w:r w:rsidR="004C4B56">
        <w:rPr>
          <w:rFonts w:ascii="Times New Roman" w:hAnsi="Times New Roman" w:cs="Times New Roman"/>
          <w:sz w:val="24"/>
          <w:szCs w:val="24"/>
          <w:lang w:val="en-US"/>
        </w:rPr>
        <w:t>and in terms of s11 of the Act</w:t>
      </w:r>
      <w:r w:rsidR="005E7DD3">
        <w:rPr>
          <w:rFonts w:ascii="Times New Roman" w:hAnsi="Times New Roman" w:cs="Times New Roman"/>
          <w:sz w:val="24"/>
          <w:szCs w:val="24"/>
          <w:lang w:val="en-US"/>
        </w:rPr>
        <w:t>,</w:t>
      </w:r>
      <w:r w:rsidR="004C4B56">
        <w:rPr>
          <w:rFonts w:ascii="Times New Roman" w:hAnsi="Times New Roman" w:cs="Times New Roman"/>
          <w:sz w:val="24"/>
          <w:szCs w:val="24"/>
          <w:lang w:val="en-US"/>
        </w:rPr>
        <w:t xml:space="preserve"> </w:t>
      </w:r>
      <w:r w:rsidR="00A75B91">
        <w:rPr>
          <w:rFonts w:ascii="Times New Roman" w:hAnsi="Times New Roman" w:cs="Times New Roman"/>
          <w:sz w:val="24"/>
          <w:szCs w:val="24"/>
          <w:lang w:val="en-US"/>
        </w:rPr>
        <w:t>the respo</w:t>
      </w:r>
      <w:r w:rsidR="00514CC3">
        <w:rPr>
          <w:rFonts w:ascii="Times New Roman" w:hAnsi="Times New Roman" w:cs="Times New Roman"/>
          <w:sz w:val="24"/>
          <w:szCs w:val="24"/>
          <w:lang w:val="en-US"/>
        </w:rPr>
        <w:t xml:space="preserve">ndent granted the applicant a </w:t>
      </w:r>
      <w:r w:rsidR="0094675D">
        <w:rPr>
          <w:rFonts w:ascii="Times New Roman" w:hAnsi="Times New Roman" w:cs="Times New Roman"/>
          <w:sz w:val="24"/>
          <w:szCs w:val="24"/>
          <w:lang w:val="en-US"/>
        </w:rPr>
        <w:t>two-year</w:t>
      </w:r>
      <w:r w:rsidR="00514CC3">
        <w:rPr>
          <w:rFonts w:ascii="Times New Roman" w:hAnsi="Times New Roman" w:cs="Times New Roman"/>
          <w:sz w:val="24"/>
          <w:szCs w:val="24"/>
          <w:lang w:val="en-US"/>
        </w:rPr>
        <w:t xml:space="preserve"> provisional </w:t>
      </w:r>
      <w:r w:rsidR="004C4B56">
        <w:rPr>
          <w:rFonts w:ascii="Times New Roman" w:hAnsi="Times New Roman" w:cs="Times New Roman"/>
          <w:sz w:val="24"/>
          <w:szCs w:val="24"/>
          <w:lang w:val="en-US"/>
        </w:rPr>
        <w:t>registration</w:t>
      </w:r>
      <w:r w:rsidR="00514CC3">
        <w:rPr>
          <w:rFonts w:ascii="Times New Roman" w:hAnsi="Times New Roman" w:cs="Times New Roman"/>
          <w:sz w:val="24"/>
          <w:szCs w:val="24"/>
          <w:lang w:val="en-US"/>
        </w:rPr>
        <w:t xml:space="preserve"> </w:t>
      </w:r>
      <w:r w:rsidR="00A9042F">
        <w:rPr>
          <w:rFonts w:ascii="Times New Roman" w:hAnsi="Times New Roman" w:cs="Times New Roman"/>
          <w:sz w:val="24"/>
          <w:szCs w:val="24"/>
          <w:lang w:val="en-US"/>
        </w:rPr>
        <w:t>certificate</w:t>
      </w:r>
      <w:r w:rsidR="00514CC3">
        <w:rPr>
          <w:rFonts w:ascii="Times New Roman" w:hAnsi="Times New Roman" w:cs="Times New Roman"/>
          <w:sz w:val="24"/>
          <w:szCs w:val="24"/>
          <w:lang w:val="en-US"/>
        </w:rPr>
        <w:t xml:space="preserve">. </w:t>
      </w:r>
      <w:r w:rsidR="00692C41">
        <w:rPr>
          <w:rFonts w:ascii="Times New Roman" w:hAnsi="Times New Roman" w:cs="Times New Roman"/>
          <w:sz w:val="24"/>
          <w:szCs w:val="24"/>
          <w:lang w:val="en-US"/>
        </w:rPr>
        <w:t xml:space="preserve"> </w:t>
      </w:r>
      <w:r w:rsidR="00A9042F">
        <w:rPr>
          <w:rFonts w:ascii="Times New Roman" w:hAnsi="Times New Roman" w:cs="Times New Roman"/>
          <w:sz w:val="24"/>
          <w:szCs w:val="24"/>
          <w:lang w:val="en-US"/>
        </w:rPr>
        <w:t xml:space="preserve">The </w:t>
      </w:r>
      <w:r w:rsidR="00692C41">
        <w:rPr>
          <w:rFonts w:ascii="Times New Roman" w:hAnsi="Times New Roman" w:cs="Times New Roman"/>
          <w:sz w:val="24"/>
          <w:szCs w:val="24"/>
          <w:lang w:val="en-US"/>
        </w:rPr>
        <w:t xml:space="preserve">provisional registration </w:t>
      </w:r>
      <w:r w:rsidR="00A9042F">
        <w:rPr>
          <w:rFonts w:ascii="Times New Roman" w:hAnsi="Times New Roman" w:cs="Times New Roman"/>
          <w:sz w:val="24"/>
          <w:szCs w:val="24"/>
          <w:lang w:val="en-US"/>
        </w:rPr>
        <w:t xml:space="preserve">certificate </w:t>
      </w:r>
      <w:r w:rsidR="00692C41">
        <w:rPr>
          <w:rFonts w:ascii="Times New Roman" w:hAnsi="Times New Roman" w:cs="Times New Roman"/>
          <w:sz w:val="24"/>
          <w:szCs w:val="24"/>
          <w:lang w:val="en-US"/>
        </w:rPr>
        <w:t>was granted on the following conditions:</w:t>
      </w:r>
    </w:p>
    <w:p w14:paraId="666D6A0B" w14:textId="0AE093BF" w:rsidR="00692C41" w:rsidRDefault="00692C41" w:rsidP="00692C41">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applicant proceeds to apply for the accreditation of the programmes it intends to offer in Zimbabwe.</w:t>
      </w:r>
    </w:p>
    <w:p w14:paraId="1E28F11E" w14:textId="3E051B83" w:rsidR="00692C41" w:rsidRDefault="00692C41" w:rsidP="00692C41">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applicant demonstrates evidence of the promised investment in Open Distance electronic</w:t>
      </w:r>
      <w:r w:rsidR="00A9042F">
        <w:rPr>
          <w:rFonts w:ascii="Times New Roman" w:hAnsi="Times New Roman" w:cs="Times New Roman"/>
          <w:sz w:val="24"/>
          <w:szCs w:val="24"/>
          <w:lang w:val="en-US"/>
        </w:rPr>
        <w:t xml:space="preserve"> Learning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ODeL</w:t>
      </w:r>
      <w:proofErr w:type="spellEnd"/>
      <w:r>
        <w:rPr>
          <w:rFonts w:ascii="Times New Roman" w:hAnsi="Times New Roman" w:cs="Times New Roman"/>
          <w:sz w:val="24"/>
          <w:szCs w:val="24"/>
          <w:lang w:val="en-US"/>
        </w:rPr>
        <w:t>) infrastructure.</w:t>
      </w:r>
    </w:p>
    <w:p w14:paraId="07465086" w14:textId="6E7B1186" w:rsidR="00692C41" w:rsidRDefault="00692C41" w:rsidP="00692C41">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applicant works together with the Zimbabwe Open University (ZOU) so as </w:t>
      </w:r>
      <w:r w:rsidR="00AD32F4">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eliminate </w:t>
      </w:r>
      <w:r w:rsidR="00CD6FC9">
        <w:rPr>
          <w:rFonts w:ascii="Times New Roman" w:hAnsi="Times New Roman" w:cs="Times New Roman"/>
          <w:sz w:val="24"/>
          <w:szCs w:val="24"/>
          <w:lang w:val="en-US"/>
        </w:rPr>
        <w:t>negative competition.</w:t>
      </w:r>
    </w:p>
    <w:p w14:paraId="07E7A82D" w14:textId="5BE7C275" w:rsidR="00CD6FC9" w:rsidRPr="00B55D28" w:rsidRDefault="00CD6FC9" w:rsidP="00CD6FC9">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applicant assists ZOU in developing its institutional capacity in all aspects of </w:t>
      </w:r>
      <w:proofErr w:type="spellStart"/>
      <w:r>
        <w:rPr>
          <w:rFonts w:ascii="Times New Roman" w:hAnsi="Times New Roman" w:cs="Times New Roman"/>
          <w:sz w:val="24"/>
          <w:szCs w:val="24"/>
          <w:lang w:val="en-US"/>
        </w:rPr>
        <w:t>ODeL</w:t>
      </w:r>
      <w:proofErr w:type="spellEnd"/>
      <w:r>
        <w:rPr>
          <w:rFonts w:ascii="Times New Roman" w:hAnsi="Times New Roman" w:cs="Times New Roman"/>
          <w:sz w:val="24"/>
          <w:szCs w:val="24"/>
          <w:lang w:val="en-US"/>
        </w:rPr>
        <w:t xml:space="preserve">. </w:t>
      </w:r>
    </w:p>
    <w:p w14:paraId="60BEC73C" w14:textId="0A53E6B9" w:rsidR="00B55D28" w:rsidRDefault="00CD6FC9" w:rsidP="00E84D7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9042F">
        <w:rPr>
          <w:rFonts w:ascii="Times New Roman" w:hAnsi="Times New Roman" w:cs="Times New Roman"/>
          <w:sz w:val="24"/>
          <w:szCs w:val="24"/>
          <w:lang w:val="en-US"/>
        </w:rPr>
        <w:t>6</w:t>
      </w:r>
      <w:r w:rsidR="0026614C">
        <w:rPr>
          <w:rFonts w:ascii="Times New Roman" w:hAnsi="Times New Roman" w:cs="Times New Roman"/>
          <w:sz w:val="24"/>
          <w:szCs w:val="24"/>
          <w:lang w:val="en-US"/>
        </w:rPr>
        <w:t xml:space="preserve">] </w:t>
      </w:r>
      <w:r w:rsidR="007C2500">
        <w:rPr>
          <w:rFonts w:ascii="Times New Roman" w:hAnsi="Times New Roman" w:cs="Times New Roman"/>
          <w:sz w:val="24"/>
          <w:szCs w:val="24"/>
          <w:lang w:val="en-US"/>
        </w:rPr>
        <w:t xml:space="preserve">In addition, it was a condition of the provisional registration that once the conditions </w:t>
      </w:r>
      <w:r w:rsidR="001B4E6E">
        <w:rPr>
          <w:rFonts w:ascii="Times New Roman" w:hAnsi="Times New Roman" w:cs="Times New Roman"/>
          <w:sz w:val="24"/>
          <w:szCs w:val="24"/>
          <w:lang w:val="en-US"/>
        </w:rPr>
        <w:t xml:space="preserve">had </w:t>
      </w:r>
      <w:r w:rsidR="007C2500">
        <w:rPr>
          <w:rFonts w:ascii="Times New Roman" w:hAnsi="Times New Roman" w:cs="Times New Roman"/>
          <w:sz w:val="24"/>
          <w:szCs w:val="24"/>
          <w:lang w:val="en-US"/>
        </w:rPr>
        <w:t xml:space="preserve">been met, the applicant was expected to apply for full registration either at the expiry or during the subsistence of the provisional registration. </w:t>
      </w:r>
      <w:r w:rsidR="0026614C">
        <w:rPr>
          <w:rFonts w:ascii="Times New Roman" w:hAnsi="Times New Roman" w:cs="Times New Roman"/>
          <w:sz w:val="24"/>
          <w:szCs w:val="24"/>
          <w:lang w:val="en-US"/>
        </w:rPr>
        <w:t xml:space="preserve"> </w:t>
      </w:r>
      <w:r w:rsidR="007C2500">
        <w:rPr>
          <w:rFonts w:ascii="Times New Roman" w:hAnsi="Times New Roman" w:cs="Times New Roman"/>
          <w:sz w:val="24"/>
          <w:szCs w:val="24"/>
          <w:lang w:val="en-US"/>
        </w:rPr>
        <w:t xml:space="preserve">The provisional registration expired on 9 October 2021. </w:t>
      </w:r>
      <w:r>
        <w:rPr>
          <w:rFonts w:ascii="Times New Roman" w:hAnsi="Times New Roman" w:cs="Times New Roman"/>
          <w:sz w:val="24"/>
          <w:szCs w:val="24"/>
          <w:lang w:val="en-US"/>
        </w:rPr>
        <w:t xml:space="preserve"> </w:t>
      </w:r>
      <w:r w:rsidR="00EA302D">
        <w:rPr>
          <w:rFonts w:ascii="Times New Roman" w:hAnsi="Times New Roman" w:cs="Times New Roman"/>
          <w:sz w:val="24"/>
          <w:szCs w:val="24"/>
          <w:lang w:val="en-US"/>
        </w:rPr>
        <w:t xml:space="preserve">  Before its expiry, and on </w:t>
      </w:r>
      <w:r>
        <w:rPr>
          <w:rFonts w:ascii="Times New Roman" w:hAnsi="Times New Roman" w:cs="Times New Roman"/>
          <w:sz w:val="24"/>
          <w:szCs w:val="24"/>
          <w:lang w:val="en-US"/>
        </w:rPr>
        <w:t xml:space="preserve">5 October 2021, the applicant </w:t>
      </w:r>
      <w:r w:rsidR="0026614C">
        <w:rPr>
          <w:rFonts w:ascii="Times New Roman" w:hAnsi="Times New Roman" w:cs="Times New Roman"/>
          <w:sz w:val="24"/>
          <w:szCs w:val="24"/>
          <w:lang w:val="en-US"/>
        </w:rPr>
        <w:t>sought a</w:t>
      </w:r>
      <w:r>
        <w:rPr>
          <w:rFonts w:ascii="Times New Roman" w:hAnsi="Times New Roman" w:cs="Times New Roman"/>
          <w:sz w:val="24"/>
          <w:szCs w:val="24"/>
          <w:lang w:val="en-US"/>
        </w:rPr>
        <w:t xml:space="preserve"> renewal of the provisional </w:t>
      </w:r>
      <w:r w:rsidR="0026614C">
        <w:rPr>
          <w:rFonts w:ascii="Times New Roman" w:hAnsi="Times New Roman" w:cs="Times New Roman"/>
          <w:sz w:val="24"/>
          <w:szCs w:val="24"/>
          <w:lang w:val="en-US"/>
        </w:rPr>
        <w:t>registration. On 10 January 2022, the responde</w:t>
      </w:r>
      <w:r w:rsidR="004B0DE0">
        <w:rPr>
          <w:rFonts w:ascii="Times New Roman" w:hAnsi="Times New Roman" w:cs="Times New Roman"/>
          <w:sz w:val="24"/>
          <w:szCs w:val="24"/>
          <w:lang w:val="en-US"/>
        </w:rPr>
        <w:t xml:space="preserve">nt advised the applicant that </w:t>
      </w:r>
      <w:r w:rsidR="00EA302D">
        <w:rPr>
          <w:rFonts w:ascii="Times New Roman" w:hAnsi="Times New Roman" w:cs="Times New Roman"/>
          <w:sz w:val="24"/>
          <w:szCs w:val="24"/>
          <w:lang w:val="en-US"/>
        </w:rPr>
        <w:t xml:space="preserve">it </w:t>
      </w:r>
      <w:r w:rsidR="001B4E6E">
        <w:rPr>
          <w:rFonts w:ascii="Times New Roman" w:hAnsi="Times New Roman" w:cs="Times New Roman"/>
          <w:sz w:val="24"/>
          <w:szCs w:val="24"/>
          <w:lang w:val="en-US"/>
        </w:rPr>
        <w:t xml:space="preserve">had </w:t>
      </w:r>
      <w:r w:rsidR="004B0DE0">
        <w:rPr>
          <w:rFonts w:ascii="Times New Roman" w:hAnsi="Times New Roman" w:cs="Times New Roman"/>
          <w:sz w:val="24"/>
          <w:szCs w:val="24"/>
          <w:lang w:val="en-US"/>
        </w:rPr>
        <w:t xml:space="preserve">considered the application for renewal, </w:t>
      </w:r>
      <w:r w:rsidR="006F75C0">
        <w:rPr>
          <w:rFonts w:ascii="Times New Roman" w:hAnsi="Times New Roman" w:cs="Times New Roman"/>
          <w:sz w:val="24"/>
          <w:szCs w:val="24"/>
          <w:lang w:val="en-US"/>
        </w:rPr>
        <w:t xml:space="preserve">but </w:t>
      </w:r>
      <w:r w:rsidR="004B0DE0">
        <w:rPr>
          <w:rFonts w:ascii="Times New Roman" w:hAnsi="Times New Roman" w:cs="Times New Roman"/>
          <w:sz w:val="24"/>
          <w:szCs w:val="24"/>
          <w:lang w:val="en-US"/>
        </w:rPr>
        <w:t xml:space="preserve">it was not granted. Following further engagements between the parties, </w:t>
      </w:r>
      <w:r w:rsidR="00EA302D">
        <w:rPr>
          <w:rFonts w:ascii="Times New Roman" w:hAnsi="Times New Roman" w:cs="Times New Roman"/>
          <w:sz w:val="24"/>
          <w:szCs w:val="24"/>
          <w:lang w:val="en-US"/>
        </w:rPr>
        <w:t xml:space="preserve">and </w:t>
      </w:r>
      <w:r w:rsidR="004B0DE0">
        <w:rPr>
          <w:rFonts w:ascii="Times New Roman" w:hAnsi="Times New Roman" w:cs="Times New Roman"/>
          <w:sz w:val="24"/>
          <w:szCs w:val="24"/>
          <w:lang w:val="en-US"/>
        </w:rPr>
        <w:t xml:space="preserve">on 30 March 2022, </w:t>
      </w:r>
      <w:r w:rsidR="000C40A8">
        <w:rPr>
          <w:rFonts w:ascii="Times New Roman" w:hAnsi="Times New Roman" w:cs="Times New Roman"/>
          <w:sz w:val="24"/>
          <w:szCs w:val="24"/>
          <w:lang w:val="en-US"/>
        </w:rPr>
        <w:t xml:space="preserve">the </w:t>
      </w:r>
      <w:r w:rsidR="004B0DE0">
        <w:rPr>
          <w:rFonts w:ascii="Times New Roman" w:hAnsi="Times New Roman" w:cs="Times New Roman"/>
          <w:sz w:val="24"/>
          <w:szCs w:val="24"/>
          <w:lang w:val="en-US"/>
        </w:rPr>
        <w:t xml:space="preserve">applicant </w:t>
      </w:r>
      <w:r w:rsidR="00EA302D">
        <w:rPr>
          <w:rFonts w:ascii="Times New Roman" w:hAnsi="Times New Roman" w:cs="Times New Roman"/>
          <w:sz w:val="24"/>
          <w:szCs w:val="24"/>
          <w:lang w:val="en-US"/>
        </w:rPr>
        <w:t xml:space="preserve">again </w:t>
      </w:r>
      <w:r w:rsidR="00AD3E94">
        <w:rPr>
          <w:rFonts w:ascii="Times New Roman" w:hAnsi="Times New Roman" w:cs="Times New Roman"/>
          <w:sz w:val="24"/>
          <w:szCs w:val="24"/>
          <w:lang w:val="en-US"/>
        </w:rPr>
        <w:t xml:space="preserve">sought </w:t>
      </w:r>
      <w:r w:rsidR="004B0DE0">
        <w:rPr>
          <w:rFonts w:ascii="Times New Roman" w:hAnsi="Times New Roman" w:cs="Times New Roman"/>
          <w:sz w:val="24"/>
          <w:szCs w:val="24"/>
          <w:lang w:val="en-US"/>
        </w:rPr>
        <w:t xml:space="preserve">a renewal of the provisional registration, which by then had expired. On 25 April 2022, the respondent informed the applicant that its request </w:t>
      </w:r>
      <w:r w:rsidR="00E71CEA">
        <w:rPr>
          <w:rFonts w:ascii="Times New Roman" w:hAnsi="Times New Roman" w:cs="Times New Roman"/>
          <w:sz w:val="24"/>
          <w:szCs w:val="24"/>
          <w:lang w:val="en-US"/>
        </w:rPr>
        <w:t xml:space="preserve">would </w:t>
      </w:r>
      <w:r w:rsidR="004B0DE0">
        <w:rPr>
          <w:rFonts w:ascii="Times New Roman" w:hAnsi="Times New Roman" w:cs="Times New Roman"/>
          <w:sz w:val="24"/>
          <w:szCs w:val="24"/>
          <w:lang w:val="en-US"/>
        </w:rPr>
        <w:t xml:space="preserve">be presented to </w:t>
      </w:r>
      <w:r w:rsidR="00AD3E94">
        <w:rPr>
          <w:rFonts w:ascii="Times New Roman" w:hAnsi="Times New Roman" w:cs="Times New Roman"/>
          <w:sz w:val="24"/>
          <w:szCs w:val="24"/>
          <w:lang w:val="en-US"/>
        </w:rPr>
        <w:t xml:space="preserve">the </w:t>
      </w:r>
      <w:r w:rsidR="004B0DE0">
        <w:rPr>
          <w:rFonts w:ascii="Times New Roman" w:hAnsi="Times New Roman" w:cs="Times New Roman"/>
          <w:sz w:val="24"/>
          <w:szCs w:val="24"/>
          <w:lang w:val="en-US"/>
        </w:rPr>
        <w:t xml:space="preserve">Council for its consideration. </w:t>
      </w:r>
      <w:r w:rsidR="00E230FC">
        <w:rPr>
          <w:rFonts w:ascii="Times New Roman" w:hAnsi="Times New Roman" w:cs="Times New Roman"/>
          <w:sz w:val="24"/>
          <w:szCs w:val="24"/>
          <w:lang w:val="en-US"/>
        </w:rPr>
        <w:t xml:space="preserve">On 15 November 2022, the respondent informed the applicant that its application for renewal of the provisional registration was considered and </w:t>
      </w:r>
      <w:r w:rsidR="002D4647">
        <w:rPr>
          <w:rFonts w:ascii="Times New Roman" w:hAnsi="Times New Roman" w:cs="Times New Roman"/>
          <w:sz w:val="24"/>
          <w:szCs w:val="24"/>
          <w:lang w:val="en-US"/>
        </w:rPr>
        <w:t>denied</w:t>
      </w:r>
      <w:r w:rsidR="00E230FC">
        <w:rPr>
          <w:rFonts w:ascii="Times New Roman" w:hAnsi="Times New Roman" w:cs="Times New Roman"/>
          <w:sz w:val="24"/>
          <w:szCs w:val="24"/>
          <w:lang w:val="en-US"/>
        </w:rPr>
        <w:t xml:space="preserve">. </w:t>
      </w:r>
    </w:p>
    <w:p w14:paraId="68E0637F" w14:textId="127D668B" w:rsidR="00D76244" w:rsidRDefault="00B55D28" w:rsidP="00E84D7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E230FC">
        <w:rPr>
          <w:rFonts w:ascii="Times New Roman" w:hAnsi="Times New Roman" w:cs="Times New Roman"/>
          <w:sz w:val="24"/>
          <w:szCs w:val="24"/>
          <w:lang w:val="en-US"/>
        </w:rPr>
        <w:t xml:space="preserve">The applicant is aggrieved by the </w:t>
      </w:r>
      <w:r w:rsidR="002D4647">
        <w:rPr>
          <w:rFonts w:ascii="Times New Roman" w:hAnsi="Times New Roman" w:cs="Times New Roman"/>
          <w:sz w:val="24"/>
          <w:szCs w:val="24"/>
          <w:lang w:val="en-US"/>
        </w:rPr>
        <w:t>denial</w:t>
      </w:r>
      <w:r w:rsidR="00E230FC">
        <w:rPr>
          <w:rFonts w:ascii="Times New Roman" w:hAnsi="Times New Roman" w:cs="Times New Roman"/>
          <w:sz w:val="24"/>
          <w:szCs w:val="24"/>
          <w:lang w:val="en-US"/>
        </w:rPr>
        <w:t xml:space="preserve"> to renew </w:t>
      </w:r>
      <w:r w:rsidR="00A71EC9">
        <w:rPr>
          <w:rFonts w:ascii="Times New Roman" w:hAnsi="Times New Roman" w:cs="Times New Roman"/>
          <w:sz w:val="24"/>
          <w:szCs w:val="24"/>
          <w:lang w:val="en-US"/>
        </w:rPr>
        <w:t xml:space="preserve">its provisional registration, and this application seeks to challenge that decision. </w:t>
      </w:r>
      <w:r w:rsidR="001E166D">
        <w:rPr>
          <w:rFonts w:ascii="Times New Roman" w:hAnsi="Times New Roman" w:cs="Times New Roman"/>
          <w:sz w:val="24"/>
          <w:szCs w:val="24"/>
          <w:lang w:val="en-US"/>
        </w:rPr>
        <w:t xml:space="preserve">It is contended that in </w:t>
      </w:r>
      <w:r w:rsidR="005F1B31">
        <w:rPr>
          <w:rFonts w:ascii="Times New Roman" w:hAnsi="Times New Roman" w:cs="Times New Roman"/>
          <w:sz w:val="24"/>
          <w:szCs w:val="24"/>
          <w:lang w:val="en-US"/>
        </w:rPr>
        <w:t>denying</w:t>
      </w:r>
      <w:r w:rsidR="001E166D">
        <w:rPr>
          <w:rFonts w:ascii="Times New Roman" w:hAnsi="Times New Roman" w:cs="Times New Roman"/>
          <w:sz w:val="24"/>
          <w:szCs w:val="24"/>
          <w:lang w:val="en-US"/>
        </w:rPr>
        <w:t xml:space="preserve"> to renew the provisional registration, the respondent has not acted lawfully, reasonably, and fairly</w:t>
      </w:r>
      <w:r w:rsidR="005F1B31">
        <w:rPr>
          <w:rFonts w:ascii="Times New Roman" w:hAnsi="Times New Roman" w:cs="Times New Roman"/>
          <w:sz w:val="24"/>
          <w:szCs w:val="24"/>
          <w:lang w:val="en-US"/>
        </w:rPr>
        <w:t xml:space="preserve">, and not </w:t>
      </w:r>
      <w:r w:rsidR="001E166D">
        <w:rPr>
          <w:rFonts w:ascii="Times New Roman" w:hAnsi="Times New Roman" w:cs="Times New Roman"/>
          <w:sz w:val="24"/>
          <w:szCs w:val="24"/>
          <w:lang w:val="en-US"/>
        </w:rPr>
        <w:t>in good faith as required in ss 3(1)(a), 3(2)(b)</w:t>
      </w:r>
      <w:r w:rsidR="00DC500C">
        <w:rPr>
          <w:rFonts w:ascii="Times New Roman" w:hAnsi="Times New Roman" w:cs="Times New Roman"/>
          <w:sz w:val="24"/>
          <w:szCs w:val="24"/>
          <w:lang w:val="en-US"/>
        </w:rPr>
        <w:t>,</w:t>
      </w:r>
      <w:r w:rsidR="001E166D">
        <w:rPr>
          <w:rFonts w:ascii="Times New Roman" w:hAnsi="Times New Roman" w:cs="Times New Roman"/>
          <w:sz w:val="24"/>
          <w:szCs w:val="24"/>
          <w:lang w:val="en-US"/>
        </w:rPr>
        <w:t xml:space="preserve"> and 5 of the Administrative Justice Act. </w:t>
      </w:r>
      <w:r w:rsidR="000D04E9" w:rsidRPr="006401C2">
        <w:rPr>
          <w:rFonts w:ascii="Times New Roman" w:hAnsi="Times New Roman" w:cs="Times New Roman"/>
          <w:sz w:val="24"/>
          <w:szCs w:val="24"/>
          <w:lang w:val="en-US"/>
        </w:rPr>
        <w:t xml:space="preserve">It is against this background that the applicant sought the relief stated above. </w:t>
      </w:r>
    </w:p>
    <w:p w14:paraId="06B4F942" w14:textId="4882743E" w:rsidR="008E23B9" w:rsidRDefault="008E23B9" w:rsidP="00E84D7E">
      <w:pPr>
        <w:spacing w:after="0" w:line="360" w:lineRule="auto"/>
        <w:jc w:val="both"/>
        <w:rPr>
          <w:rFonts w:ascii="Times New Roman" w:hAnsi="Times New Roman" w:cs="Times New Roman"/>
          <w:sz w:val="24"/>
          <w:szCs w:val="24"/>
          <w:lang w:val="en-US"/>
        </w:rPr>
      </w:pPr>
      <w:r w:rsidRPr="00142B30">
        <w:rPr>
          <w:rFonts w:ascii="Times New Roman" w:hAnsi="Times New Roman" w:cs="Times New Roman"/>
          <w:b/>
          <w:bCs/>
          <w:sz w:val="24"/>
          <w:szCs w:val="24"/>
          <w:u w:val="single"/>
          <w:lang w:val="en-US"/>
        </w:rPr>
        <w:t>Submissions by the parties</w:t>
      </w:r>
      <w:r>
        <w:rPr>
          <w:rFonts w:ascii="Times New Roman" w:hAnsi="Times New Roman" w:cs="Times New Roman"/>
          <w:sz w:val="24"/>
          <w:szCs w:val="24"/>
          <w:lang w:val="en-US"/>
        </w:rPr>
        <w:t>.</w:t>
      </w:r>
    </w:p>
    <w:p w14:paraId="75BA36EA" w14:textId="406AAC0B" w:rsidR="00D76244" w:rsidRDefault="00B55D28" w:rsidP="00E84D7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750214">
        <w:rPr>
          <w:rFonts w:ascii="Times New Roman" w:hAnsi="Times New Roman" w:cs="Times New Roman"/>
          <w:sz w:val="24"/>
          <w:szCs w:val="24"/>
          <w:lang w:val="en-US"/>
        </w:rPr>
        <w:t>in summary, t</w:t>
      </w:r>
      <w:r w:rsidR="00D76244">
        <w:rPr>
          <w:rFonts w:ascii="Times New Roman" w:hAnsi="Times New Roman" w:cs="Times New Roman"/>
          <w:sz w:val="24"/>
          <w:szCs w:val="24"/>
          <w:lang w:val="en-US"/>
        </w:rPr>
        <w:t>he applicant contends</w:t>
      </w:r>
      <w:r w:rsidR="00750214">
        <w:rPr>
          <w:rFonts w:ascii="Times New Roman" w:hAnsi="Times New Roman" w:cs="Times New Roman"/>
          <w:sz w:val="24"/>
          <w:szCs w:val="24"/>
          <w:lang w:val="en-US"/>
        </w:rPr>
        <w:t xml:space="preserve"> as follows:</w:t>
      </w:r>
      <w:r w:rsidR="00D76244">
        <w:rPr>
          <w:rFonts w:ascii="Times New Roman" w:hAnsi="Times New Roman" w:cs="Times New Roman"/>
          <w:sz w:val="24"/>
          <w:szCs w:val="24"/>
          <w:lang w:val="en-US"/>
        </w:rPr>
        <w:t xml:space="preserve"> that the period between the granting of the provisional registration on 10 October 20</w:t>
      </w:r>
      <w:r w:rsidR="00267F69">
        <w:rPr>
          <w:rFonts w:ascii="Times New Roman" w:hAnsi="Times New Roman" w:cs="Times New Roman"/>
          <w:sz w:val="24"/>
          <w:szCs w:val="24"/>
          <w:lang w:val="en-US"/>
        </w:rPr>
        <w:t xml:space="preserve">19 and its expiry made substantial progress despite </w:t>
      </w:r>
      <w:r w:rsidR="00267F69">
        <w:rPr>
          <w:rFonts w:ascii="Times New Roman" w:hAnsi="Times New Roman" w:cs="Times New Roman"/>
          <w:sz w:val="24"/>
          <w:szCs w:val="24"/>
          <w:lang w:val="en-US"/>
        </w:rPr>
        <w:lastRenderedPageBreak/>
        <w:t xml:space="preserve">challenges, which included the Covid 19 global pandemic and the conduct of the respondent. The applicant </w:t>
      </w:r>
      <w:r w:rsidR="00337300">
        <w:rPr>
          <w:rFonts w:ascii="Times New Roman" w:hAnsi="Times New Roman" w:cs="Times New Roman"/>
          <w:sz w:val="24"/>
          <w:szCs w:val="24"/>
          <w:lang w:val="en-US"/>
        </w:rPr>
        <w:t xml:space="preserve">further </w:t>
      </w:r>
      <w:r w:rsidR="00267F69">
        <w:rPr>
          <w:rFonts w:ascii="Times New Roman" w:hAnsi="Times New Roman" w:cs="Times New Roman"/>
          <w:sz w:val="24"/>
          <w:szCs w:val="24"/>
          <w:lang w:val="en-US"/>
        </w:rPr>
        <w:t xml:space="preserve">contends that it has made substantial steps from the time the provisional registration was granted, in that it expended </w:t>
      </w:r>
      <w:r w:rsidR="00750214">
        <w:rPr>
          <w:rFonts w:ascii="Times New Roman" w:hAnsi="Times New Roman" w:cs="Times New Roman"/>
          <w:sz w:val="24"/>
          <w:szCs w:val="24"/>
          <w:lang w:val="en-US"/>
        </w:rPr>
        <w:t xml:space="preserve">financial </w:t>
      </w:r>
      <w:r w:rsidR="00267F69">
        <w:rPr>
          <w:rFonts w:ascii="Times New Roman" w:hAnsi="Times New Roman" w:cs="Times New Roman"/>
          <w:sz w:val="24"/>
          <w:szCs w:val="24"/>
          <w:lang w:val="en-US"/>
        </w:rPr>
        <w:t xml:space="preserve">resources in employing staff and other third-party engagements. It argues that it will be seriously prejudiced both financially and in other aspects if it is not provisionally registered. </w:t>
      </w:r>
    </w:p>
    <w:p w14:paraId="5A4A2441" w14:textId="55AE1A99" w:rsidR="00841E4A" w:rsidRDefault="00337300" w:rsidP="00E84D7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CC4481">
        <w:rPr>
          <w:rFonts w:ascii="Times New Roman" w:hAnsi="Times New Roman" w:cs="Times New Roman"/>
          <w:sz w:val="24"/>
          <w:szCs w:val="24"/>
          <w:lang w:val="en-US"/>
        </w:rPr>
        <w:t>The applicant</w:t>
      </w:r>
      <w:r w:rsidR="00136BD2">
        <w:rPr>
          <w:rFonts w:ascii="Times New Roman" w:hAnsi="Times New Roman" w:cs="Times New Roman"/>
          <w:sz w:val="24"/>
          <w:szCs w:val="24"/>
          <w:lang w:val="en-US"/>
        </w:rPr>
        <w:t xml:space="preserve"> </w:t>
      </w:r>
      <w:r w:rsidR="009E3C28">
        <w:rPr>
          <w:rFonts w:ascii="Times New Roman" w:hAnsi="Times New Roman" w:cs="Times New Roman"/>
          <w:sz w:val="24"/>
          <w:szCs w:val="24"/>
          <w:lang w:val="en-US"/>
        </w:rPr>
        <w:t>further</w:t>
      </w:r>
      <w:r w:rsidR="00CC4481">
        <w:rPr>
          <w:rFonts w:ascii="Times New Roman" w:hAnsi="Times New Roman" w:cs="Times New Roman"/>
          <w:sz w:val="24"/>
          <w:szCs w:val="24"/>
          <w:lang w:val="en-US"/>
        </w:rPr>
        <w:t xml:space="preserve"> argues that the decision </w:t>
      </w:r>
      <w:r>
        <w:rPr>
          <w:rFonts w:ascii="Times New Roman" w:hAnsi="Times New Roman" w:cs="Times New Roman"/>
          <w:sz w:val="24"/>
          <w:szCs w:val="24"/>
          <w:lang w:val="en-US"/>
        </w:rPr>
        <w:t>denying</w:t>
      </w:r>
      <w:r w:rsidR="00CC4481">
        <w:rPr>
          <w:rFonts w:ascii="Times New Roman" w:hAnsi="Times New Roman" w:cs="Times New Roman"/>
          <w:sz w:val="24"/>
          <w:szCs w:val="24"/>
          <w:lang w:val="en-US"/>
        </w:rPr>
        <w:t xml:space="preserve"> provisional registration is not lawful, reasonable, fair, prompt, efficient, impartial, proportionate</w:t>
      </w:r>
      <w:r w:rsidR="00862A79">
        <w:rPr>
          <w:rFonts w:ascii="Times New Roman" w:hAnsi="Times New Roman" w:cs="Times New Roman"/>
          <w:sz w:val="24"/>
          <w:szCs w:val="24"/>
          <w:lang w:val="en-US"/>
        </w:rPr>
        <w:t>,</w:t>
      </w:r>
      <w:r w:rsidR="00CC4481">
        <w:rPr>
          <w:rFonts w:ascii="Times New Roman" w:hAnsi="Times New Roman" w:cs="Times New Roman"/>
          <w:sz w:val="24"/>
          <w:szCs w:val="24"/>
          <w:lang w:val="en-US"/>
        </w:rPr>
        <w:t xml:space="preserve"> and or procedurally fair. </w:t>
      </w:r>
      <w:r>
        <w:rPr>
          <w:rFonts w:ascii="Times New Roman" w:hAnsi="Times New Roman" w:cs="Times New Roman"/>
          <w:sz w:val="24"/>
          <w:szCs w:val="24"/>
          <w:lang w:val="en-US"/>
        </w:rPr>
        <w:t>Further argues</w:t>
      </w:r>
      <w:r w:rsidR="00CC4481">
        <w:rPr>
          <w:rFonts w:ascii="Times New Roman" w:hAnsi="Times New Roman" w:cs="Times New Roman"/>
          <w:sz w:val="24"/>
          <w:szCs w:val="24"/>
          <w:lang w:val="en-US"/>
        </w:rPr>
        <w:t xml:space="preserve"> that the decision is not lawful in that it does not fall within the requirements for </w:t>
      </w:r>
      <w:r>
        <w:rPr>
          <w:rFonts w:ascii="Times New Roman" w:hAnsi="Times New Roman" w:cs="Times New Roman"/>
          <w:sz w:val="24"/>
          <w:szCs w:val="24"/>
          <w:lang w:val="en-US"/>
        </w:rPr>
        <w:t>provisional</w:t>
      </w:r>
      <w:r w:rsidR="00CC4481">
        <w:rPr>
          <w:rFonts w:ascii="Times New Roman" w:hAnsi="Times New Roman" w:cs="Times New Roman"/>
          <w:sz w:val="24"/>
          <w:szCs w:val="24"/>
          <w:lang w:val="en-US"/>
        </w:rPr>
        <w:t xml:space="preserve"> </w:t>
      </w:r>
      <w:r>
        <w:rPr>
          <w:rFonts w:ascii="Times New Roman" w:hAnsi="Times New Roman" w:cs="Times New Roman"/>
          <w:sz w:val="24"/>
          <w:szCs w:val="24"/>
          <w:lang w:val="en-US"/>
        </w:rPr>
        <w:t>registration</w:t>
      </w:r>
      <w:r w:rsidR="00CC4481">
        <w:rPr>
          <w:rFonts w:ascii="Times New Roman" w:hAnsi="Times New Roman" w:cs="Times New Roman"/>
          <w:sz w:val="24"/>
          <w:szCs w:val="24"/>
          <w:lang w:val="en-US"/>
        </w:rPr>
        <w:t xml:space="preserve"> in s 11(1) of the Act. It is argued further that the respondent in de</w:t>
      </w:r>
      <w:r w:rsidR="00136BD2">
        <w:rPr>
          <w:rFonts w:ascii="Times New Roman" w:hAnsi="Times New Roman" w:cs="Times New Roman"/>
          <w:sz w:val="24"/>
          <w:szCs w:val="24"/>
          <w:lang w:val="en-US"/>
        </w:rPr>
        <w:t>ny</w:t>
      </w:r>
      <w:r w:rsidR="00CC4481">
        <w:rPr>
          <w:rFonts w:ascii="Times New Roman" w:hAnsi="Times New Roman" w:cs="Times New Roman"/>
          <w:sz w:val="24"/>
          <w:szCs w:val="24"/>
          <w:lang w:val="en-US"/>
        </w:rPr>
        <w:t xml:space="preserve">ing to issue a provisional </w:t>
      </w:r>
      <w:r>
        <w:rPr>
          <w:rFonts w:ascii="Times New Roman" w:hAnsi="Times New Roman" w:cs="Times New Roman"/>
          <w:sz w:val="24"/>
          <w:szCs w:val="24"/>
          <w:lang w:val="en-US"/>
        </w:rPr>
        <w:t xml:space="preserve">registration </w:t>
      </w:r>
      <w:r w:rsidR="00CC4481">
        <w:rPr>
          <w:rFonts w:ascii="Times New Roman" w:hAnsi="Times New Roman" w:cs="Times New Roman"/>
          <w:sz w:val="24"/>
          <w:szCs w:val="24"/>
          <w:lang w:val="en-US"/>
        </w:rPr>
        <w:t xml:space="preserve">proffered reasons </w:t>
      </w:r>
      <w:r w:rsidR="009A4A5B">
        <w:rPr>
          <w:rFonts w:ascii="Times New Roman" w:hAnsi="Times New Roman" w:cs="Times New Roman"/>
          <w:sz w:val="24"/>
          <w:szCs w:val="24"/>
          <w:lang w:val="en-US"/>
        </w:rPr>
        <w:t>which are only relevant to an application for final registration in terms of s</w:t>
      </w:r>
      <w:r w:rsidR="00136BD2">
        <w:rPr>
          <w:rFonts w:ascii="Times New Roman" w:hAnsi="Times New Roman" w:cs="Times New Roman"/>
          <w:sz w:val="24"/>
          <w:szCs w:val="24"/>
          <w:lang w:val="en-US"/>
        </w:rPr>
        <w:t>s</w:t>
      </w:r>
      <w:r w:rsidR="009A4A5B">
        <w:rPr>
          <w:rFonts w:ascii="Times New Roman" w:hAnsi="Times New Roman" w:cs="Times New Roman"/>
          <w:sz w:val="24"/>
          <w:szCs w:val="24"/>
          <w:lang w:val="en-US"/>
        </w:rPr>
        <w:t xml:space="preserve"> 19 and 11(6) to 11(8) of the Act. It is contended that </w:t>
      </w:r>
      <w:r w:rsidR="00572E99">
        <w:rPr>
          <w:rFonts w:ascii="Times New Roman" w:hAnsi="Times New Roman" w:cs="Times New Roman"/>
          <w:sz w:val="24"/>
          <w:szCs w:val="24"/>
          <w:lang w:val="en-US"/>
        </w:rPr>
        <w:t xml:space="preserve">at </w:t>
      </w:r>
      <w:r w:rsidR="009A4A5B">
        <w:rPr>
          <w:rFonts w:ascii="Times New Roman" w:hAnsi="Times New Roman" w:cs="Times New Roman"/>
          <w:sz w:val="24"/>
          <w:szCs w:val="24"/>
          <w:lang w:val="en-US"/>
        </w:rPr>
        <w:t xml:space="preserve">this stage, </w:t>
      </w:r>
      <w:r w:rsidR="00572E99">
        <w:rPr>
          <w:rFonts w:ascii="Times New Roman" w:hAnsi="Times New Roman" w:cs="Times New Roman"/>
          <w:sz w:val="24"/>
          <w:szCs w:val="24"/>
          <w:lang w:val="en-US"/>
        </w:rPr>
        <w:t xml:space="preserve">the </w:t>
      </w:r>
      <w:r w:rsidR="009A4A5B">
        <w:rPr>
          <w:rFonts w:ascii="Times New Roman" w:hAnsi="Times New Roman" w:cs="Times New Roman"/>
          <w:sz w:val="24"/>
          <w:szCs w:val="24"/>
          <w:lang w:val="en-US"/>
        </w:rPr>
        <w:t>respondent has no jurisdiction to decline a provisional registration licence on the grounds such as governance and academic issues</w:t>
      </w:r>
      <w:r w:rsidR="00862A79">
        <w:rPr>
          <w:rFonts w:ascii="Times New Roman" w:hAnsi="Times New Roman" w:cs="Times New Roman"/>
          <w:sz w:val="24"/>
          <w:szCs w:val="24"/>
          <w:lang w:val="en-US"/>
        </w:rPr>
        <w:t>,</w:t>
      </w:r>
      <w:r w:rsidR="009A4A5B">
        <w:rPr>
          <w:rFonts w:ascii="Times New Roman" w:hAnsi="Times New Roman" w:cs="Times New Roman"/>
          <w:sz w:val="24"/>
          <w:szCs w:val="24"/>
          <w:lang w:val="en-US"/>
        </w:rPr>
        <w:t xml:space="preserve"> which the contested decision is predicated on. These issues are said to relate to final registration. The applicant contends that the decision is grossly unreasonable and </w:t>
      </w:r>
      <w:r>
        <w:rPr>
          <w:rFonts w:ascii="Times New Roman" w:hAnsi="Times New Roman" w:cs="Times New Roman"/>
          <w:sz w:val="24"/>
          <w:szCs w:val="24"/>
          <w:lang w:val="en-US"/>
        </w:rPr>
        <w:t>irrational</w:t>
      </w:r>
      <w:r w:rsidR="00062E4A">
        <w:rPr>
          <w:rFonts w:ascii="Times New Roman" w:hAnsi="Times New Roman" w:cs="Times New Roman"/>
          <w:sz w:val="24"/>
          <w:szCs w:val="24"/>
          <w:lang w:val="en-US"/>
        </w:rPr>
        <w:t>,</w:t>
      </w:r>
      <w:r>
        <w:rPr>
          <w:rFonts w:ascii="Times New Roman" w:hAnsi="Times New Roman" w:cs="Times New Roman"/>
          <w:sz w:val="24"/>
          <w:szCs w:val="24"/>
          <w:lang w:val="en-US"/>
        </w:rPr>
        <w:t xml:space="preserve"> and</w:t>
      </w:r>
      <w:r w:rsidR="009A4A5B">
        <w:rPr>
          <w:rFonts w:ascii="Times New Roman" w:hAnsi="Times New Roman" w:cs="Times New Roman"/>
          <w:sz w:val="24"/>
          <w:szCs w:val="24"/>
          <w:lang w:val="en-US"/>
        </w:rPr>
        <w:t xml:space="preserve"> is tainted with the absence of objectivity </w:t>
      </w:r>
      <w:r>
        <w:rPr>
          <w:rFonts w:ascii="Times New Roman" w:hAnsi="Times New Roman" w:cs="Times New Roman"/>
          <w:sz w:val="24"/>
          <w:szCs w:val="24"/>
          <w:lang w:val="en-US"/>
        </w:rPr>
        <w:t xml:space="preserve">and shows </w:t>
      </w:r>
      <w:r w:rsidR="009A4A5B">
        <w:rPr>
          <w:rFonts w:ascii="Times New Roman" w:hAnsi="Times New Roman" w:cs="Times New Roman"/>
          <w:sz w:val="24"/>
          <w:szCs w:val="24"/>
          <w:lang w:val="en-US"/>
        </w:rPr>
        <w:t xml:space="preserve">bias. </w:t>
      </w:r>
      <w:r w:rsidR="00D77F9A">
        <w:rPr>
          <w:rFonts w:ascii="Times New Roman" w:hAnsi="Times New Roman" w:cs="Times New Roman"/>
          <w:sz w:val="24"/>
          <w:szCs w:val="24"/>
          <w:lang w:val="en-US"/>
        </w:rPr>
        <w:t xml:space="preserve">It is on this basis that the applicant sought that its application be granted. </w:t>
      </w:r>
    </w:p>
    <w:p w14:paraId="44F08B9B" w14:textId="6001C21B" w:rsidR="007666CE" w:rsidRDefault="00337300" w:rsidP="00E84D7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517F59">
        <w:rPr>
          <w:rFonts w:ascii="Times New Roman" w:hAnsi="Times New Roman" w:cs="Times New Roman"/>
          <w:sz w:val="24"/>
          <w:szCs w:val="24"/>
          <w:lang w:val="en-US"/>
        </w:rPr>
        <w:t>In summary,</w:t>
      </w:r>
      <w:r w:rsidR="00E075E3">
        <w:rPr>
          <w:rFonts w:ascii="Times New Roman" w:hAnsi="Times New Roman" w:cs="Times New Roman"/>
          <w:sz w:val="24"/>
          <w:szCs w:val="24"/>
          <w:lang w:val="en-US"/>
        </w:rPr>
        <w:t xml:space="preserve"> t</w:t>
      </w:r>
      <w:r w:rsidR="00841E4A">
        <w:rPr>
          <w:rFonts w:ascii="Times New Roman" w:hAnsi="Times New Roman" w:cs="Times New Roman"/>
          <w:sz w:val="24"/>
          <w:szCs w:val="24"/>
          <w:lang w:val="en-US"/>
        </w:rPr>
        <w:t>he respondent contends</w:t>
      </w:r>
      <w:r w:rsidR="00136BD2">
        <w:rPr>
          <w:rFonts w:ascii="Times New Roman" w:hAnsi="Times New Roman" w:cs="Times New Roman"/>
          <w:sz w:val="24"/>
          <w:szCs w:val="24"/>
          <w:lang w:val="en-US"/>
        </w:rPr>
        <w:t xml:space="preserve"> as follows: </w:t>
      </w:r>
      <w:r w:rsidR="00841E4A">
        <w:rPr>
          <w:rFonts w:ascii="Times New Roman" w:hAnsi="Times New Roman" w:cs="Times New Roman"/>
          <w:sz w:val="24"/>
          <w:szCs w:val="24"/>
          <w:lang w:val="en-US"/>
        </w:rPr>
        <w:t>that indeed the applicant was issued with a provisional registration which expired</w:t>
      </w:r>
      <w:r w:rsidR="00C822C4">
        <w:rPr>
          <w:rFonts w:ascii="Times New Roman" w:hAnsi="Times New Roman" w:cs="Times New Roman"/>
          <w:sz w:val="24"/>
          <w:szCs w:val="24"/>
          <w:lang w:val="en-US"/>
        </w:rPr>
        <w:t xml:space="preserve"> on 9 October 2021</w:t>
      </w:r>
      <w:r w:rsidR="00841E4A">
        <w:rPr>
          <w:rFonts w:ascii="Times New Roman" w:hAnsi="Times New Roman" w:cs="Times New Roman"/>
          <w:sz w:val="24"/>
          <w:szCs w:val="24"/>
          <w:lang w:val="en-US"/>
        </w:rPr>
        <w:t xml:space="preserve">. </w:t>
      </w:r>
      <w:r w:rsidR="005E3673">
        <w:rPr>
          <w:rFonts w:ascii="Times New Roman" w:hAnsi="Times New Roman" w:cs="Times New Roman"/>
          <w:sz w:val="24"/>
          <w:szCs w:val="24"/>
          <w:lang w:val="en-US"/>
        </w:rPr>
        <w:t xml:space="preserve">It is argued that the initial provisional registration granted to the applicant had conditions, given in terms of s 11(3) of </w:t>
      </w:r>
      <w:proofErr w:type="gramStart"/>
      <w:r w:rsidR="005E3673">
        <w:rPr>
          <w:rFonts w:ascii="Times New Roman" w:hAnsi="Times New Roman" w:cs="Times New Roman"/>
          <w:sz w:val="24"/>
          <w:szCs w:val="24"/>
          <w:lang w:val="en-US"/>
        </w:rPr>
        <w:t>the  Act</w:t>
      </w:r>
      <w:proofErr w:type="gramEnd"/>
      <w:r w:rsidR="005E3673">
        <w:rPr>
          <w:rFonts w:ascii="Times New Roman" w:hAnsi="Times New Roman" w:cs="Times New Roman"/>
          <w:sz w:val="24"/>
          <w:szCs w:val="24"/>
          <w:lang w:val="en-US"/>
        </w:rPr>
        <w:t xml:space="preserve">. </w:t>
      </w:r>
      <w:r w:rsidR="007666CE">
        <w:rPr>
          <w:rFonts w:ascii="Times New Roman" w:hAnsi="Times New Roman" w:cs="Times New Roman"/>
          <w:sz w:val="24"/>
          <w:szCs w:val="24"/>
          <w:lang w:val="en-US"/>
        </w:rPr>
        <w:t>It was contended that the applicant failed to meet the conditions of the initial provisional registration. On 5 October 2021</w:t>
      </w:r>
      <w:r w:rsidR="00EE4D50">
        <w:rPr>
          <w:rFonts w:ascii="Times New Roman" w:hAnsi="Times New Roman" w:cs="Times New Roman"/>
          <w:sz w:val="24"/>
          <w:szCs w:val="24"/>
          <w:lang w:val="en-US"/>
        </w:rPr>
        <w:t>,</w:t>
      </w:r>
      <w:r w:rsidR="007666CE">
        <w:rPr>
          <w:rFonts w:ascii="Times New Roman" w:hAnsi="Times New Roman" w:cs="Times New Roman"/>
          <w:sz w:val="24"/>
          <w:szCs w:val="24"/>
          <w:lang w:val="en-US"/>
        </w:rPr>
        <w:t xml:space="preserve"> it applied for a renewal, which was </w:t>
      </w:r>
      <w:r w:rsidR="00C3512C">
        <w:rPr>
          <w:rFonts w:ascii="Times New Roman" w:hAnsi="Times New Roman" w:cs="Times New Roman"/>
          <w:sz w:val="24"/>
          <w:szCs w:val="24"/>
          <w:lang w:val="en-US"/>
        </w:rPr>
        <w:t>denied</w:t>
      </w:r>
      <w:r w:rsidR="007666CE">
        <w:rPr>
          <w:rFonts w:ascii="Times New Roman" w:hAnsi="Times New Roman" w:cs="Times New Roman"/>
          <w:sz w:val="24"/>
          <w:szCs w:val="24"/>
          <w:lang w:val="en-US"/>
        </w:rPr>
        <w:t xml:space="preserve"> on 10 January 2022. The denial </w:t>
      </w:r>
      <w:r w:rsidR="0096247A">
        <w:rPr>
          <w:rFonts w:ascii="Times New Roman" w:hAnsi="Times New Roman" w:cs="Times New Roman"/>
          <w:sz w:val="24"/>
          <w:szCs w:val="24"/>
          <w:lang w:val="en-US"/>
        </w:rPr>
        <w:t xml:space="preserve">was </w:t>
      </w:r>
      <w:r w:rsidR="007666CE">
        <w:rPr>
          <w:rFonts w:ascii="Times New Roman" w:hAnsi="Times New Roman" w:cs="Times New Roman"/>
          <w:sz w:val="24"/>
          <w:szCs w:val="24"/>
          <w:lang w:val="en-US"/>
        </w:rPr>
        <w:t xml:space="preserve">predicated on the recommendations from the </w:t>
      </w:r>
      <w:r w:rsidR="00EE4D50">
        <w:rPr>
          <w:rFonts w:ascii="Times New Roman" w:hAnsi="Times New Roman" w:cs="Times New Roman"/>
          <w:sz w:val="24"/>
          <w:szCs w:val="24"/>
          <w:lang w:val="en-US"/>
        </w:rPr>
        <w:t xml:space="preserve">Higher </w:t>
      </w:r>
      <w:r w:rsidR="007666CE">
        <w:rPr>
          <w:rFonts w:ascii="Times New Roman" w:hAnsi="Times New Roman" w:cs="Times New Roman"/>
          <w:sz w:val="24"/>
          <w:szCs w:val="24"/>
          <w:lang w:val="en-US"/>
        </w:rPr>
        <w:t>Education and Quality Assurance Committee</w:t>
      </w:r>
      <w:r w:rsidR="005E3673">
        <w:rPr>
          <w:rFonts w:ascii="Times New Roman" w:hAnsi="Times New Roman" w:cs="Times New Roman"/>
          <w:sz w:val="24"/>
          <w:szCs w:val="24"/>
          <w:lang w:val="en-US"/>
        </w:rPr>
        <w:t xml:space="preserve"> (“HEQAC”)</w:t>
      </w:r>
      <w:r w:rsidR="007666CE">
        <w:rPr>
          <w:rFonts w:ascii="Times New Roman" w:hAnsi="Times New Roman" w:cs="Times New Roman"/>
          <w:sz w:val="24"/>
          <w:szCs w:val="24"/>
          <w:lang w:val="en-US"/>
        </w:rPr>
        <w:t xml:space="preserve">. The applicant is said to have made a further application, </w:t>
      </w:r>
      <w:r w:rsidR="005E3673">
        <w:rPr>
          <w:rFonts w:ascii="Times New Roman" w:hAnsi="Times New Roman" w:cs="Times New Roman"/>
          <w:sz w:val="24"/>
          <w:szCs w:val="24"/>
          <w:lang w:val="en-US"/>
        </w:rPr>
        <w:t>without addressing the issues that led to the denial of its</w:t>
      </w:r>
      <w:r w:rsidR="00910D82">
        <w:rPr>
          <w:rFonts w:ascii="Times New Roman" w:hAnsi="Times New Roman" w:cs="Times New Roman"/>
          <w:sz w:val="24"/>
          <w:szCs w:val="24"/>
          <w:lang w:val="en-US"/>
        </w:rPr>
        <w:t xml:space="preserve"> 5 October 2021</w:t>
      </w:r>
      <w:r w:rsidR="005E3673">
        <w:rPr>
          <w:rFonts w:ascii="Times New Roman" w:hAnsi="Times New Roman" w:cs="Times New Roman"/>
          <w:sz w:val="24"/>
          <w:szCs w:val="24"/>
          <w:lang w:val="en-US"/>
        </w:rPr>
        <w:t xml:space="preserve"> application. Council met and upheld the recommendations of HEQAC. The applicant is said to have failed to satisfy the respondent on aspects highlighted in s 11(1), particularly s 11(1)(c). </w:t>
      </w:r>
    </w:p>
    <w:p w14:paraId="39B2EB5F" w14:textId="09003C71" w:rsidR="002E3B4D" w:rsidRDefault="0096247A" w:rsidP="00E84D7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841E4A">
        <w:rPr>
          <w:rFonts w:ascii="Times New Roman" w:hAnsi="Times New Roman" w:cs="Times New Roman"/>
          <w:sz w:val="24"/>
          <w:szCs w:val="24"/>
          <w:lang w:val="en-US"/>
        </w:rPr>
        <w:t>The respondent contends further that the fact that the applicant had been grante</w:t>
      </w:r>
      <w:r>
        <w:rPr>
          <w:rFonts w:ascii="Times New Roman" w:hAnsi="Times New Roman" w:cs="Times New Roman"/>
          <w:sz w:val="24"/>
          <w:szCs w:val="24"/>
          <w:lang w:val="en-US"/>
        </w:rPr>
        <w:t>d</w:t>
      </w:r>
      <w:r w:rsidR="00841E4A">
        <w:rPr>
          <w:rFonts w:ascii="Times New Roman" w:hAnsi="Times New Roman" w:cs="Times New Roman"/>
          <w:sz w:val="24"/>
          <w:szCs w:val="24"/>
          <w:lang w:val="en-US"/>
        </w:rPr>
        <w:t xml:space="preserve"> provisional </w:t>
      </w:r>
      <w:r>
        <w:rPr>
          <w:rFonts w:ascii="Times New Roman" w:hAnsi="Times New Roman" w:cs="Times New Roman"/>
          <w:sz w:val="24"/>
          <w:szCs w:val="24"/>
          <w:lang w:val="en-US"/>
        </w:rPr>
        <w:t>registration</w:t>
      </w:r>
      <w:r w:rsidR="00841E4A">
        <w:rPr>
          <w:rFonts w:ascii="Times New Roman" w:hAnsi="Times New Roman" w:cs="Times New Roman"/>
          <w:sz w:val="24"/>
          <w:szCs w:val="24"/>
          <w:lang w:val="en-US"/>
        </w:rPr>
        <w:t xml:space="preserve"> before does not automatically entitle </w:t>
      </w:r>
      <w:r w:rsidR="00C822C4">
        <w:rPr>
          <w:rFonts w:ascii="Times New Roman" w:hAnsi="Times New Roman" w:cs="Times New Roman"/>
          <w:sz w:val="24"/>
          <w:szCs w:val="24"/>
          <w:lang w:val="en-US"/>
        </w:rPr>
        <w:t>it to</w:t>
      </w:r>
      <w:r w:rsidR="00841E4A">
        <w:rPr>
          <w:rFonts w:ascii="Times New Roman" w:hAnsi="Times New Roman" w:cs="Times New Roman"/>
          <w:sz w:val="24"/>
          <w:szCs w:val="24"/>
          <w:lang w:val="en-US"/>
        </w:rPr>
        <w:t xml:space="preserve"> a renewal of its registration. </w:t>
      </w:r>
      <w:r w:rsidR="001E46F2">
        <w:rPr>
          <w:rFonts w:ascii="Times New Roman" w:hAnsi="Times New Roman" w:cs="Times New Roman"/>
          <w:sz w:val="24"/>
          <w:szCs w:val="24"/>
          <w:lang w:val="en-US"/>
        </w:rPr>
        <w:t xml:space="preserve">It is argued </w:t>
      </w:r>
      <w:r w:rsidR="00344989">
        <w:rPr>
          <w:rFonts w:ascii="Times New Roman" w:hAnsi="Times New Roman" w:cs="Times New Roman"/>
          <w:sz w:val="24"/>
          <w:szCs w:val="24"/>
          <w:lang w:val="en-US"/>
        </w:rPr>
        <w:t xml:space="preserve">that </w:t>
      </w:r>
      <w:r w:rsidR="001E46F2">
        <w:rPr>
          <w:rFonts w:ascii="Times New Roman" w:hAnsi="Times New Roman" w:cs="Times New Roman"/>
          <w:sz w:val="24"/>
          <w:szCs w:val="24"/>
          <w:lang w:val="en-US"/>
        </w:rPr>
        <w:t>a provisional</w:t>
      </w:r>
      <w:r>
        <w:rPr>
          <w:rFonts w:ascii="Times New Roman" w:hAnsi="Times New Roman" w:cs="Times New Roman"/>
          <w:sz w:val="24"/>
          <w:szCs w:val="24"/>
          <w:lang w:val="en-US"/>
        </w:rPr>
        <w:t xml:space="preserve"> registration</w:t>
      </w:r>
      <w:r w:rsidR="001E46F2">
        <w:rPr>
          <w:rFonts w:ascii="Times New Roman" w:hAnsi="Times New Roman" w:cs="Times New Roman"/>
          <w:sz w:val="24"/>
          <w:szCs w:val="24"/>
          <w:lang w:val="en-US"/>
        </w:rPr>
        <w:t xml:space="preserve"> is not granted on the mere asking</w:t>
      </w:r>
      <w:r w:rsidR="00344989">
        <w:rPr>
          <w:rFonts w:ascii="Times New Roman" w:hAnsi="Times New Roman" w:cs="Times New Roman"/>
          <w:sz w:val="24"/>
          <w:szCs w:val="24"/>
          <w:lang w:val="en-US"/>
        </w:rPr>
        <w:t xml:space="preserve">; </w:t>
      </w:r>
      <w:r w:rsidR="001E46F2">
        <w:rPr>
          <w:rFonts w:ascii="Times New Roman" w:hAnsi="Times New Roman" w:cs="Times New Roman"/>
          <w:sz w:val="24"/>
          <w:szCs w:val="24"/>
          <w:lang w:val="en-US"/>
        </w:rPr>
        <w:t>it is granted if the respondent, after an evaluation in terms of s 10 (3) of the Act</w:t>
      </w:r>
      <w:r w:rsidR="00344989">
        <w:rPr>
          <w:rFonts w:ascii="Times New Roman" w:hAnsi="Times New Roman" w:cs="Times New Roman"/>
          <w:sz w:val="24"/>
          <w:szCs w:val="24"/>
          <w:lang w:val="en-US"/>
        </w:rPr>
        <w:t>,</w:t>
      </w:r>
      <w:r w:rsidR="001E46F2">
        <w:rPr>
          <w:rFonts w:ascii="Times New Roman" w:hAnsi="Times New Roman" w:cs="Times New Roman"/>
          <w:sz w:val="24"/>
          <w:szCs w:val="24"/>
          <w:lang w:val="en-US"/>
        </w:rPr>
        <w:t xml:space="preserve"> is satisfied that the requirements listed in s 11(1)(b)-(d) have been met. It is contended that the applicant failed to </w:t>
      </w:r>
      <w:r w:rsidR="001E46F2">
        <w:rPr>
          <w:rFonts w:ascii="Times New Roman" w:hAnsi="Times New Roman" w:cs="Times New Roman"/>
          <w:sz w:val="24"/>
          <w:szCs w:val="24"/>
          <w:lang w:val="en-US"/>
        </w:rPr>
        <w:lastRenderedPageBreak/>
        <w:t xml:space="preserve">meet the conditions set out in its initial provisional registration. It is further </w:t>
      </w:r>
      <w:r>
        <w:rPr>
          <w:rFonts w:ascii="Times New Roman" w:hAnsi="Times New Roman" w:cs="Times New Roman"/>
          <w:sz w:val="24"/>
          <w:szCs w:val="24"/>
          <w:lang w:val="en-US"/>
        </w:rPr>
        <w:t xml:space="preserve">submitted </w:t>
      </w:r>
      <w:r w:rsidR="001E46F2">
        <w:rPr>
          <w:rFonts w:ascii="Times New Roman" w:hAnsi="Times New Roman" w:cs="Times New Roman"/>
          <w:sz w:val="24"/>
          <w:szCs w:val="24"/>
          <w:lang w:val="en-US"/>
        </w:rPr>
        <w:t xml:space="preserve">that the applicant failed to provide programmes </w:t>
      </w:r>
      <w:r w:rsidR="00344989">
        <w:rPr>
          <w:rFonts w:ascii="Times New Roman" w:hAnsi="Times New Roman" w:cs="Times New Roman"/>
          <w:sz w:val="24"/>
          <w:szCs w:val="24"/>
          <w:lang w:val="en-US"/>
        </w:rPr>
        <w:t xml:space="preserve">that </w:t>
      </w:r>
      <w:r w:rsidR="001E46F2">
        <w:rPr>
          <w:rFonts w:ascii="Times New Roman" w:hAnsi="Times New Roman" w:cs="Times New Roman"/>
          <w:sz w:val="24"/>
          <w:szCs w:val="24"/>
          <w:lang w:val="en-US"/>
        </w:rPr>
        <w:t xml:space="preserve">could be accredited by the respondent. </w:t>
      </w:r>
      <w:r w:rsidR="00C35615">
        <w:rPr>
          <w:rFonts w:ascii="Times New Roman" w:hAnsi="Times New Roman" w:cs="Times New Roman"/>
          <w:sz w:val="24"/>
          <w:szCs w:val="24"/>
          <w:lang w:val="en-US"/>
        </w:rPr>
        <w:t xml:space="preserve">It is stated that all tertiary educational institutions in Zimbabwe are obliged to have programmes </w:t>
      </w:r>
      <w:r w:rsidR="00290473">
        <w:rPr>
          <w:rFonts w:ascii="Times New Roman" w:hAnsi="Times New Roman" w:cs="Times New Roman"/>
          <w:sz w:val="24"/>
          <w:szCs w:val="24"/>
          <w:lang w:val="en-US"/>
        </w:rPr>
        <w:t xml:space="preserve">that </w:t>
      </w:r>
      <w:r w:rsidR="00C35615">
        <w:rPr>
          <w:rFonts w:ascii="Times New Roman" w:hAnsi="Times New Roman" w:cs="Times New Roman"/>
          <w:sz w:val="24"/>
          <w:szCs w:val="24"/>
          <w:lang w:val="en-US"/>
        </w:rPr>
        <w:t xml:space="preserve">comply with the </w:t>
      </w:r>
      <w:r>
        <w:rPr>
          <w:rFonts w:ascii="Times New Roman" w:hAnsi="Times New Roman" w:cs="Times New Roman"/>
          <w:sz w:val="24"/>
          <w:szCs w:val="24"/>
          <w:lang w:val="en-US"/>
        </w:rPr>
        <w:t>heritage-based</w:t>
      </w:r>
      <w:r w:rsidR="00C35615">
        <w:rPr>
          <w:rFonts w:ascii="Times New Roman" w:hAnsi="Times New Roman" w:cs="Times New Roman"/>
          <w:sz w:val="24"/>
          <w:szCs w:val="24"/>
          <w:lang w:val="en-US"/>
        </w:rPr>
        <w:t xml:space="preserve"> education 5.0 policy of </w:t>
      </w:r>
      <w:r w:rsidR="00521A63">
        <w:rPr>
          <w:rFonts w:ascii="Times New Roman" w:hAnsi="Times New Roman" w:cs="Times New Roman"/>
          <w:sz w:val="24"/>
          <w:szCs w:val="24"/>
          <w:lang w:val="en-US"/>
        </w:rPr>
        <w:t xml:space="preserve">the </w:t>
      </w:r>
      <w:r w:rsidR="00C35615">
        <w:rPr>
          <w:rFonts w:ascii="Times New Roman" w:hAnsi="Times New Roman" w:cs="Times New Roman"/>
          <w:sz w:val="24"/>
          <w:szCs w:val="24"/>
          <w:lang w:val="en-US"/>
        </w:rPr>
        <w:t>government. However, the applicant’s programmes are simply plucked from their UNICAF FEDERAL</w:t>
      </w:r>
      <w:r w:rsidR="00C07579">
        <w:rPr>
          <w:rFonts w:ascii="Times New Roman" w:hAnsi="Times New Roman" w:cs="Times New Roman"/>
          <w:sz w:val="24"/>
          <w:szCs w:val="24"/>
          <w:lang w:val="en-US"/>
        </w:rPr>
        <w:t>,</w:t>
      </w:r>
      <w:r w:rsidR="00C35615">
        <w:rPr>
          <w:rFonts w:ascii="Times New Roman" w:hAnsi="Times New Roman" w:cs="Times New Roman"/>
          <w:sz w:val="24"/>
          <w:szCs w:val="24"/>
          <w:lang w:val="en-US"/>
        </w:rPr>
        <w:t xml:space="preserve"> which is based in Cyprus</w:t>
      </w:r>
      <w:r>
        <w:rPr>
          <w:rFonts w:ascii="Times New Roman" w:hAnsi="Times New Roman" w:cs="Times New Roman"/>
          <w:sz w:val="24"/>
          <w:szCs w:val="24"/>
          <w:lang w:val="en-US"/>
        </w:rPr>
        <w:t>,</w:t>
      </w:r>
      <w:r w:rsidR="00C35615">
        <w:rPr>
          <w:rFonts w:ascii="Times New Roman" w:hAnsi="Times New Roman" w:cs="Times New Roman"/>
          <w:sz w:val="24"/>
          <w:szCs w:val="24"/>
          <w:lang w:val="en-US"/>
        </w:rPr>
        <w:t xml:space="preserve"> and it is failing to tailor </w:t>
      </w:r>
      <w:r>
        <w:rPr>
          <w:rFonts w:ascii="Times New Roman" w:hAnsi="Times New Roman" w:cs="Times New Roman"/>
          <w:sz w:val="24"/>
          <w:szCs w:val="24"/>
          <w:lang w:val="en-US"/>
        </w:rPr>
        <w:t>them to</w:t>
      </w:r>
      <w:r w:rsidR="00C35615">
        <w:rPr>
          <w:rFonts w:ascii="Times New Roman" w:hAnsi="Times New Roman" w:cs="Times New Roman"/>
          <w:sz w:val="24"/>
          <w:szCs w:val="24"/>
          <w:lang w:val="en-US"/>
        </w:rPr>
        <w:t xml:space="preserve"> suit the demands of the Zimbabwean education policy. It is contended that </w:t>
      </w:r>
      <w:r w:rsidR="00D76244">
        <w:rPr>
          <w:rFonts w:ascii="Times New Roman" w:hAnsi="Times New Roman" w:cs="Times New Roman"/>
          <w:sz w:val="24"/>
          <w:szCs w:val="24"/>
          <w:lang w:val="en-US"/>
        </w:rPr>
        <w:t xml:space="preserve">it was for these reasons that the </w:t>
      </w:r>
      <w:r>
        <w:rPr>
          <w:rFonts w:ascii="Times New Roman" w:hAnsi="Times New Roman" w:cs="Times New Roman"/>
          <w:sz w:val="24"/>
          <w:szCs w:val="24"/>
          <w:lang w:val="en-US"/>
        </w:rPr>
        <w:t xml:space="preserve">renewal </w:t>
      </w:r>
      <w:r w:rsidR="00D76244">
        <w:rPr>
          <w:rFonts w:ascii="Times New Roman" w:hAnsi="Times New Roman" w:cs="Times New Roman"/>
          <w:sz w:val="24"/>
          <w:szCs w:val="24"/>
          <w:lang w:val="en-US"/>
        </w:rPr>
        <w:t>was d</w:t>
      </w:r>
      <w:r w:rsidR="002E3B4D">
        <w:rPr>
          <w:rFonts w:ascii="Times New Roman" w:hAnsi="Times New Roman" w:cs="Times New Roman"/>
          <w:sz w:val="24"/>
          <w:szCs w:val="24"/>
          <w:lang w:val="en-US"/>
        </w:rPr>
        <w:t>enied</w:t>
      </w:r>
      <w:r>
        <w:rPr>
          <w:rFonts w:ascii="Times New Roman" w:hAnsi="Times New Roman" w:cs="Times New Roman"/>
          <w:sz w:val="24"/>
          <w:szCs w:val="24"/>
          <w:lang w:val="en-US"/>
        </w:rPr>
        <w:t>,</w:t>
      </w:r>
      <w:r w:rsidR="00D76244">
        <w:rPr>
          <w:rFonts w:ascii="Times New Roman" w:hAnsi="Times New Roman" w:cs="Times New Roman"/>
          <w:sz w:val="24"/>
          <w:szCs w:val="24"/>
          <w:lang w:val="en-US"/>
        </w:rPr>
        <w:t xml:space="preserve"> </w:t>
      </w:r>
      <w:r>
        <w:rPr>
          <w:rFonts w:ascii="Times New Roman" w:hAnsi="Times New Roman" w:cs="Times New Roman"/>
          <w:sz w:val="24"/>
          <w:szCs w:val="24"/>
          <w:lang w:val="en-US"/>
        </w:rPr>
        <w:t>even though</w:t>
      </w:r>
      <w:r w:rsidR="00D76244">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D76244">
        <w:rPr>
          <w:rFonts w:ascii="Times New Roman" w:hAnsi="Times New Roman" w:cs="Times New Roman"/>
          <w:sz w:val="24"/>
          <w:szCs w:val="24"/>
          <w:lang w:val="en-US"/>
        </w:rPr>
        <w:t xml:space="preserve"> initial </w:t>
      </w:r>
      <w:r>
        <w:rPr>
          <w:rFonts w:ascii="Times New Roman" w:hAnsi="Times New Roman" w:cs="Times New Roman"/>
          <w:sz w:val="24"/>
          <w:szCs w:val="24"/>
          <w:lang w:val="en-US"/>
        </w:rPr>
        <w:t xml:space="preserve">application was </w:t>
      </w:r>
      <w:r w:rsidR="00D76244">
        <w:rPr>
          <w:rFonts w:ascii="Times New Roman" w:hAnsi="Times New Roman" w:cs="Times New Roman"/>
          <w:sz w:val="24"/>
          <w:szCs w:val="24"/>
          <w:lang w:val="en-US"/>
        </w:rPr>
        <w:t>granted</w:t>
      </w:r>
      <w:r>
        <w:rPr>
          <w:rFonts w:ascii="Times New Roman" w:hAnsi="Times New Roman" w:cs="Times New Roman"/>
          <w:sz w:val="24"/>
          <w:szCs w:val="24"/>
          <w:lang w:val="en-US"/>
        </w:rPr>
        <w:t xml:space="preserve">. </w:t>
      </w:r>
      <w:r w:rsidR="002E3B4D">
        <w:rPr>
          <w:rFonts w:ascii="Times New Roman" w:hAnsi="Times New Roman" w:cs="Times New Roman"/>
          <w:sz w:val="24"/>
          <w:szCs w:val="24"/>
          <w:lang w:val="en-US"/>
        </w:rPr>
        <w:t xml:space="preserve">The respondent sought that the application be dismissed. </w:t>
      </w:r>
    </w:p>
    <w:p w14:paraId="2301E622" w14:textId="691B6CCD" w:rsidR="002E3B4D" w:rsidRPr="00142B30" w:rsidRDefault="002E3B4D" w:rsidP="00E84D7E">
      <w:pPr>
        <w:spacing w:after="0" w:line="360" w:lineRule="auto"/>
        <w:jc w:val="both"/>
        <w:rPr>
          <w:rFonts w:ascii="Times New Roman" w:hAnsi="Times New Roman" w:cs="Times New Roman"/>
          <w:b/>
          <w:bCs/>
          <w:sz w:val="24"/>
          <w:szCs w:val="24"/>
          <w:u w:val="single"/>
          <w:lang w:val="en-US"/>
        </w:rPr>
      </w:pPr>
      <w:r w:rsidRPr="00142B30">
        <w:rPr>
          <w:rFonts w:ascii="Times New Roman" w:hAnsi="Times New Roman" w:cs="Times New Roman"/>
          <w:b/>
          <w:bCs/>
          <w:sz w:val="24"/>
          <w:szCs w:val="24"/>
          <w:u w:val="single"/>
          <w:lang w:val="en-US"/>
        </w:rPr>
        <w:t>A</w:t>
      </w:r>
      <w:r w:rsidR="00D77F9A">
        <w:rPr>
          <w:rFonts w:ascii="Times New Roman" w:hAnsi="Times New Roman" w:cs="Times New Roman"/>
          <w:b/>
          <w:bCs/>
          <w:sz w:val="24"/>
          <w:szCs w:val="24"/>
          <w:u w:val="single"/>
          <w:lang w:val="en-US"/>
        </w:rPr>
        <w:t>pplication of the law to the facts.</w:t>
      </w:r>
    </w:p>
    <w:p w14:paraId="0A9732FA" w14:textId="5C29E5B0" w:rsidR="0001498B" w:rsidRPr="006A1A0D" w:rsidRDefault="0036586C" w:rsidP="00A80C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01498B">
        <w:rPr>
          <w:rFonts w:ascii="Times New Roman" w:hAnsi="Times New Roman" w:cs="Times New Roman"/>
          <w:sz w:val="24"/>
          <w:szCs w:val="24"/>
        </w:rPr>
        <w:t>F</w:t>
      </w:r>
      <w:r w:rsidR="0001498B" w:rsidRPr="0001498B">
        <w:rPr>
          <w:rFonts w:ascii="Times New Roman" w:hAnsi="Times New Roman" w:cs="Times New Roman"/>
          <w:sz w:val="24"/>
          <w:szCs w:val="24"/>
        </w:rPr>
        <w:t xml:space="preserve">or the purposes of completion and clarity, I shall </w:t>
      </w:r>
      <w:r w:rsidR="0001498B">
        <w:rPr>
          <w:rFonts w:ascii="Times New Roman" w:hAnsi="Times New Roman" w:cs="Times New Roman"/>
          <w:sz w:val="24"/>
          <w:szCs w:val="24"/>
        </w:rPr>
        <w:t>reproduce</w:t>
      </w:r>
      <w:r w:rsidR="00B7073A">
        <w:rPr>
          <w:rFonts w:ascii="Times New Roman" w:hAnsi="Times New Roman" w:cs="Times New Roman"/>
          <w:sz w:val="24"/>
          <w:szCs w:val="24"/>
        </w:rPr>
        <w:t xml:space="preserve"> the material part of</w:t>
      </w:r>
      <w:r w:rsidR="0001498B">
        <w:rPr>
          <w:rFonts w:ascii="Times New Roman" w:hAnsi="Times New Roman" w:cs="Times New Roman"/>
          <w:sz w:val="24"/>
          <w:szCs w:val="24"/>
        </w:rPr>
        <w:t xml:space="preserve"> the letter dated 15 November 2025, embodying the decision sought to be challenged in this application. It is this: </w:t>
      </w:r>
    </w:p>
    <w:p w14:paraId="31DE160A" w14:textId="2735DF21" w:rsidR="0001498B" w:rsidRPr="00B7073A" w:rsidRDefault="0001498B" w:rsidP="00B7073A">
      <w:pPr>
        <w:spacing w:after="0" w:line="240" w:lineRule="auto"/>
        <w:ind w:left="720"/>
        <w:jc w:val="both"/>
        <w:rPr>
          <w:rFonts w:ascii="Times New Roman" w:hAnsi="Times New Roman" w:cs="Times New Roman"/>
        </w:rPr>
      </w:pPr>
      <w:r w:rsidRPr="00B7073A">
        <w:rPr>
          <w:rFonts w:ascii="Times New Roman" w:hAnsi="Times New Roman" w:cs="Times New Roman"/>
        </w:rPr>
        <w:t>“Re: INICAF Zimbabwe application for renewal of provisional registration in Zimbabwe</w:t>
      </w:r>
    </w:p>
    <w:p w14:paraId="65999589" w14:textId="500A9856" w:rsidR="00B7073A" w:rsidRPr="00B7073A" w:rsidRDefault="0001498B" w:rsidP="00B7073A">
      <w:pPr>
        <w:spacing w:after="0" w:line="240" w:lineRule="auto"/>
        <w:ind w:left="720"/>
        <w:jc w:val="both"/>
        <w:rPr>
          <w:rFonts w:ascii="Times New Roman" w:hAnsi="Times New Roman" w:cs="Times New Roman"/>
        </w:rPr>
      </w:pPr>
      <w:r w:rsidRPr="00B7073A">
        <w:rPr>
          <w:rFonts w:ascii="Times New Roman" w:hAnsi="Times New Roman" w:cs="Times New Roman"/>
        </w:rPr>
        <w:t>The ZIMCHE Council met on 23</w:t>
      </w:r>
      <w:r w:rsidRPr="00B7073A">
        <w:rPr>
          <w:rFonts w:ascii="Times New Roman" w:hAnsi="Times New Roman" w:cs="Times New Roman"/>
          <w:vertAlign w:val="superscript"/>
        </w:rPr>
        <w:t>rd</w:t>
      </w:r>
      <w:r w:rsidRPr="00B7073A">
        <w:rPr>
          <w:rFonts w:ascii="Times New Roman" w:hAnsi="Times New Roman" w:cs="Times New Roman"/>
        </w:rPr>
        <w:t xml:space="preserve"> </w:t>
      </w:r>
      <w:r w:rsidR="00B7073A" w:rsidRPr="00B7073A">
        <w:rPr>
          <w:rFonts w:ascii="Times New Roman" w:hAnsi="Times New Roman" w:cs="Times New Roman"/>
        </w:rPr>
        <w:t>September</w:t>
      </w:r>
      <w:r w:rsidRPr="00B7073A">
        <w:rPr>
          <w:rFonts w:ascii="Times New Roman" w:hAnsi="Times New Roman" w:cs="Times New Roman"/>
        </w:rPr>
        <w:t xml:space="preserve"> 2022 and deliberated on UNICAF Zimbabwe’s application for renewal of provisional registration. The Council resolved to deny the renewal of INICAF Zimbabwe’s provisional registration. Since the discussion held during the physical assessment meeting on 9</w:t>
      </w:r>
      <w:r w:rsidRPr="00B7073A">
        <w:rPr>
          <w:rFonts w:ascii="Times New Roman" w:hAnsi="Times New Roman" w:cs="Times New Roman"/>
          <w:vertAlign w:val="superscript"/>
        </w:rPr>
        <w:t>th</w:t>
      </w:r>
      <w:r w:rsidRPr="00B7073A">
        <w:rPr>
          <w:rFonts w:ascii="Times New Roman" w:hAnsi="Times New Roman" w:cs="Times New Roman"/>
        </w:rPr>
        <w:t xml:space="preserve"> September 2021, at UNICAF Zimbabwe’s boardroom, the situation has remained the same. </w:t>
      </w:r>
      <w:r w:rsidR="00B7073A" w:rsidRPr="00B7073A">
        <w:rPr>
          <w:rFonts w:ascii="Times New Roman" w:hAnsi="Times New Roman" w:cs="Times New Roman"/>
        </w:rPr>
        <w:t xml:space="preserve">The Council decision was based on the following: </w:t>
      </w:r>
    </w:p>
    <w:p w14:paraId="5C3DE274" w14:textId="519BF564" w:rsidR="007E6974" w:rsidRPr="00B7073A" w:rsidRDefault="00B7073A" w:rsidP="00B7073A">
      <w:pPr>
        <w:spacing w:after="0" w:line="240" w:lineRule="auto"/>
        <w:ind w:left="720"/>
        <w:jc w:val="both"/>
        <w:rPr>
          <w:rFonts w:ascii="Times New Roman" w:hAnsi="Times New Roman" w:cs="Times New Roman"/>
        </w:rPr>
      </w:pPr>
      <w:r w:rsidRPr="00B7073A">
        <w:rPr>
          <w:rFonts w:ascii="Times New Roman" w:hAnsi="Times New Roman" w:cs="Times New Roman"/>
        </w:rPr>
        <w:t xml:space="preserve">A. Governing Issues </w:t>
      </w:r>
    </w:p>
    <w:p w14:paraId="688C5FFA" w14:textId="57AE81D1" w:rsidR="009552FB" w:rsidRPr="00B7073A" w:rsidRDefault="00B7073A" w:rsidP="00B7073A">
      <w:pPr>
        <w:spacing w:after="0" w:line="240" w:lineRule="auto"/>
        <w:ind w:firstLine="720"/>
        <w:jc w:val="both"/>
        <w:rPr>
          <w:rFonts w:ascii="Times New Roman" w:hAnsi="Times New Roman" w:cs="Times New Roman"/>
        </w:rPr>
      </w:pPr>
      <w:r w:rsidRPr="00B7073A">
        <w:rPr>
          <w:rFonts w:ascii="Times New Roman" w:hAnsi="Times New Roman" w:cs="Times New Roman"/>
        </w:rPr>
        <w:t xml:space="preserve">A1. </w:t>
      </w:r>
      <w:r w:rsidR="009552FB" w:rsidRPr="00B7073A">
        <w:rPr>
          <w:rFonts w:ascii="Times New Roman" w:hAnsi="Times New Roman" w:cs="Times New Roman"/>
        </w:rPr>
        <w:t>Governance issues</w:t>
      </w:r>
    </w:p>
    <w:p w14:paraId="27F1FB9B" w14:textId="77777777" w:rsidR="00B7073A" w:rsidRPr="00B7073A" w:rsidRDefault="009552FB" w:rsidP="00B7073A">
      <w:pPr>
        <w:pStyle w:val="ListParagraph"/>
        <w:numPr>
          <w:ilvl w:val="0"/>
          <w:numId w:val="5"/>
        </w:numPr>
        <w:spacing w:after="0" w:line="240" w:lineRule="auto"/>
        <w:jc w:val="both"/>
        <w:rPr>
          <w:rFonts w:ascii="Times New Roman" w:hAnsi="Times New Roman" w:cs="Times New Roman"/>
        </w:rPr>
      </w:pPr>
      <w:r w:rsidRPr="00B7073A">
        <w:rPr>
          <w:rFonts w:ascii="Times New Roman" w:hAnsi="Times New Roman" w:cs="Times New Roman"/>
        </w:rPr>
        <w:t>UNICAF Zimbabwe has not demonstrated any significant steps towards complying with the conditions set out in s 19 of the ZIMCHE Act.</w:t>
      </w:r>
    </w:p>
    <w:p w14:paraId="063DC925" w14:textId="4E5D7C62" w:rsidR="009552FB" w:rsidRPr="00B7073A" w:rsidRDefault="009552FB" w:rsidP="00B7073A">
      <w:pPr>
        <w:pStyle w:val="ListParagraph"/>
        <w:numPr>
          <w:ilvl w:val="0"/>
          <w:numId w:val="5"/>
        </w:numPr>
        <w:spacing w:after="0" w:line="240" w:lineRule="auto"/>
        <w:jc w:val="both"/>
        <w:rPr>
          <w:rFonts w:ascii="Times New Roman" w:hAnsi="Times New Roman" w:cs="Times New Roman"/>
        </w:rPr>
      </w:pPr>
      <w:r w:rsidRPr="00B7073A">
        <w:rPr>
          <w:rFonts w:ascii="Times New Roman" w:hAnsi="Times New Roman" w:cs="Times New Roman"/>
        </w:rPr>
        <w:t xml:space="preserve">UNICAF Zimbabwe needs to resolve the issue of its identity, its relationship with UNICAF Federal, and other </w:t>
      </w:r>
      <w:r w:rsidR="00700F6B">
        <w:rPr>
          <w:rFonts w:ascii="Times New Roman" w:hAnsi="Times New Roman" w:cs="Times New Roman"/>
        </w:rPr>
        <w:t>UNICAF</w:t>
      </w:r>
      <w:r w:rsidR="00700F6B" w:rsidRPr="00B7073A">
        <w:rPr>
          <w:rFonts w:ascii="Times New Roman" w:hAnsi="Times New Roman" w:cs="Times New Roman"/>
        </w:rPr>
        <w:t xml:space="preserve"> </w:t>
      </w:r>
      <w:r w:rsidRPr="00B7073A">
        <w:rPr>
          <w:rFonts w:ascii="Times New Roman" w:hAnsi="Times New Roman" w:cs="Times New Roman"/>
        </w:rPr>
        <w:t xml:space="preserve">centres all over the world. </w:t>
      </w:r>
    </w:p>
    <w:p w14:paraId="7FD65C30" w14:textId="7379A792" w:rsidR="009552FB" w:rsidRPr="00B7073A" w:rsidRDefault="009552FB" w:rsidP="00B7073A">
      <w:pPr>
        <w:spacing w:after="0" w:line="240" w:lineRule="auto"/>
        <w:ind w:left="720"/>
        <w:jc w:val="both"/>
        <w:rPr>
          <w:rFonts w:ascii="Times New Roman" w:hAnsi="Times New Roman" w:cs="Times New Roman"/>
        </w:rPr>
      </w:pPr>
      <w:r w:rsidRPr="00B7073A">
        <w:rPr>
          <w:rFonts w:ascii="Times New Roman" w:hAnsi="Times New Roman" w:cs="Times New Roman"/>
        </w:rPr>
        <w:t>UNICAF Zimbabwe is therefore not expected to carry out any academic activity in Zimbabwe as it is not accredited by the Zimbabwe Council for Higher Education.</w:t>
      </w:r>
    </w:p>
    <w:p w14:paraId="256001C7" w14:textId="63CAB97C" w:rsidR="00B7073A" w:rsidRPr="00B7073A" w:rsidRDefault="00B7073A" w:rsidP="00B7073A">
      <w:pPr>
        <w:spacing w:after="0" w:line="240" w:lineRule="auto"/>
        <w:ind w:left="720"/>
        <w:jc w:val="both"/>
        <w:rPr>
          <w:rFonts w:ascii="Times New Roman" w:hAnsi="Times New Roman" w:cs="Times New Roman"/>
        </w:rPr>
      </w:pPr>
    </w:p>
    <w:p w14:paraId="4FAE479B" w14:textId="6F7BEABA" w:rsidR="007E6974" w:rsidRPr="00B7073A" w:rsidRDefault="00B7073A" w:rsidP="00947975">
      <w:pPr>
        <w:spacing w:after="0" w:line="240" w:lineRule="auto"/>
        <w:ind w:left="720"/>
        <w:jc w:val="both"/>
        <w:rPr>
          <w:rFonts w:ascii="Times New Roman" w:hAnsi="Times New Roman" w:cs="Times New Roman"/>
        </w:rPr>
      </w:pPr>
      <w:r w:rsidRPr="00B7073A">
        <w:rPr>
          <w:rFonts w:ascii="Times New Roman" w:hAnsi="Times New Roman" w:cs="Times New Roman"/>
        </w:rPr>
        <w:t>Please feel free to get back to us.</w:t>
      </w:r>
      <w:r>
        <w:rPr>
          <w:rFonts w:ascii="Times New Roman" w:hAnsi="Times New Roman" w:cs="Times New Roman"/>
        </w:rPr>
        <w:t xml:space="preserve">” </w:t>
      </w:r>
    </w:p>
    <w:p w14:paraId="7229DE17" w14:textId="77777777" w:rsidR="00FA2967" w:rsidRDefault="00FA2967" w:rsidP="00E84D7E">
      <w:pPr>
        <w:spacing w:after="0" w:line="360" w:lineRule="auto"/>
        <w:jc w:val="both"/>
        <w:rPr>
          <w:rFonts w:ascii="Times New Roman" w:hAnsi="Times New Roman" w:cs="Times New Roman"/>
          <w:sz w:val="24"/>
          <w:szCs w:val="24"/>
        </w:rPr>
      </w:pPr>
    </w:p>
    <w:p w14:paraId="7784F647" w14:textId="1037F0F0" w:rsidR="00171084" w:rsidRDefault="00B7073A" w:rsidP="00171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886D9B">
        <w:rPr>
          <w:rFonts w:ascii="Times New Roman" w:hAnsi="Times New Roman" w:cs="Times New Roman"/>
          <w:sz w:val="24"/>
          <w:szCs w:val="24"/>
        </w:rPr>
        <w:t>3]</w:t>
      </w:r>
      <w:r w:rsidR="00171084" w:rsidRPr="00171084">
        <w:rPr>
          <w:rFonts w:ascii="Times New Roman" w:hAnsi="Times New Roman" w:cs="Times New Roman"/>
          <w:sz w:val="24"/>
          <w:szCs w:val="24"/>
        </w:rPr>
        <w:t xml:space="preserve"> </w:t>
      </w:r>
      <w:r w:rsidR="00171084">
        <w:rPr>
          <w:rFonts w:ascii="Times New Roman" w:hAnsi="Times New Roman" w:cs="Times New Roman"/>
          <w:sz w:val="24"/>
          <w:szCs w:val="24"/>
        </w:rPr>
        <w:t xml:space="preserve">The applicant argues that the reasons given by the respondent for its </w:t>
      </w:r>
      <w:r w:rsidR="00F3179C">
        <w:rPr>
          <w:rFonts w:ascii="Times New Roman" w:hAnsi="Times New Roman" w:cs="Times New Roman"/>
          <w:sz w:val="24"/>
          <w:szCs w:val="24"/>
        </w:rPr>
        <w:t>denial</w:t>
      </w:r>
      <w:r w:rsidR="00171084">
        <w:rPr>
          <w:rFonts w:ascii="Times New Roman" w:hAnsi="Times New Roman" w:cs="Times New Roman"/>
          <w:sz w:val="24"/>
          <w:szCs w:val="24"/>
        </w:rPr>
        <w:t xml:space="preserve"> to grant provisional registration are not lawful, because they do not fall within s 11 of the Act. In other words, the submission is that the respondent treated the application as if it </w:t>
      </w:r>
      <w:r w:rsidR="002173AD">
        <w:rPr>
          <w:rFonts w:ascii="Times New Roman" w:hAnsi="Times New Roman" w:cs="Times New Roman"/>
          <w:sz w:val="24"/>
          <w:szCs w:val="24"/>
        </w:rPr>
        <w:t xml:space="preserve">were </w:t>
      </w:r>
      <w:r w:rsidR="00171084">
        <w:rPr>
          <w:rFonts w:ascii="Times New Roman" w:hAnsi="Times New Roman" w:cs="Times New Roman"/>
          <w:sz w:val="24"/>
          <w:szCs w:val="24"/>
        </w:rPr>
        <w:t xml:space="preserve">an application for final accreditation. I do not agree. The Act does not provide for a renewal of a provisional registration </w:t>
      </w:r>
      <w:r w:rsidR="000608B9">
        <w:rPr>
          <w:rFonts w:ascii="Times New Roman" w:hAnsi="Times New Roman" w:cs="Times New Roman"/>
          <w:sz w:val="24"/>
          <w:szCs w:val="24"/>
        </w:rPr>
        <w:t xml:space="preserve">that </w:t>
      </w:r>
      <w:r w:rsidR="00171084">
        <w:rPr>
          <w:rFonts w:ascii="Times New Roman" w:hAnsi="Times New Roman" w:cs="Times New Roman"/>
          <w:sz w:val="24"/>
          <w:szCs w:val="24"/>
        </w:rPr>
        <w:t xml:space="preserve">has </w:t>
      </w:r>
      <w:r w:rsidR="00F3179C">
        <w:rPr>
          <w:rFonts w:ascii="Times New Roman" w:hAnsi="Times New Roman" w:cs="Times New Roman"/>
          <w:sz w:val="24"/>
          <w:szCs w:val="24"/>
        </w:rPr>
        <w:t>expired</w:t>
      </w:r>
      <w:r w:rsidR="00171084">
        <w:rPr>
          <w:rFonts w:ascii="Times New Roman" w:hAnsi="Times New Roman" w:cs="Times New Roman"/>
          <w:sz w:val="24"/>
          <w:szCs w:val="24"/>
        </w:rPr>
        <w:t xml:space="preserve">. It is for this reason that the respondent, and rightfully so, treated it as a fresh application. The respondent noted that the applicant had not met the s 11(1) requirements, particularly s 11(1) (c), which says: </w:t>
      </w:r>
    </w:p>
    <w:p w14:paraId="42E90A2A" w14:textId="77777777" w:rsidR="00171084" w:rsidRDefault="00171084" w:rsidP="00171084">
      <w:pPr>
        <w:spacing w:after="0" w:line="240" w:lineRule="auto"/>
        <w:ind w:left="720"/>
        <w:jc w:val="both"/>
        <w:rPr>
          <w:rFonts w:ascii="Times New Roman" w:hAnsi="Times New Roman" w:cs="Times New Roman"/>
        </w:rPr>
      </w:pPr>
      <w:r w:rsidRPr="005C581D">
        <w:rPr>
          <w:rFonts w:ascii="Times New Roman" w:hAnsi="Times New Roman" w:cs="Times New Roman"/>
        </w:rPr>
        <w:t>“Where the Council is satisfied that—</w:t>
      </w:r>
    </w:p>
    <w:p w14:paraId="0137B737" w14:textId="457115A9" w:rsidR="00171084" w:rsidRPr="005C581D" w:rsidRDefault="00171084" w:rsidP="00171084">
      <w:pPr>
        <w:spacing w:after="0" w:line="240" w:lineRule="auto"/>
        <w:ind w:left="720"/>
        <w:jc w:val="both"/>
        <w:rPr>
          <w:rFonts w:ascii="Times New Roman" w:hAnsi="Times New Roman" w:cs="Times New Roman"/>
        </w:rPr>
      </w:pPr>
      <w:r w:rsidRPr="005C581D">
        <w:rPr>
          <w:rFonts w:ascii="Times New Roman" w:hAnsi="Times New Roman" w:cs="Times New Roman"/>
        </w:rPr>
        <w:t xml:space="preserve">(c) </w:t>
      </w:r>
      <w:r w:rsidR="00352F6E">
        <w:rPr>
          <w:rFonts w:ascii="Times New Roman" w:hAnsi="Times New Roman" w:cs="Times New Roman"/>
        </w:rPr>
        <w:t>t</w:t>
      </w:r>
      <w:r w:rsidR="00702293">
        <w:rPr>
          <w:rFonts w:ascii="Times New Roman" w:hAnsi="Times New Roman" w:cs="Times New Roman"/>
        </w:rPr>
        <w:t>he</w:t>
      </w:r>
      <w:r w:rsidR="00702293" w:rsidRPr="005C581D">
        <w:rPr>
          <w:rFonts w:ascii="Times New Roman" w:hAnsi="Times New Roman" w:cs="Times New Roman"/>
        </w:rPr>
        <w:t xml:space="preserve"> </w:t>
      </w:r>
      <w:r w:rsidRPr="005C581D">
        <w:rPr>
          <w:rFonts w:ascii="Times New Roman" w:hAnsi="Times New Roman" w:cs="Times New Roman"/>
        </w:rPr>
        <w:t xml:space="preserve">private institution, </w:t>
      </w:r>
      <w:r w:rsidRPr="005C581D">
        <w:rPr>
          <w:rFonts w:ascii="Times New Roman" w:hAnsi="Times New Roman" w:cs="Times New Roman"/>
          <w:u w:val="single"/>
        </w:rPr>
        <w:t>when established</w:t>
      </w:r>
      <w:r w:rsidRPr="005C581D">
        <w:rPr>
          <w:rFonts w:ascii="Times New Roman" w:hAnsi="Times New Roman" w:cs="Times New Roman"/>
        </w:rPr>
        <w:t>, is likely to attain and maintain standards set out in accordance with Part V on a long-term basis</w:t>
      </w:r>
      <w:r>
        <w:rPr>
          <w:rFonts w:ascii="Times New Roman" w:hAnsi="Times New Roman" w:cs="Times New Roman"/>
        </w:rPr>
        <w:t>;</w:t>
      </w:r>
    </w:p>
    <w:p w14:paraId="517C772C" w14:textId="77777777" w:rsidR="00171084" w:rsidRDefault="00171084" w:rsidP="00171084">
      <w:pPr>
        <w:spacing w:after="0" w:line="240" w:lineRule="auto"/>
        <w:ind w:left="720"/>
        <w:jc w:val="both"/>
        <w:rPr>
          <w:rFonts w:ascii="Times New Roman" w:hAnsi="Times New Roman" w:cs="Times New Roman"/>
        </w:rPr>
      </w:pPr>
      <w:r w:rsidRPr="005C581D">
        <w:rPr>
          <w:rFonts w:ascii="Times New Roman" w:hAnsi="Times New Roman" w:cs="Times New Roman"/>
        </w:rPr>
        <w:lastRenderedPageBreak/>
        <w:t xml:space="preserve">it may provisionally register the applicant until such time as it is finally registered in terms of subsection (8) and issue to it a provisional registration certificate.” </w:t>
      </w:r>
      <w:r>
        <w:rPr>
          <w:rFonts w:ascii="Times New Roman" w:hAnsi="Times New Roman" w:cs="Times New Roman"/>
        </w:rPr>
        <w:t>(</w:t>
      </w:r>
      <w:r w:rsidRPr="005C581D">
        <w:rPr>
          <w:rFonts w:ascii="Times New Roman" w:hAnsi="Times New Roman" w:cs="Times New Roman"/>
          <w:sz w:val="24"/>
          <w:szCs w:val="24"/>
        </w:rPr>
        <w:t>My emphasis</w:t>
      </w:r>
      <w:r>
        <w:rPr>
          <w:rFonts w:ascii="Times New Roman" w:hAnsi="Times New Roman" w:cs="Times New Roman"/>
        </w:rPr>
        <w:t xml:space="preserve">). </w:t>
      </w:r>
    </w:p>
    <w:p w14:paraId="2EF4A3AF" w14:textId="77777777" w:rsidR="00171084" w:rsidRPr="005C581D" w:rsidRDefault="00171084" w:rsidP="00171084">
      <w:pPr>
        <w:spacing w:after="0" w:line="240" w:lineRule="auto"/>
        <w:ind w:left="720"/>
        <w:jc w:val="both"/>
        <w:rPr>
          <w:rFonts w:ascii="Times New Roman" w:hAnsi="Times New Roman" w:cs="Times New Roman"/>
        </w:rPr>
      </w:pPr>
    </w:p>
    <w:p w14:paraId="7A384790" w14:textId="1526D3E1" w:rsidR="00171084" w:rsidRDefault="00171084" w:rsidP="00171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886D9B">
        <w:rPr>
          <w:rFonts w:ascii="Times New Roman" w:hAnsi="Times New Roman" w:cs="Times New Roman"/>
          <w:sz w:val="24"/>
          <w:szCs w:val="24"/>
        </w:rPr>
        <w:t>4</w:t>
      </w:r>
      <w:r>
        <w:rPr>
          <w:rFonts w:ascii="Times New Roman" w:hAnsi="Times New Roman" w:cs="Times New Roman"/>
          <w:sz w:val="24"/>
          <w:szCs w:val="24"/>
        </w:rPr>
        <w:t xml:space="preserve">] It is apparent that s 11(1)(c) is </w:t>
      </w:r>
      <w:r w:rsidR="000C2D34">
        <w:rPr>
          <w:rFonts w:ascii="Times New Roman" w:hAnsi="Times New Roman" w:cs="Times New Roman"/>
          <w:sz w:val="24"/>
          <w:szCs w:val="24"/>
        </w:rPr>
        <w:t>forward-looking</w:t>
      </w:r>
      <w:r>
        <w:rPr>
          <w:rFonts w:ascii="Times New Roman" w:hAnsi="Times New Roman" w:cs="Times New Roman"/>
          <w:sz w:val="24"/>
          <w:szCs w:val="24"/>
        </w:rPr>
        <w:t>, in that</w:t>
      </w:r>
      <w:r w:rsidR="0086636D">
        <w:rPr>
          <w:rFonts w:ascii="Times New Roman" w:hAnsi="Times New Roman" w:cs="Times New Roman"/>
          <w:sz w:val="24"/>
          <w:szCs w:val="24"/>
        </w:rPr>
        <w:t xml:space="preserve"> the</w:t>
      </w:r>
      <w:r>
        <w:rPr>
          <w:rFonts w:ascii="Times New Roman" w:hAnsi="Times New Roman" w:cs="Times New Roman"/>
          <w:sz w:val="24"/>
          <w:szCs w:val="24"/>
        </w:rPr>
        <w:t xml:space="preserve"> Council may provisionally register an institution of higher learning, if satisfied that when established, is likely to meet the requirements of Part V of the Act. In other words,</w:t>
      </w:r>
      <w:r w:rsidR="0086636D">
        <w:rPr>
          <w:rFonts w:ascii="Times New Roman" w:hAnsi="Times New Roman" w:cs="Times New Roman"/>
          <w:sz w:val="24"/>
          <w:szCs w:val="24"/>
        </w:rPr>
        <w:t xml:space="preserve"> the</w:t>
      </w:r>
      <w:r>
        <w:rPr>
          <w:rFonts w:ascii="Times New Roman" w:hAnsi="Times New Roman" w:cs="Times New Roman"/>
          <w:sz w:val="24"/>
          <w:szCs w:val="24"/>
        </w:rPr>
        <w:t xml:space="preserve"> Council may provisionally register an institution when satisfied that it will meet the requirements of final accreditation as spelt out, particularly in s 19 of the Act, which says: </w:t>
      </w:r>
    </w:p>
    <w:p w14:paraId="5C1E5B18" w14:textId="2FF4705F" w:rsidR="00171084" w:rsidRDefault="00171084" w:rsidP="0017108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87366D">
        <w:rPr>
          <w:rFonts w:ascii="Times New Roman" w:hAnsi="Times New Roman" w:cs="Times New Roman"/>
        </w:rPr>
        <w:t>(1)</w:t>
      </w:r>
      <w:r>
        <w:rPr>
          <w:rFonts w:ascii="Times New Roman" w:hAnsi="Times New Roman" w:cs="Times New Roman"/>
        </w:rPr>
        <w:t xml:space="preserve"> </w:t>
      </w:r>
      <w:r w:rsidRPr="0087366D">
        <w:rPr>
          <w:rFonts w:ascii="Times New Roman" w:hAnsi="Times New Roman" w:cs="Times New Roman"/>
        </w:rPr>
        <w:t>An institution of higher education shall be issued with a certificate of accreditation if it demonstrates the achievement of acceptable standards in terms of physical, human, financial</w:t>
      </w:r>
      <w:r w:rsidR="000C2D34">
        <w:rPr>
          <w:rFonts w:ascii="Times New Roman" w:hAnsi="Times New Roman" w:cs="Times New Roman"/>
        </w:rPr>
        <w:t>,</w:t>
      </w:r>
      <w:r w:rsidRPr="0087366D">
        <w:rPr>
          <w:rFonts w:ascii="Times New Roman" w:hAnsi="Times New Roman" w:cs="Times New Roman"/>
        </w:rPr>
        <w:t xml:space="preserve"> and material resources, management and operational procedures</w:t>
      </w:r>
      <w:r w:rsidR="000C2D34">
        <w:rPr>
          <w:rFonts w:ascii="Times New Roman" w:hAnsi="Times New Roman" w:cs="Times New Roman"/>
        </w:rPr>
        <w:t>,</w:t>
      </w:r>
      <w:r w:rsidRPr="0087366D">
        <w:rPr>
          <w:rFonts w:ascii="Times New Roman" w:hAnsi="Times New Roman" w:cs="Times New Roman"/>
        </w:rPr>
        <w:t xml:space="preserve"> and an acceptable standard of academic life focusing on teaching, research</w:t>
      </w:r>
      <w:r w:rsidR="000C2D34">
        <w:rPr>
          <w:rFonts w:ascii="Times New Roman" w:hAnsi="Times New Roman" w:cs="Times New Roman"/>
        </w:rPr>
        <w:t>,</w:t>
      </w:r>
      <w:r w:rsidRPr="0087366D">
        <w:rPr>
          <w:rFonts w:ascii="Times New Roman" w:hAnsi="Times New Roman" w:cs="Times New Roman"/>
        </w:rPr>
        <w:t xml:space="preserve"> and public and expert service.</w:t>
      </w:r>
    </w:p>
    <w:p w14:paraId="13998442" w14:textId="687B7BA8" w:rsidR="00171084" w:rsidRPr="0087366D" w:rsidRDefault="00171084" w:rsidP="00171084">
      <w:pPr>
        <w:spacing w:after="0" w:line="240" w:lineRule="auto"/>
        <w:ind w:left="720"/>
        <w:jc w:val="both"/>
        <w:rPr>
          <w:rFonts w:ascii="Times New Roman" w:hAnsi="Times New Roman" w:cs="Times New Roman"/>
        </w:rPr>
      </w:pPr>
      <w:r w:rsidRPr="0087366D">
        <w:rPr>
          <w:rFonts w:ascii="Times New Roman" w:hAnsi="Times New Roman" w:cs="Times New Roman"/>
        </w:rPr>
        <w:t>(2) For each programme</w:t>
      </w:r>
      <w:r w:rsidR="000C2D34">
        <w:rPr>
          <w:rFonts w:ascii="Times New Roman" w:hAnsi="Times New Roman" w:cs="Times New Roman"/>
        </w:rPr>
        <w:t>,</w:t>
      </w:r>
      <w:r w:rsidRPr="0087366D">
        <w:rPr>
          <w:rFonts w:ascii="Times New Roman" w:hAnsi="Times New Roman" w:cs="Times New Roman"/>
        </w:rPr>
        <w:t xml:space="preserve"> the accreditation process may take into account—</w:t>
      </w:r>
    </w:p>
    <w:p w14:paraId="037397F8" w14:textId="77777777" w:rsidR="00171084" w:rsidRPr="0087366D" w:rsidRDefault="00171084" w:rsidP="00171084">
      <w:pPr>
        <w:tabs>
          <w:tab w:val="left" w:pos="936"/>
        </w:tabs>
        <w:spacing w:after="0" w:line="240" w:lineRule="auto"/>
        <w:jc w:val="both"/>
        <w:rPr>
          <w:rFonts w:ascii="Times New Roman" w:hAnsi="Times New Roman" w:cs="Times New Roman"/>
        </w:rPr>
      </w:pPr>
    </w:p>
    <w:p w14:paraId="0499BD38" w14:textId="77777777" w:rsidR="00171084" w:rsidRDefault="00171084" w:rsidP="00171084">
      <w:pPr>
        <w:pStyle w:val="ListParagraph"/>
        <w:numPr>
          <w:ilvl w:val="0"/>
          <w:numId w:val="6"/>
        </w:numPr>
        <w:tabs>
          <w:tab w:val="left" w:pos="936"/>
        </w:tabs>
        <w:spacing w:after="0" w:line="240" w:lineRule="auto"/>
        <w:jc w:val="both"/>
        <w:rPr>
          <w:rFonts w:ascii="Times New Roman" w:hAnsi="Times New Roman" w:cs="Times New Roman"/>
        </w:rPr>
      </w:pPr>
      <w:r w:rsidRPr="0087366D">
        <w:rPr>
          <w:rFonts w:ascii="Times New Roman" w:hAnsi="Times New Roman" w:cs="Times New Roman"/>
        </w:rPr>
        <w:t>the academic qualifications for all members of staff employed by the higher education institution during the period assessed and those expected to be employed by the higher education institution</w:t>
      </w:r>
      <w:r>
        <w:rPr>
          <w:rFonts w:ascii="Times New Roman" w:hAnsi="Times New Roman" w:cs="Times New Roman"/>
        </w:rPr>
        <w:t>;</w:t>
      </w:r>
      <w:r w:rsidRPr="0087366D">
        <w:rPr>
          <w:rFonts w:ascii="Times New Roman" w:hAnsi="Times New Roman" w:cs="Times New Roman"/>
        </w:rPr>
        <w:t xml:space="preserve"> </w:t>
      </w:r>
    </w:p>
    <w:p w14:paraId="18FCC2B2" w14:textId="4FC6EB2C" w:rsidR="00171084" w:rsidRDefault="00171084" w:rsidP="00171084">
      <w:pPr>
        <w:pStyle w:val="ListParagraph"/>
        <w:numPr>
          <w:ilvl w:val="0"/>
          <w:numId w:val="6"/>
        </w:numPr>
        <w:tabs>
          <w:tab w:val="left" w:pos="936"/>
        </w:tabs>
        <w:spacing w:after="0" w:line="240" w:lineRule="auto"/>
        <w:jc w:val="both"/>
        <w:rPr>
          <w:rFonts w:ascii="Times New Roman" w:hAnsi="Times New Roman" w:cs="Times New Roman"/>
        </w:rPr>
      </w:pPr>
      <w:r w:rsidRPr="0087366D">
        <w:rPr>
          <w:rFonts w:ascii="Times New Roman" w:hAnsi="Times New Roman" w:cs="Times New Roman"/>
        </w:rPr>
        <w:t xml:space="preserve"> the total number of students that have been enrolled in each programme of instruction offered at the institution of higher education and the standards attained by those </w:t>
      </w:r>
      <w:r w:rsidR="000C2D34">
        <w:rPr>
          <w:rFonts w:ascii="Times New Roman" w:hAnsi="Times New Roman" w:cs="Times New Roman"/>
        </w:rPr>
        <w:t>who</w:t>
      </w:r>
      <w:r w:rsidR="000C2D34" w:rsidRPr="0087366D">
        <w:rPr>
          <w:rFonts w:ascii="Times New Roman" w:hAnsi="Times New Roman" w:cs="Times New Roman"/>
        </w:rPr>
        <w:t xml:space="preserve"> </w:t>
      </w:r>
      <w:r w:rsidRPr="0087366D">
        <w:rPr>
          <w:rFonts w:ascii="Times New Roman" w:hAnsi="Times New Roman" w:cs="Times New Roman"/>
        </w:rPr>
        <w:t>have graduated during the period assessed;</w:t>
      </w:r>
    </w:p>
    <w:p w14:paraId="33C5E6BB" w14:textId="77777777" w:rsidR="00171084" w:rsidRDefault="00171084" w:rsidP="00171084">
      <w:pPr>
        <w:pStyle w:val="ListParagraph"/>
        <w:numPr>
          <w:ilvl w:val="0"/>
          <w:numId w:val="6"/>
        </w:numPr>
        <w:tabs>
          <w:tab w:val="left" w:pos="936"/>
        </w:tabs>
        <w:spacing w:after="0" w:line="240" w:lineRule="auto"/>
        <w:jc w:val="both"/>
        <w:rPr>
          <w:rFonts w:ascii="Times New Roman" w:hAnsi="Times New Roman" w:cs="Times New Roman"/>
        </w:rPr>
      </w:pPr>
      <w:r w:rsidRPr="00C826A8">
        <w:rPr>
          <w:rFonts w:ascii="Times New Roman" w:hAnsi="Times New Roman" w:cs="Times New Roman"/>
        </w:rPr>
        <w:t>Information and Communication Technology infrastructure and provision for training;</w:t>
      </w:r>
    </w:p>
    <w:p w14:paraId="4A315306" w14:textId="77777777" w:rsidR="00171084" w:rsidRDefault="00171084" w:rsidP="00171084">
      <w:pPr>
        <w:pStyle w:val="ListParagraph"/>
        <w:numPr>
          <w:ilvl w:val="0"/>
          <w:numId w:val="6"/>
        </w:numPr>
        <w:tabs>
          <w:tab w:val="left" w:pos="936"/>
        </w:tabs>
        <w:spacing w:after="0" w:line="240" w:lineRule="auto"/>
        <w:jc w:val="both"/>
        <w:rPr>
          <w:rFonts w:ascii="Times New Roman" w:hAnsi="Times New Roman" w:cs="Times New Roman"/>
        </w:rPr>
      </w:pPr>
      <w:r w:rsidRPr="00C826A8">
        <w:rPr>
          <w:rFonts w:ascii="Times New Roman" w:hAnsi="Times New Roman" w:cs="Times New Roman"/>
        </w:rPr>
        <w:t>the size and quality of the library and equipment, which have been developed</w:t>
      </w:r>
      <w:r>
        <w:rPr>
          <w:rFonts w:ascii="Times New Roman" w:hAnsi="Times New Roman" w:cs="Times New Roman"/>
        </w:rPr>
        <w:t xml:space="preserve">; </w:t>
      </w:r>
    </w:p>
    <w:p w14:paraId="614AE4C5" w14:textId="77777777" w:rsidR="00171084" w:rsidRPr="00C826A8" w:rsidRDefault="00171084" w:rsidP="00171084">
      <w:pPr>
        <w:pStyle w:val="ListParagraph"/>
        <w:numPr>
          <w:ilvl w:val="0"/>
          <w:numId w:val="6"/>
        </w:numPr>
        <w:tabs>
          <w:tab w:val="left" w:pos="936"/>
        </w:tabs>
        <w:spacing w:after="0" w:line="240" w:lineRule="auto"/>
        <w:jc w:val="both"/>
        <w:rPr>
          <w:rFonts w:ascii="Times New Roman" w:hAnsi="Times New Roman" w:cs="Times New Roman"/>
        </w:rPr>
      </w:pPr>
      <w:r w:rsidRPr="00C826A8">
        <w:rPr>
          <w:rFonts w:ascii="Times New Roman" w:hAnsi="Times New Roman" w:cs="Times New Roman"/>
        </w:rPr>
        <w:t>the financial resources that are available for the exclusive use by the institution of higher education, certified by its auditors;</w:t>
      </w:r>
    </w:p>
    <w:p w14:paraId="1137405F" w14:textId="58F8FCC0" w:rsidR="00171084" w:rsidRPr="00C826A8" w:rsidRDefault="00171084" w:rsidP="00171084">
      <w:pPr>
        <w:pStyle w:val="ListParagraph"/>
        <w:numPr>
          <w:ilvl w:val="0"/>
          <w:numId w:val="6"/>
        </w:numPr>
        <w:tabs>
          <w:tab w:val="left" w:pos="936"/>
        </w:tabs>
        <w:spacing w:after="0" w:line="240" w:lineRule="auto"/>
        <w:jc w:val="both"/>
        <w:rPr>
          <w:rFonts w:ascii="Times New Roman" w:hAnsi="Times New Roman" w:cs="Times New Roman"/>
          <w:sz w:val="24"/>
          <w:szCs w:val="24"/>
        </w:rPr>
      </w:pPr>
      <w:r w:rsidRPr="00C826A8">
        <w:rPr>
          <w:rFonts w:ascii="Times New Roman" w:hAnsi="Times New Roman" w:cs="Times New Roman"/>
        </w:rPr>
        <w:t>the physical facilities</w:t>
      </w:r>
      <w:r w:rsidR="000C2D34">
        <w:rPr>
          <w:rFonts w:ascii="Times New Roman" w:hAnsi="Times New Roman" w:cs="Times New Roman"/>
        </w:rPr>
        <w:t>,</w:t>
      </w:r>
      <w:r w:rsidRPr="00C826A8">
        <w:rPr>
          <w:rFonts w:ascii="Times New Roman" w:hAnsi="Times New Roman" w:cs="Times New Roman"/>
        </w:rPr>
        <w:t xml:space="preserve"> including land</w:t>
      </w:r>
      <w:r w:rsidR="000C2D34">
        <w:rPr>
          <w:rFonts w:ascii="Times New Roman" w:hAnsi="Times New Roman" w:cs="Times New Roman"/>
        </w:rPr>
        <w:t>,</w:t>
      </w:r>
      <w:r w:rsidRPr="00C826A8">
        <w:rPr>
          <w:rFonts w:ascii="Times New Roman" w:hAnsi="Times New Roman" w:cs="Times New Roman"/>
        </w:rPr>
        <w:t xml:space="preserve"> that are available for the exclusive use by the institution of higher education concerned</w:t>
      </w:r>
      <w:r w:rsidRPr="00C826A8">
        <w:rPr>
          <w:rFonts w:ascii="Times New Roman" w:hAnsi="Times New Roman" w:cs="Times New Roman"/>
          <w:sz w:val="24"/>
          <w:szCs w:val="24"/>
        </w:rPr>
        <w:t>.</w:t>
      </w:r>
      <w:r>
        <w:rPr>
          <w:rFonts w:ascii="Times New Roman" w:hAnsi="Times New Roman" w:cs="Times New Roman"/>
          <w:sz w:val="24"/>
          <w:szCs w:val="24"/>
        </w:rPr>
        <w:t xml:space="preserve">” </w:t>
      </w:r>
    </w:p>
    <w:p w14:paraId="0FAD3815" w14:textId="77777777" w:rsidR="00171084" w:rsidRPr="0087366D" w:rsidRDefault="00171084" w:rsidP="00171084">
      <w:pPr>
        <w:tabs>
          <w:tab w:val="left" w:pos="936"/>
        </w:tabs>
        <w:spacing w:after="0" w:line="360" w:lineRule="auto"/>
        <w:jc w:val="both"/>
        <w:rPr>
          <w:rFonts w:ascii="Times New Roman" w:hAnsi="Times New Roman" w:cs="Times New Roman"/>
          <w:sz w:val="24"/>
          <w:szCs w:val="24"/>
        </w:rPr>
      </w:pPr>
    </w:p>
    <w:p w14:paraId="7A3E5267" w14:textId="1D38D805" w:rsidR="00BD36B4" w:rsidRDefault="00171084" w:rsidP="00E84D7E">
      <w:pPr>
        <w:spacing w:after="0" w:line="360" w:lineRule="auto"/>
        <w:jc w:val="both"/>
        <w:rPr>
          <w:rFonts w:ascii="Times New Roman" w:hAnsi="Times New Roman" w:cs="Times New Roman"/>
          <w:sz w:val="24"/>
          <w:szCs w:val="24"/>
        </w:rPr>
      </w:pPr>
      <w:r w:rsidRPr="00226C80">
        <w:rPr>
          <w:rFonts w:ascii="Times New Roman" w:hAnsi="Times New Roman" w:cs="Times New Roman"/>
          <w:sz w:val="24"/>
          <w:szCs w:val="24"/>
        </w:rPr>
        <w:t>[1</w:t>
      </w:r>
      <w:r w:rsidR="00886D9B">
        <w:rPr>
          <w:rFonts w:ascii="Times New Roman" w:hAnsi="Times New Roman" w:cs="Times New Roman"/>
          <w:sz w:val="24"/>
          <w:szCs w:val="24"/>
        </w:rPr>
        <w:t>5</w:t>
      </w:r>
      <w:r w:rsidRPr="00226C80">
        <w:rPr>
          <w:rFonts w:ascii="Times New Roman" w:hAnsi="Times New Roman" w:cs="Times New Roman"/>
          <w:sz w:val="24"/>
          <w:szCs w:val="24"/>
        </w:rPr>
        <w:t xml:space="preserve">] Therefore, the respondent may provisionally register an institution that has taken significant steps to meet the s 19 requirements and may </w:t>
      </w:r>
      <w:r w:rsidR="00887102">
        <w:rPr>
          <w:rFonts w:ascii="Times New Roman" w:hAnsi="Times New Roman" w:cs="Times New Roman"/>
          <w:sz w:val="24"/>
          <w:szCs w:val="24"/>
        </w:rPr>
        <w:t>deny</w:t>
      </w:r>
      <w:r w:rsidRPr="00226C80">
        <w:rPr>
          <w:rFonts w:ascii="Times New Roman" w:hAnsi="Times New Roman" w:cs="Times New Roman"/>
          <w:sz w:val="24"/>
          <w:szCs w:val="24"/>
        </w:rPr>
        <w:t xml:space="preserve"> to provisionally register one that has not done so. </w:t>
      </w:r>
      <w:r w:rsidR="00226C80">
        <w:rPr>
          <w:rFonts w:ascii="Times New Roman" w:hAnsi="Times New Roman" w:cs="Times New Roman"/>
          <w:sz w:val="24"/>
          <w:szCs w:val="24"/>
        </w:rPr>
        <w:t>I</w:t>
      </w:r>
      <w:r w:rsidRPr="00226C80">
        <w:rPr>
          <w:rFonts w:ascii="Times New Roman" w:hAnsi="Times New Roman" w:cs="Times New Roman"/>
          <w:sz w:val="24"/>
          <w:szCs w:val="24"/>
        </w:rPr>
        <w:t>t was lawful for the respondent to de</w:t>
      </w:r>
      <w:r w:rsidR="00887102">
        <w:rPr>
          <w:rFonts w:ascii="Times New Roman" w:hAnsi="Times New Roman" w:cs="Times New Roman"/>
          <w:sz w:val="24"/>
          <w:szCs w:val="24"/>
        </w:rPr>
        <w:t>ny</w:t>
      </w:r>
      <w:r w:rsidRPr="00226C80">
        <w:rPr>
          <w:rFonts w:ascii="Times New Roman" w:hAnsi="Times New Roman" w:cs="Times New Roman"/>
          <w:sz w:val="24"/>
          <w:szCs w:val="24"/>
        </w:rPr>
        <w:t xml:space="preserve"> </w:t>
      </w:r>
      <w:r w:rsidR="00226C80">
        <w:rPr>
          <w:rFonts w:ascii="Times New Roman" w:hAnsi="Times New Roman" w:cs="Times New Roman"/>
          <w:sz w:val="24"/>
          <w:szCs w:val="24"/>
        </w:rPr>
        <w:t xml:space="preserve">provisional </w:t>
      </w:r>
      <w:r w:rsidRPr="00226C80">
        <w:rPr>
          <w:rFonts w:ascii="Times New Roman" w:hAnsi="Times New Roman" w:cs="Times New Roman"/>
          <w:sz w:val="24"/>
          <w:szCs w:val="24"/>
        </w:rPr>
        <w:t>registration on the grounds th</w:t>
      </w:r>
      <w:r w:rsidR="00226C80" w:rsidRPr="00226C80">
        <w:rPr>
          <w:rFonts w:ascii="Times New Roman" w:hAnsi="Times New Roman" w:cs="Times New Roman"/>
          <w:sz w:val="24"/>
          <w:szCs w:val="24"/>
        </w:rPr>
        <w:t>at the applicant</w:t>
      </w:r>
      <w:r w:rsidRPr="00226C80">
        <w:rPr>
          <w:rFonts w:ascii="Times New Roman" w:hAnsi="Times New Roman" w:cs="Times New Roman"/>
          <w:sz w:val="24"/>
          <w:szCs w:val="24"/>
        </w:rPr>
        <w:t xml:space="preserve"> </w:t>
      </w:r>
      <w:r w:rsidR="002505F8">
        <w:rPr>
          <w:rFonts w:ascii="Times New Roman" w:hAnsi="Times New Roman" w:cs="Times New Roman"/>
          <w:sz w:val="24"/>
          <w:szCs w:val="24"/>
        </w:rPr>
        <w:t>had</w:t>
      </w:r>
      <w:r w:rsidR="002505F8" w:rsidRPr="00226C80">
        <w:rPr>
          <w:rFonts w:ascii="Times New Roman" w:hAnsi="Times New Roman" w:cs="Times New Roman"/>
          <w:sz w:val="24"/>
          <w:szCs w:val="24"/>
        </w:rPr>
        <w:t xml:space="preserve"> </w:t>
      </w:r>
      <w:r w:rsidRPr="00226C80">
        <w:rPr>
          <w:rFonts w:ascii="Times New Roman" w:hAnsi="Times New Roman" w:cs="Times New Roman"/>
          <w:sz w:val="24"/>
          <w:szCs w:val="24"/>
        </w:rPr>
        <w:t>not demonstrated any significant steps towards complying with the conditions set out in s 19 of the</w:t>
      </w:r>
      <w:r w:rsidR="00226C80" w:rsidRPr="00226C80">
        <w:rPr>
          <w:rFonts w:ascii="Times New Roman" w:hAnsi="Times New Roman" w:cs="Times New Roman"/>
          <w:sz w:val="24"/>
          <w:szCs w:val="24"/>
        </w:rPr>
        <w:t xml:space="preserve"> </w:t>
      </w:r>
      <w:r w:rsidRPr="00226C80">
        <w:rPr>
          <w:rFonts w:ascii="Times New Roman" w:hAnsi="Times New Roman" w:cs="Times New Roman"/>
          <w:sz w:val="24"/>
          <w:szCs w:val="24"/>
        </w:rPr>
        <w:t>Act.</w:t>
      </w:r>
      <w:r w:rsidR="00226C80">
        <w:rPr>
          <w:rFonts w:ascii="Times New Roman" w:hAnsi="Times New Roman" w:cs="Times New Roman"/>
          <w:sz w:val="24"/>
          <w:szCs w:val="24"/>
        </w:rPr>
        <w:t xml:space="preserve"> </w:t>
      </w:r>
      <w:r w:rsidR="00D86E48">
        <w:rPr>
          <w:rFonts w:ascii="Times New Roman" w:hAnsi="Times New Roman" w:cs="Times New Roman"/>
          <w:sz w:val="24"/>
          <w:szCs w:val="24"/>
        </w:rPr>
        <w:t>Therefore, the submission that the respondent</w:t>
      </w:r>
      <w:r w:rsidR="00E938BC">
        <w:rPr>
          <w:rFonts w:ascii="Times New Roman" w:hAnsi="Times New Roman" w:cs="Times New Roman"/>
          <w:sz w:val="24"/>
          <w:szCs w:val="24"/>
        </w:rPr>
        <w:t xml:space="preserve"> misconstrued the application for provisional registration as if it </w:t>
      </w:r>
      <w:r w:rsidR="001C373F">
        <w:rPr>
          <w:rFonts w:ascii="Times New Roman" w:hAnsi="Times New Roman" w:cs="Times New Roman"/>
          <w:sz w:val="24"/>
          <w:szCs w:val="24"/>
        </w:rPr>
        <w:t xml:space="preserve">were </w:t>
      </w:r>
      <w:r w:rsidR="00E938BC">
        <w:rPr>
          <w:rFonts w:ascii="Times New Roman" w:hAnsi="Times New Roman" w:cs="Times New Roman"/>
          <w:sz w:val="24"/>
          <w:szCs w:val="24"/>
        </w:rPr>
        <w:t>for final registration is incorrect.</w:t>
      </w:r>
      <w:r w:rsidR="00FE4D73">
        <w:rPr>
          <w:rFonts w:ascii="Times New Roman" w:hAnsi="Times New Roman" w:cs="Times New Roman"/>
          <w:sz w:val="24"/>
          <w:szCs w:val="24"/>
        </w:rPr>
        <w:t xml:space="preserve"> The respondent understood that it was dealing with an application for provisional registration and dealt with it in terms of the requirements of the law. </w:t>
      </w:r>
    </w:p>
    <w:p w14:paraId="5A821E64" w14:textId="0070FF0D" w:rsidR="00871787" w:rsidRPr="00EA384D" w:rsidRDefault="00BD36B4" w:rsidP="00E84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886D9B">
        <w:rPr>
          <w:rFonts w:ascii="Times New Roman" w:hAnsi="Times New Roman" w:cs="Times New Roman"/>
          <w:sz w:val="24"/>
          <w:szCs w:val="24"/>
        </w:rPr>
        <w:t>6</w:t>
      </w:r>
      <w:r>
        <w:rPr>
          <w:rFonts w:ascii="Times New Roman" w:hAnsi="Times New Roman" w:cs="Times New Roman"/>
          <w:sz w:val="24"/>
          <w:szCs w:val="24"/>
        </w:rPr>
        <w:t>]</w:t>
      </w:r>
      <w:r w:rsidR="00B346FB">
        <w:rPr>
          <w:rFonts w:ascii="Times New Roman" w:hAnsi="Times New Roman" w:cs="Times New Roman"/>
          <w:sz w:val="24"/>
          <w:szCs w:val="24"/>
        </w:rPr>
        <w:t xml:space="preserve"> This is a case in which the notion of deference applies in full measure. </w:t>
      </w:r>
      <w:r w:rsidR="00871787">
        <w:rPr>
          <w:rFonts w:ascii="Times New Roman" w:hAnsi="Times New Roman" w:cs="Times New Roman"/>
          <w:sz w:val="24"/>
          <w:szCs w:val="24"/>
        </w:rPr>
        <w:t>This is so because the applicant seeks that the</w:t>
      </w:r>
      <w:r w:rsidR="00871787" w:rsidRPr="00871787">
        <w:rPr>
          <w:rFonts w:ascii="Times New Roman" w:hAnsi="Times New Roman" w:cs="Times New Roman"/>
          <w:sz w:val="24"/>
          <w:szCs w:val="24"/>
          <w:lang w:val="en-US"/>
        </w:rPr>
        <w:t xml:space="preserve"> decision </w:t>
      </w:r>
      <w:r w:rsidR="00B346FB">
        <w:rPr>
          <w:rFonts w:ascii="Times New Roman" w:hAnsi="Times New Roman" w:cs="Times New Roman"/>
          <w:sz w:val="24"/>
          <w:szCs w:val="24"/>
          <w:lang w:val="en-US"/>
        </w:rPr>
        <w:t xml:space="preserve">of the respondent, an administrative body, </w:t>
      </w:r>
      <w:r w:rsidR="00871787" w:rsidRPr="00871787">
        <w:rPr>
          <w:rFonts w:ascii="Times New Roman" w:hAnsi="Times New Roman" w:cs="Times New Roman"/>
          <w:sz w:val="24"/>
          <w:szCs w:val="24"/>
          <w:lang w:val="en-US"/>
        </w:rPr>
        <w:t>be declared unlawful and set aside</w:t>
      </w:r>
      <w:r w:rsidR="00871787">
        <w:rPr>
          <w:rFonts w:ascii="Times New Roman" w:hAnsi="Times New Roman" w:cs="Times New Roman"/>
          <w:sz w:val="24"/>
          <w:szCs w:val="24"/>
          <w:lang w:val="en-US"/>
        </w:rPr>
        <w:t>; and that the</w:t>
      </w:r>
      <w:r w:rsidR="00871787" w:rsidRPr="00871787">
        <w:rPr>
          <w:rFonts w:ascii="Times New Roman" w:hAnsi="Times New Roman" w:cs="Times New Roman"/>
          <w:sz w:val="24"/>
          <w:szCs w:val="24"/>
          <w:lang w:val="en-US"/>
        </w:rPr>
        <w:t xml:space="preserve"> respondent be ordered to issue </w:t>
      </w:r>
      <w:r w:rsidR="00892804">
        <w:rPr>
          <w:rFonts w:ascii="Times New Roman" w:hAnsi="Times New Roman" w:cs="Times New Roman"/>
          <w:sz w:val="24"/>
          <w:szCs w:val="24"/>
          <w:lang w:val="en-US"/>
        </w:rPr>
        <w:t xml:space="preserve">the </w:t>
      </w:r>
      <w:r w:rsidR="00871787" w:rsidRPr="00871787">
        <w:rPr>
          <w:rFonts w:ascii="Times New Roman" w:hAnsi="Times New Roman" w:cs="Times New Roman"/>
          <w:sz w:val="24"/>
          <w:szCs w:val="24"/>
          <w:lang w:val="en-US"/>
        </w:rPr>
        <w:t>applicant with a provisional registration licence in terms of s 11 of th</w:t>
      </w:r>
      <w:r w:rsidR="00871787">
        <w:rPr>
          <w:rFonts w:ascii="Times New Roman" w:hAnsi="Times New Roman" w:cs="Times New Roman"/>
          <w:sz w:val="24"/>
          <w:szCs w:val="24"/>
          <w:lang w:val="en-US"/>
        </w:rPr>
        <w:t>e Act; and that i</w:t>
      </w:r>
      <w:r w:rsidR="00871787" w:rsidRPr="00871787">
        <w:rPr>
          <w:rFonts w:ascii="Times New Roman" w:hAnsi="Times New Roman" w:cs="Times New Roman"/>
          <w:sz w:val="24"/>
          <w:szCs w:val="24"/>
          <w:lang w:val="en-US"/>
        </w:rPr>
        <w:t>n the event of failure by respondent t</w:t>
      </w:r>
      <w:r w:rsidR="00871787">
        <w:rPr>
          <w:rFonts w:ascii="Times New Roman" w:hAnsi="Times New Roman" w:cs="Times New Roman"/>
          <w:sz w:val="24"/>
          <w:szCs w:val="24"/>
          <w:lang w:val="en-US"/>
        </w:rPr>
        <w:t>o issue the licence, the</w:t>
      </w:r>
      <w:r w:rsidR="00871787" w:rsidRPr="00871787">
        <w:rPr>
          <w:rFonts w:ascii="Times New Roman" w:hAnsi="Times New Roman" w:cs="Times New Roman"/>
          <w:sz w:val="24"/>
          <w:szCs w:val="24"/>
          <w:lang w:val="en-US"/>
        </w:rPr>
        <w:t xml:space="preserve"> provisional registration </w:t>
      </w:r>
      <w:proofErr w:type="spellStart"/>
      <w:r w:rsidR="00871787" w:rsidRPr="00871787">
        <w:rPr>
          <w:rFonts w:ascii="Times New Roman" w:hAnsi="Times New Roman" w:cs="Times New Roman"/>
          <w:sz w:val="24"/>
          <w:szCs w:val="24"/>
          <w:lang w:val="en-US"/>
        </w:rPr>
        <w:t>licence</w:t>
      </w:r>
      <w:proofErr w:type="spellEnd"/>
      <w:r w:rsidR="00871787" w:rsidRPr="00871787">
        <w:rPr>
          <w:rFonts w:ascii="Times New Roman" w:hAnsi="Times New Roman" w:cs="Times New Roman"/>
          <w:sz w:val="24"/>
          <w:szCs w:val="24"/>
          <w:lang w:val="en-US"/>
        </w:rPr>
        <w:t xml:space="preserve"> </w:t>
      </w:r>
      <w:r w:rsidR="00B346FB">
        <w:rPr>
          <w:rFonts w:ascii="Times New Roman" w:hAnsi="Times New Roman" w:cs="Times New Roman"/>
          <w:sz w:val="24"/>
          <w:szCs w:val="24"/>
          <w:lang w:val="en-US"/>
        </w:rPr>
        <w:t xml:space="preserve">be </w:t>
      </w:r>
      <w:r w:rsidR="00871787" w:rsidRPr="00871787">
        <w:rPr>
          <w:rFonts w:ascii="Times New Roman" w:hAnsi="Times New Roman" w:cs="Times New Roman"/>
          <w:sz w:val="24"/>
          <w:szCs w:val="24"/>
          <w:lang w:val="en-US"/>
        </w:rPr>
        <w:t xml:space="preserve">deemed to have been </w:t>
      </w:r>
      <w:r w:rsidR="00871787" w:rsidRPr="00871787">
        <w:rPr>
          <w:rFonts w:ascii="Times New Roman" w:hAnsi="Times New Roman" w:cs="Times New Roman"/>
          <w:sz w:val="24"/>
          <w:szCs w:val="24"/>
          <w:lang w:val="en-US"/>
        </w:rPr>
        <w:lastRenderedPageBreak/>
        <w:t xml:space="preserve">granted. </w:t>
      </w:r>
      <w:r w:rsidR="00871787">
        <w:rPr>
          <w:rFonts w:ascii="Times New Roman" w:hAnsi="Times New Roman" w:cs="Times New Roman"/>
          <w:sz w:val="24"/>
          <w:szCs w:val="24"/>
          <w:lang w:val="en-US"/>
        </w:rPr>
        <w:t xml:space="preserve">Mr </w:t>
      </w:r>
      <w:r w:rsidR="00871787" w:rsidRPr="00871787">
        <w:rPr>
          <w:rFonts w:ascii="Times New Roman" w:hAnsi="Times New Roman" w:cs="Times New Roman"/>
          <w:i/>
          <w:iCs/>
          <w:sz w:val="24"/>
          <w:szCs w:val="24"/>
          <w:lang w:val="en-US"/>
        </w:rPr>
        <w:t>Kondogwe</w:t>
      </w:r>
      <w:r w:rsidR="00871787">
        <w:rPr>
          <w:rFonts w:ascii="Times New Roman" w:hAnsi="Times New Roman" w:cs="Times New Roman"/>
          <w:sz w:val="24"/>
          <w:szCs w:val="24"/>
          <w:lang w:val="en-US"/>
        </w:rPr>
        <w:t>, counsel for the applicant, made a half-hearted application to amend the draft order</w:t>
      </w:r>
      <w:r w:rsidR="002505F8">
        <w:rPr>
          <w:rFonts w:ascii="Times New Roman" w:hAnsi="Times New Roman" w:cs="Times New Roman"/>
          <w:sz w:val="24"/>
          <w:szCs w:val="24"/>
          <w:lang w:val="en-US"/>
        </w:rPr>
        <w:t xml:space="preserve">; </w:t>
      </w:r>
      <w:r w:rsidR="00871787">
        <w:rPr>
          <w:rFonts w:ascii="Times New Roman" w:hAnsi="Times New Roman" w:cs="Times New Roman"/>
          <w:sz w:val="24"/>
          <w:szCs w:val="24"/>
          <w:lang w:val="en-US"/>
        </w:rPr>
        <w:t xml:space="preserve">it was too little and too late. </w:t>
      </w:r>
    </w:p>
    <w:p w14:paraId="24AE8D7B" w14:textId="058D3DC1" w:rsidR="00E0664B" w:rsidRDefault="00EA384D" w:rsidP="00E84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886D9B">
        <w:rPr>
          <w:rFonts w:ascii="Times New Roman" w:hAnsi="Times New Roman" w:cs="Times New Roman"/>
          <w:sz w:val="24"/>
          <w:szCs w:val="24"/>
        </w:rPr>
        <w:t>7</w:t>
      </w:r>
      <w:r>
        <w:rPr>
          <w:rFonts w:ascii="Times New Roman" w:hAnsi="Times New Roman" w:cs="Times New Roman"/>
          <w:sz w:val="24"/>
          <w:szCs w:val="24"/>
        </w:rPr>
        <w:t xml:space="preserve">] </w:t>
      </w:r>
      <w:r w:rsidR="004F1E83">
        <w:rPr>
          <w:rFonts w:ascii="Times New Roman" w:hAnsi="Times New Roman" w:cs="Times New Roman"/>
          <w:sz w:val="24"/>
          <w:szCs w:val="24"/>
        </w:rPr>
        <w:t>T</w:t>
      </w:r>
      <w:r w:rsidR="00FA2967" w:rsidRPr="00FA2967">
        <w:rPr>
          <w:rFonts w:ascii="Times New Roman" w:hAnsi="Times New Roman" w:cs="Times New Roman"/>
          <w:sz w:val="24"/>
          <w:szCs w:val="24"/>
        </w:rPr>
        <w:t xml:space="preserve">he principle of deference concerns the function of </w:t>
      </w:r>
      <w:r w:rsidR="00FA2967">
        <w:rPr>
          <w:rFonts w:ascii="Times New Roman" w:hAnsi="Times New Roman" w:cs="Times New Roman"/>
          <w:sz w:val="24"/>
          <w:szCs w:val="24"/>
        </w:rPr>
        <w:t xml:space="preserve">a court </w:t>
      </w:r>
      <w:r w:rsidR="00FA2967" w:rsidRPr="00FA2967">
        <w:rPr>
          <w:rFonts w:ascii="Times New Roman" w:hAnsi="Times New Roman" w:cs="Times New Roman"/>
          <w:sz w:val="24"/>
          <w:szCs w:val="24"/>
        </w:rPr>
        <w:t>in mediating between the law and</w:t>
      </w:r>
      <w:r w:rsidR="00FA2967">
        <w:rPr>
          <w:rFonts w:ascii="Times New Roman" w:hAnsi="Times New Roman" w:cs="Times New Roman"/>
          <w:sz w:val="24"/>
          <w:szCs w:val="24"/>
        </w:rPr>
        <w:t xml:space="preserve"> </w:t>
      </w:r>
      <w:r w:rsidR="002505F8">
        <w:rPr>
          <w:rFonts w:ascii="Times New Roman" w:hAnsi="Times New Roman" w:cs="Times New Roman"/>
          <w:sz w:val="24"/>
          <w:szCs w:val="24"/>
        </w:rPr>
        <w:t xml:space="preserve">the </w:t>
      </w:r>
      <w:r w:rsidR="00FA2967">
        <w:rPr>
          <w:rFonts w:ascii="Times New Roman" w:hAnsi="Times New Roman" w:cs="Times New Roman"/>
          <w:sz w:val="24"/>
          <w:szCs w:val="24"/>
        </w:rPr>
        <w:t>functions</w:t>
      </w:r>
      <w:r w:rsidR="00971FE2">
        <w:rPr>
          <w:rFonts w:ascii="Times New Roman" w:hAnsi="Times New Roman" w:cs="Times New Roman"/>
          <w:sz w:val="24"/>
          <w:szCs w:val="24"/>
        </w:rPr>
        <w:t xml:space="preserve"> of administrative bodies</w:t>
      </w:r>
      <w:r w:rsidR="00FA2967" w:rsidRPr="00FA2967">
        <w:rPr>
          <w:rFonts w:ascii="Times New Roman" w:hAnsi="Times New Roman" w:cs="Times New Roman"/>
          <w:sz w:val="24"/>
          <w:szCs w:val="24"/>
        </w:rPr>
        <w:t xml:space="preserve">. The principle recognises the need to protect the </w:t>
      </w:r>
      <w:r w:rsidR="002505F8">
        <w:rPr>
          <w:rFonts w:ascii="Times New Roman" w:hAnsi="Times New Roman" w:cs="Times New Roman"/>
          <w:sz w:val="24"/>
          <w:szCs w:val="24"/>
        </w:rPr>
        <w:t>decision-making</w:t>
      </w:r>
      <w:r w:rsidR="00FA2967" w:rsidRPr="00FA2967">
        <w:rPr>
          <w:rFonts w:ascii="Times New Roman" w:hAnsi="Times New Roman" w:cs="Times New Roman"/>
          <w:sz w:val="24"/>
          <w:szCs w:val="24"/>
        </w:rPr>
        <w:t xml:space="preserve"> of </w:t>
      </w:r>
      <w:r w:rsidR="0027552E">
        <w:rPr>
          <w:rFonts w:ascii="Times New Roman" w:hAnsi="Times New Roman" w:cs="Times New Roman"/>
          <w:sz w:val="24"/>
          <w:szCs w:val="24"/>
        </w:rPr>
        <w:t>administrative bodies</w:t>
      </w:r>
      <w:r w:rsidR="00FA2967" w:rsidRPr="00FA2967">
        <w:rPr>
          <w:rFonts w:ascii="Times New Roman" w:hAnsi="Times New Roman" w:cs="Times New Roman"/>
          <w:sz w:val="24"/>
          <w:szCs w:val="24"/>
        </w:rPr>
        <w:t xml:space="preserve"> in a manner that will prevent their ability to discharge their </w:t>
      </w:r>
      <w:r w:rsidR="0027552E">
        <w:rPr>
          <w:rFonts w:ascii="Times New Roman" w:hAnsi="Times New Roman" w:cs="Times New Roman"/>
          <w:sz w:val="24"/>
          <w:szCs w:val="24"/>
        </w:rPr>
        <w:t xml:space="preserve">administrative </w:t>
      </w:r>
      <w:r w:rsidR="00FA2967" w:rsidRPr="00FA2967">
        <w:rPr>
          <w:rFonts w:ascii="Times New Roman" w:hAnsi="Times New Roman" w:cs="Times New Roman"/>
          <w:sz w:val="24"/>
          <w:szCs w:val="24"/>
        </w:rPr>
        <w:t xml:space="preserve">role </w:t>
      </w:r>
      <w:r w:rsidR="002505F8">
        <w:rPr>
          <w:rFonts w:ascii="Times New Roman" w:hAnsi="Times New Roman" w:cs="Times New Roman"/>
          <w:sz w:val="24"/>
          <w:szCs w:val="24"/>
        </w:rPr>
        <w:t xml:space="preserve">from </w:t>
      </w:r>
      <w:r w:rsidR="00FA2967" w:rsidRPr="00FA2967">
        <w:rPr>
          <w:rFonts w:ascii="Times New Roman" w:hAnsi="Times New Roman" w:cs="Times New Roman"/>
          <w:sz w:val="24"/>
          <w:szCs w:val="24"/>
        </w:rPr>
        <w:t>being undermined.</w:t>
      </w:r>
      <w:r w:rsidR="0027552E">
        <w:rPr>
          <w:rFonts w:ascii="Times New Roman" w:hAnsi="Times New Roman" w:cs="Times New Roman"/>
          <w:sz w:val="24"/>
          <w:szCs w:val="24"/>
        </w:rPr>
        <w:t xml:space="preserve"> </w:t>
      </w:r>
      <w:r w:rsidR="0027552E" w:rsidRPr="0027552E">
        <w:rPr>
          <w:rFonts w:ascii="Times New Roman" w:hAnsi="Times New Roman" w:cs="Times New Roman"/>
          <w:sz w:val="24"/>
          <w:szCs w:val="24"/>
        </w:rPr>
        <w:t xml:space="preserve">At times, courts will have to intrude to some extent on the terrain of </w:t>
      </w:r>
      <w:r w:rsidR="0027552E">
        <w:rPr>
          <w:rFonts w:ascii="Times New Roman" w:hAnsi="Times New Roman" w:cs="Times New Roman"/>
          <w:sz w:val="24"/>
          <w:szCs w:val="24"/>
        </w:rPr>
        <w:t>administrative bodies</w:t>
      </w:r>
      <w:r w:rsidR="00B346FB">
        <w:rPr>
          <w:rFonts w:ascii="Times New Roman" w:hAnsi="Times New Roman" w:cs="Times New Roman"/>
          <w:sz w:val="24"/>
          <w:szCs w:val="24"/>
        </w:rPr>
        <w:t xml:space="preserve">, </w:t>
      </w:r>
      <w:r w:rsidR="00892804">
        <w:rPr>
          <w:rFonts w:ascii="Times New Roman" w:hAnsi="Times New Roman" w:cs="Times New Roman"/>
          <w:sz w:val="24"/>
          <w:szCs w:val="24"/>
        </w:rPr>
        <w:t>however in</w:t>
      </w:r>
      <w:r w:rsidR="0027552E" w:rsidRPr="0027552E">
        <w:rPr>
          <w:rFonts w:ascii="Times New Roman" w:hAnsi="Times New Roman" w:cs="Times New Roman"/>
          <w:sz w:val="24"/>
          <w:szCs w:val="24"/>
        </w:rPr>
        <w:t xml:space="preserve"> doing so</w:t>
      </w:r>
      <w:r w:rsidR="004F1E83">
        <w:rPr>
          <w:rFonts w:ascii="Times New Roman" w:hAnsi="Times New Roman" w:cs="Times New Roman"/>
          <w:sz w:val="24"/>
          <w:szCs w:val="24"/>
        </w:rPr>
        <w:t>,</w:t>
      </w:r>
      <w:r w:rsidR="0027552E">
        <w:rPr>
          <w:rFonts w:ascii="Times New Roman" w:hAnsi="Times New Roman" w:cs="Times New Roman"/>
          <w:sz w:val="24"/>
          <w:szCs w:val="24"/>
        </w:rPr>
        <w:t xml:space="preserve"> the </w:t>
      </w:r>
      <w:r w:rsidR="0027552E" w:rsidRPr="0027552E">
        <w:rPr>
          <w:rFonts w:ascii="Times New Roman" w:hAnsi="Times New Roman" w:cs="Times New Roman"/>
          <w:sz w:val="24"/>
          <w:szCs w:val="24"/>
        </w:rPr>
        <w:t xml:space="preserve">courts must remain sensitive to the </w:t>
      </w:r>
      <w:r w:rsidR="00AD39DE" w:rsidRPr="0027552E">
        <w:rPr>
          <w:rFonts w:ascii="Times New Roman" w:hAnsi="Times New Roman" w:cs="Times New Roman"/>
          <w:sz w:val="24"/>
          <w:szCs w:val="24"/>
        </w:rPr>
        <w:t xml:space="preserve">legitimate </w:t>
      </w:r>
      <w:r w:rsidR="00AD39DE">
        <w:rPr>
          <w:rFonts w:ascii="Times New Roman" w:hAnsi="Times New Roman" w:cs="Times New Roman"/>
          <w:sz w:val="24"/>
          <w:szCs w:val="24"/>
        </w:rPr>
        <w:t>interests</w:t>
      </w:r>
      <w:r w:rsidR="002505F8">
        <w:rPr>
          <w:rFonts w:ascii="Times New Roman" w:hAnsi="Times New Roman" w:cs="Times New Roman"/>
          <w:sz w:val="24"/>
          <w:szCs w:val="24"/>
        </w:rPr>
        <w:t xml:space="preserve"> </w:t>
      </w:r>
      <w:r w:rsidR="0027552E">
        <w:rPr>
          <w:rFonts w:ascii="Times New Roman" w:hAnsi="Times New Roman" w:cs="Times New Roman"/>
          <w:sz w:val="24"/>
          <w:szCs w:val="24"/>
        </w:rPr>
        <w:t xml:space="preserve">of these bodies and </w:t>
      </w:r>
      <w:r w:rsidR="0027552E" w:rsidRPr="0027552E">
        <w:rPr>
          <w:rFonts w:ascii="Times New Roman" w:hAnsi="Times New Roman" w:cs="Times New Roman"/>
          <w:sz w:val="24"/>
          <w:szCs w:val="24"/>
        </w:rPr>
        <w:t xml:space="preserve">intrude as little as possible in the terrain of </w:t>
      </w:r>
      <w:r w:rsidR="0027552E">
        <w:rPr>
          <w:rFonts w:ascii="Times New Roman" w:hAnsi="Times New Roman" w:cs="Times New Roman"/>
          <w:sz w:val="24"/>
          <w:szCs w:val="24"/>
        </w:rPr>
        <w:t>such bodies</w:t>
      </w:r>
      <w:r w:rsidR="0027552E" w:rsidRPr="0027552E">
        <w:rPr>
          <w:rFonts w:ascii="Times New Roman" w:hAnsi="Times New Roman" w:cs="Times New Roman"/>
          <w:sz w:val="24"/>
          <w:szCs w:val="24"/>
        </w:rPr>
        <w:t>.</w:t>
      </w:r>
      <w:r w:rsidR="00971FE2">
        <w:rPr>
          <w:rFonts w:ascii="Times New Roman" w:hAnsi="Times New Roman" w:cs="Times New Roman"/>
          <w:sz w:val="24"/>
          <w:szCs w:val="24"/>
        </w:rPr>
        <w:t xml:space="preserve"> A</w:t>
      </w:r>
      <w:r w:rsidR="00971FE2" w:rsidRPr="00971FE2">
        <w:rPr>
          <w:rFonts w:ascii="Times New Roman" w:hAnsi="Times New Roman" w:cs="Times New Roman"/>
          <w:sz w:val="24"/>
          <w:szCs w:val="24"/>
        </w:rPr>
        <w:t xml:space="preserve"> court should be careful not to attribute to itself superior wisdom in relation to matters </w:t>
      </w:r>
      <w:r w:rsidR="00892804">
        <w:rPr>
          <w:rFonts w:ascii="Times New Roman" w:hAnsi="Times New Roman" w:cs="Times New Roman"/>
          <w:sz w:val="24"/>
          <w:szCs w:val="24"/>
        </w:rPr>
        <w:t xml:space="preserve">legislatively </w:t>
      </w:r>
      <w:r w:rsidR="00971FE2" w:rsidRPr="00971FE2">
        <w:rPr>
          <w:rFonts w:ascii="Times New Roman" w:hAnsi="Times New Roman" w:cs="Times New Roman"/>
          <w:sz w:val="24"/>
          <w:szCs w:val="24"/>
        </w:rPr>
        <w:t xml:space="preserve">entrusted to </w:t>
      </w:r>
      <w:r w:rsidR="00971FE2">
        <w:rPr>
          <w:rFonts w:ascii="Times New Roman" w:hAnsi="Times New Roman" w:cs="Times New Roman"/>
          <w:sz w:val="24"/>
          <w:szCs w:val="24"/>
        </w:rPr>
        <w:t>administrative bodies</w:t>
      </w:r>
      <w:r w:rsidR="00971FE2" w:rsidRPr="00971FE2">
        <w:rPr>
          <w:rFonts w:ascii="Times New Roman" w:hAnsi="Times New Roman" w:cs="Times New Roman"/>
          <w:sz w:val="24"/>
          <w:szCs w:val="24"/>
        </w:rPr>
        <w:t xml:space="preserve">. A court should thus give due weight to findings of fact and policy decisions made by those </w:t>
      </w:r>
      <w:r w:rsidR="00AD39DE" w:rsidRPr="00971FE2">
        <w:rPr>
          <w:rFonts w:ascii="Times New Roman" w:hAnsi="Times New Roman" w:cs="Times New Roman"/>
          <w:sz w:val="24"/>
          <w:szCs w:val="24"/>
        </w:rPr>
        <w:t>with expertise</w:t>
      </w:r>
      <w:r w:rsidR="00971FE2" w:rsidRPr="00971FE2">
        <w:rPr>
          <w:rFonts w:ascii="Times New Roman" w:hAnsi="Times New Roman" w:cs="Times New Roman"/>
          <w:sz w:val="24"/>
          <w:szCs w:val="24"/>
        </w:rPr>
        <w:t xml:space="preserve"> and experience in the field.</w:t>
      </w:r>
      <w:r w:rsidR="00971FE2">
        <w:rPr>
          <w:rFonts w:ascii="Times New Roman" w:hAnsi="Times New Roman" w:cs="Times New Roman"/>
          <w:sz w:val="24"/>
          <w:szCs w:val="24"/>
        </w:rPr>
        <w:t xml:space="preserve"> See </w:t>
      </w:r>
      <w:r w:rsidR="00971FE2" w:rsidRPr="00971FE2">
        <w:rPr>
          <w:rFonts w:ascii="Times New Roman" w:hAnsi="Times New Roman" w:cs="Times New Roman"/>
          <w:i/>
          <w:iCs/>
          <w:sz w:val="24"/>
          <w:szCs w:val="24"/>
        </w:rPr>
        <w:t xml:space="preserve">Bato Star Fishing (Pty) Ltd </w:t>
      </w:r>
      <w:r w:rsidR="00971FE2" w:rsidRPr="00377C14">
        <w:rPr>
          <w:rFonts w:ascii="Times New Roman" w:hAnsi="Times New Roman" w:cs="Times New Roman"/>
          <w:sz w:val="24"/>
          <w:szCs w:val="24"/>
        </w:rPr>
        <w:t>v</w:t>
      </w:r>
      <w:r w:rsidR="00971FE2" w:rsidRPr="00971FE2">
        <w:rPr>
          <w:rFonts w:ascii="Times New Roman" w:hAnsi="Times New Roman" w:cs="Times New Roman"/>
          <w:i/>
          <w:iCs/>
          <w:sz w:val="24"/>
          <w:szCs w:val="24"/>
        </w:rPr>
        <w:t xml:space="preserve"> Minister of Environmental Affairs</w:t>
      </w:r>
      <w:r w:rsidR="00971FE2" w:rsidRPr="00971FE2">
        <w:rPr>
          <w:rFonts w:ascii="Times New Roman" w:hAnsi="Times New Roman" w:cs="Times New Roman"/>
          <w:sz w:val="24"/>
          <w:szCs w:val="24"/>
        </w:rPr>
        <w:t xml:space="preserve"> 2004 4 SA 490 (CC)</w:t>
      </w:r>
      <w:r w:rsidR="004F1E83">
        <w:rPr>
          <w:rFonts w:ascii="Times New Roman" w:hAnsi="Times New Roman" w:cs="Times New Roman"/>
          <w:sz w:val="24"/>
          <w:szCs w:val="24"/>
        </w:rPr>
        <w:t>;</w:t>
      </w:r>
      <w:r w:rsidR="004F1E83" w:rsidRPr="004F1E83">
        <w:rPr>
          <w:rFonts w:ascii="Times New Roman" w:hAnsi="Times New Roman" w:cs="Times New Roman"/>
          <w:i/>
          <w:iCs/>
          <w:sz w:val="24"/>
          <w:szCs w:val="24"/>
        </w:rPr>
        <w:t xml:space="preserve"> Kirstein </w:t>
      </w:r>
      <w:r w:rsidR="004F1E83" w:rsidRPr="00377C14">
        <w:rPr>
          <w:rFonts w:ascii="Times New Roman" w:hAnsi="Times New Roman" w:cs="Times New Roman"/>
          <w:sz w:val="24"/>
          <w:szCs w:val="24"/>
        </w:rPr>
        <w:t>v</w:t>
      </w:r>
      <w:r w:rsidR="004F1E83" w:rsidRPr="004F1E83">
        <w:rPr>
          <w:rFonts w:ascii="Times New Roman" w:hAnsi="Times New Roman" w:cs="Times New Roman"/>
          <w:i/>
          <w:iCs/>
          <w:sz w:val="24"/>
          <w:szCs w:val="24"/>
        </w:rPr>
        <w:t xml:space="preserve"> Registrar General &amp; Ors </w:t>
      </w:r>
      <w:r w:rsidR="004F1E83">
        <w:rPr>
          <w:rFonts w:ascii="Times New Roman" w:hAnsi="Times New Roman" w:cs="Times New Roman"/>
          <w:sz w:val="24"/>
          <w:szCs w:val="24"/>
        </w:rPr>
        <w:t xml:space="preserve">2019 (3) ZLR 1275 (H). </w:t>
      </w:r>
    </w:p>
    <w:p w14:paraId="543F9BE3" w14:textId="3000C132" w:rsidR="00BA69BD" w:rsidRDefault="00E0664B" w:rsidP="00E066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Pr="00E0664B">
        <w:rPr>
          <w:rFonts w:ascii="Times New Roman" w:hAnsi="Times New Roman" w:cs="Times New Roman"/>
          <w:sz w:val="24"/>
          <w:szCs w:val="24"/>
        </w:rPr>
        <w:t xml:space="preserve">] </w:t>
      </w:r>
      <w:r w:rsidR="00BA69BD" w:rsidRPr="00E0664B">
        <w:rPr>
          <w:rFonts w:ascii="Times New Roman" w:hAnsi="Times New Roman" w:cs="Times New Roman"/>
          <w:sz w:val="24"/>
          <w:szCs w:val="24"/>
        </w:rPr>
        <w:t xml:space="preserve">In </w:t>
      </w:r>
      <w:r w:rsidR="00BA69BD" w:rsidRPr="00E0664B">
        <w:rPr>
          <w:rFonts w:ascii="Times New Roman" w:hAnsi="Times New Roman" w:cs="Times New Roman"/>
          <w:i/>
          <w:iCs/>
          <w:sz w:val="24"/>
          <w:szCs w:val="24"/>
        </w:rPr>
        <w:t xml:space="preserve">Premier of Mpumalanga </w:t>
      </w:r>
      <w:r w:rsidR="00BA69BD" w:rsidRPr="00E0664B">
        <w:rPr>
          <w:rFonts w:ascii="Times New Roman" w:hAnsi="Times New Roman" w:cs="Times New Roman"/>
          <w:sz w:val="24"/>
          <w:szCs w:val="24"/>
        </w:rPr>
        <w:t>v</w:t>
      </w:r>
      <w:r w:rsidR="00BA69BD" w:rsidRPr="00E0664B">
        <w:rPr>
          <w:rFonts w:ascii="Times New Roman" w:hAnsi="Times New Roman" w:cs="Times New Roman"/>
          <w:i/>
          <w:iCs/>
          <w:sz w:val="24"/>
          <w:szCs w:val="24"/>
        </w:rPr>
        <w:t xml:space="preserve"> Executive Committee of State-aided Schools, Eastern Transvaal </w:t>
      </w:r>
      <w:r w:rsidR="00BA69BD" w:rsidRPr="00E0664B">
        <w:rPr>
          <w:rFonts w:ascii="Times New Roman" w:hAnsi="Times New Roman" w:cs="Times New Roman"/>
          <w:sz w:val="24"/>
          <w:szCs w:val="24"/>
        </w:rPr>
        <w:t>1999 2 SA 91 (CC) para 51the court put it thus:</w:t>
      </w:r>
      <w:r w:rsidR="00BA69BD" w:rsidDel="00BA69BD">
        <w:rPr>
          <w:rFonts w:ascii="Times New Roman" w:hAnsi="Times New Roman" w:cs="Times New Roman"/>
          <w:sz w:val="24"/>
          <w:szCs w:val="24"/>
        </w:rPr>
        <w:t xml:space="preserve"> </w:t>
      </w:r>
    </w:p>
    <w:p w14:paraId="16756917" w14:textId="3386C4FB" w:rsidR="00971FE2" w:rsidRDefault="00892804" w:rsidP="00971FE2">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00971FE2" w:rsidRPr="00971FE2">
        <w:rPr>
          <w:rFonts w:ascii="Times New Roman" w:hAnsi="Times New Roman" w:cs="Times New Roman"/>
        </w:rPr>
        <w:t>“The extent to which a court should give weight to these considerations will depend upon the character of the decision itself, as well as on the identity of the decision maker. A decision that requires an equilibrium to be struck between a range of competing interests or considerations</w:t>
      </w:r>
      <w:r w:rsidR="007D720B">
        <w:rPr>
          <w:rFonts w:ascii="Times New Roman" w:hAnsi="Times New Roman" w:cs="Times New Roman"/>
        </w:rPr>
        <w:t>,</w:t>
      </w:r>
      <w:r w:rsidR="00971FE2" w:rsidRPr="00971FE2">
        <w:rPr>
          <w:rFonts w:ascii="Times New Roman" w:hAnsi="Times New Roman" w:cs="Times New Roman"/>
        </w:rPr>
        <w:t xml:space="preserve"> and which is to be taken by a person or institution with specific expertise in that area</w:t>
      </w:r>
      <w:r w:rsidR="007D720B">
        <w:rPr>
          <w:rFonts w:ascii="Times New Roman" w:hAnsi="Times New Roman" w:cs="Times New Roman"/>
        </w:rPr>
        <w:t>,</w:t>
      </w:r>
      <w:r w:rsidR="00971FE2" w:rsidRPr="00971FE2">
        <w:rPr>
          <w:rFonts w:ascii="Times New Roman" w:hAnsi="Times New Roman" w:cs="Times New Roman"/>
        </w:rPr>
        <w:t xml:space="preserve"> must be shown respect by the courts. This does not mean</w:t>
      </w:r>
      <w:r w:rsidR="007D720B">
        <w:rPr>
          <w:rFonts w:ascii="Times New Roman" w:hAnsi="Times New Roman" w:cs="Times New Roman"/>
        </w:rPr>
        <w:t>,</w:t>
      </w:r>
      <w:r w:rsidR="00971FE2" w:rsidRPr="00971FE2">
        <w:rPr>
          <w:rFonts w:ascii="Times New Roman" w:hAnsi="Times New Roman" w:cs="Times New Roman"/>
        </w:rPr>
        <w:t xml:space="preserve"> however</w:t>
      </w:r>
      <w:r w:rsidR="007D720B">
        <w:rPr>
          <w:rFonts w:ascii="Times New Roman" w:hAnsi="Times New Roman" w:cs="Times New Roman"/>
        </w:rPr>
        <w:t>,</w:t>
      </w:r>
      <w:r w:rsidR="00971FE2" w:rsidRPr="00971FE2">
        <w:rPr>
          <w:rFonts w:ascii="Times New Roman" w:hAnsi="Times New Roman" w:cs="Times New Roman"/>
        </w:rPr>
        <w:t xml:space="preserve"> that where the decision is one which will not reasonably result in the achievement of the goal, or which is not reasonably supported on the facts or not reasonable in the light of the reasons given for it, a court may not review that decision. A court should not rubber-stamp an unreasonable decision simply because of the complexity of the decision or the identity of the decision-maker.”</w:t>
      </w:r>
    </w:p>
    <w:p w14:paraId="13C8180A" w14:textId="77777777" w:rsidR="00971FE2" w:rsidRDefault="00971FE2" w:rsidP="00971FE2">
      <w:pPr>
        <w:spacing w:after="0" w:line="240" w:lineRule="auto"/>
        <w:ind w:left="720"/>
        <w:jc w:val="both"/>
        <w:rPr>
          <w:rFonts w:ascii="Times New Roman" w:hAnsi="Times New Roman" w:cs="Times New Roman"/>
        </w:rPr>
      </w:pPr>
    </w:p>
    <w:p w14:paraId="0E90633E" w14:textId="77777777" w:rsidR="004F1E83" w:rsidRDefault="004F1E83" w:rsidP="004F1E83">
      <w:pPr>
        <w:spacing w:after="0" w:line="240" w:lineRule="auto"/>
        <w:jc w:val="both"/>
        <w:rPr>
          <w:rFonts w:ascii="Times New Roman" w:hAnsi="Times New Roman" w:cs="Times New Roman"/>
        </w:rPr>
      </w:pPr>
    </w:p>
    <w:p w14:paraId="69755955" w14:textId="7B2B27D3" w:rsidR="00C05001" w:rsidRPr="00F73445" w:rsidRDefault="004F1E83" w:rsidP="00142B30">
      <w:pPr>
        <w:spacing w:after="0" w:line="360" w:lineRule="auto"/>
        <w:jc w:val="both"/>
        <w:rPr>
          <w:rFonts w:ascii="Times New Roman" w:hAnsi="Times New Roman" w:cs="Times New Roman"/>
          <w:sz w:val="24"/>
          <w:szCs w:val="24"/>
        </w:rPr>
      </w:pPr>
      <w:r>
        <w:rPr>
          <w:rFonts w:ascii="Times New Roman" w:hAnsi="Times New Roman" w:cs="Times New Roman"/>
        </w:rPr>
        <w:t>[</w:t>
      </w:r>
      <w:r w:rsidR="00886D9B">
        <w:rPr>
          <w:rFonts w:ascii="Times New Roman" w:hAnsi="Times New Roman" w:cs="Times New Roman"/>
        </w:rPr>
        <w:t>1</w:t>
      </w:r>
      <w:r w:rsidR="00FE6253">
        <w:rPr>
          <w:rFonts w:ascii="Times New Roman" w:hAnsi="Times New Roman" w:cs="Times New Roman"/>
        </w:rPr>
        <w:t>9</w:t>
      </w:r>
      <w:r>
        <w:rPr>
          <w:rFonts w:ascii="Times New Roman" w:hAnsi="Times New Roman" w:cs="Times New Roman"/>
        </w:rPr>
        <w:t xml:space="preserve">] </w:t>
      </w:r>
      <w:r w:rsidR="00D6701C" w:rsidRPr="00F73445">
        <w:rPr>
          <w:rFonts w:ascii="Times New Roman" w:hAnsi="Times New Roman" w:cs="Times New Roman"/>
          <w:sz w:val="24"/>
          <w:szCs w:val="24"/>
        </w:rPr>
        <w:t xml:space="preserve">I make </w:t>
      </w:r>
      <w:r w:rsidR="00C05001">
        <w:rPr>
          <w:rFonts w:ascii="Times New Roman" w:hAnsi="Times New Roman" w:cs="Times New Roman"/>
          <w:sz w:val="24"/>
          <w:szCs w:val="24"/>
        </w:rPr>
        <w:t xml:space="preserve">the immediate </w:t>
      </w:r>
      <w:r w:rsidR="00D6701C" w:rsidRPr="00F73445">
        <w:rPr>
          <w:rFonts w:ascii="Times New Roman" w:hAnsi="Times New Roman" w:cs="Times New Roman"/>
          <w:sz w:val="24"/>
          <w:szCs w:val="24"/>
        </w:rPr>
        <w:t>observation</w:t>
      </w:r>
      <w:r w:rsidR="00C05001">
        <w:rPr>
          <w:rFonts w:ascii="Times New Roman" w:hAnsi="Times New Roman" w:cs="Times New Roman"/>
          <w:sz w:val="24"/>
          <w:szCs w:val="24"/>
        </w:rPr>
        <w:t xml:space="preserve">, on the basis of the papers before </w:t>
      </w:r>
      <w:r w:rsidR="00E44F03">
        <w:rPr>
          <w:rFonts w:ascii="Times New Roman" w:hAnsi="Times New Roman" w:cs="Times New Roman"/>
          <w:sz w:val="24"/>
          <w:szCs w:val="24"/>
        </w:rPr>
        <w:t xml:space="preserve">the </w:t>
      </w:r>
      <w:proofErr w:type="gramStart"/>
      <w:r w:rsidR="00C05001">
        <w:rPr>
          <w:rFonts w:ascii="Times New Roman" w:hAnsi="Times New Roman" w:cs="Times New Roman"/>
          <w:sz w:val="24"/>
          <w:szCs w:val="24"/>
        </w:rPr>
        <w:t xml:space="preserve">court </w:t>
      </w:r>
      <w:r w:rsidR="00D6701C" w:rsidRPr="00F73445">
        <w:rPr>
          <w:rFonts w:ascii="Times New Roman" w:hAnsi="Times New Roman" w:cs="Times New Roman"/>
          <w:sz w:val="24"/>
          <w:szCs w:val="24"/>
        </w:rPr>
        <w:t xml:space="preserve"> that</w:t>
      </w:r>
      <w:proofErr w:type="gramEnd"/>
      <w:r w:rsidR="00D6701C" w:rsidRPr="00F73445">
        <w:rPr>
          <w:rFonts w:ascii="Times New Roman" w:hAnsi="Times New Roman" w:cs="Times New Roman"/>
          <w:sz w:val="24"/>
          <w:szCs w:val="24"/>
        </w:rPr>
        <w:t xml:space="preserve"> t</w:t>
      </w:r>
      <w:r w:rsidR="00F92B7E" w:rsidRPr="00F73445">
        <w:rPr>
          <w:rFonts w:ascii="Times New Roman" w:hAnsi="Times New Roman" w:cs="Times New Roman"/>
          <w:sz w:val="24"/>
          <w:szCs w:val="24"/>
        </w:rPr>
        <w:t>he</w:t>
      </w:r>
      <w:r w:rsidR="00F92B7E">
        <w:rPr>
          <w:rFonts w:ascii="Times New Roman" w:hAnsi="Times New Roman" w:cs="Times New Roman"/>
        </w:rPr>
        <w:t xml:space="preserve"> </w:t>
      </w:r>
      <w:r w:rsidR="00EA384D">
        <w:rPr>
          <w:rFonts w:ascii="Times New Roman" w:hAnsi="Times New Roman" w:cs="Times New Roman"/>
          <w:sz w:val="24"/>
          <w:szCs w:val="24"/>
        </w:rPr>
        <w:t xml:space="preserve">Council is made </w:t>
      </w:r>
      <w:r w:rsidR="00F92B7E">
        <w:rPr>
          <w:rFonts w:ascii="Times New Roman" w:hAnsi="Times New Roman" w:cs="Times New Roman"/>
          <w:sz w:val="24"/>
          <w:szCs w:val="24"/>
        </w:rPr>
        <w:t xml:space="preserve">up </w:t>
      </w:r>
      <w:r w:rsidR="00EA384D">
        <w:rPr>
          <w:rFonts w:ascii="Times New Roman" w:hAnsi="Times New Roman" w:cs="Times New Roman"/>
          <w:sz w:val="24"/>
          <w:szCs w:val="24"/>
        </w:rPr>
        <w:t xml:space="preserve">of eminent academics. There is a </w:t>
      </w:r>
      <w:r w:rsidR="00EA384D">
        <w:rPr>
          <w:rFonts w:ascii="Times New Roman" w:hAnsi="Times New Roman" w:cs="Times New Roman"/>
          <w:sz w:val="24"/>
          <w:szCs w:val="24"/>
          <w:lang w:val="en-US"/>
        </w:rPr>
        <w:t xml:space="preserve">Higher Education and Quality Assurance Committee (“HEQAC”), also composed of eminent academics, which makes recommendations to </w:t>
      </w:r>
      <w:r w:rsidR="00246392">
        <w:rPr>
          <w:rFonts w:ascii="Times New Roman" w:hAnsi="Times New Roman" w:cs="Times New Roman"/>
          <w:sz w:val="24"/>
          <w:szCs w:val="24"/>
          <w:lang w:val="en-US"/>
        </w:rPr>
        <w:t xml:space="preserve">the </w:t>
      </w:r>
      <w:r w:rsidR="00EA384D">
        <w:rPr>
          <w:rFonts w:ascii="Times New Roman" w:hAnsi="Times New Roman" w:cs="Times New Roman"/>
          <w:sz w:val="24"/>
          <w:szCs w:val="24"/>
          <w:lang w:val="en-US"/>
        </w:rPr>
        <w:t xml:space="preserve">Council. </w:t>
      </w:r>
      <w:r w:rsidR="00EA384D" w:rsidRPr="00971FE2">
        <w:rPr>
          <w:rFonts w:ascii="Times New Roman" w:hAnsi="Times New Roman" w:cs="Times New Roman"/>
          <w:sz w:val="24"/>
          <w:szCs w:val="24"/>
        </w:rPr>
        <w:t xml:space="preserve">The task of </w:t>
      </w:r>
      <w:r w:rsidR="00EA384D">
        <w:rPr>
          <w:rFonts w:ascii="Times New Roman" w:hAnsi="Times New Roman" w:cs="Times New Roman"/>
          <w:sz w:val="24"/>
          <w:szCs w:val="24"/>
        </w:rPr>
        <w:t xml:space="preserve">granting a provisional registration licence requires expertise and </w:t>
      </w:r>
      <w:r w:rsidR="00EA384D" w:rsidRPr="00971FE2">
        <w:rPr>
          <w:rFonts w:ascii="Times New Roman" w:hAnsi="Times New Roman" w:cs="Times New Roman"/>
          <w:sz w:val="24"/>
          <w:szCs w:val="24"/>
        </w:rPr>
        <w:t>decision-makers who are experts in the field.</w:t>
      </w:r>
      <w:r w:rsidR="00EA384D">
        <w:rPr>
          <w:rFonts w:ascii="Times New Roman" w:hAnsi="Times New Roman" w:cs="Times New Roman"/>
          <w:sz w:val="24"/>
          <w:szCs w:val="24"/>
        </w:rPr>
        <w:t xml:space="preserve"> </w:t>
      </w:r>
      <w:r w:rsidR="00EA384D">
        <w:rPr>
          <w:rFonts w:ascii="Times New Roman" w:hAnsi="Times New Roman" w:cs="Times New Roman"/>
          <w:sz w:val="24"/>
          <w:szCs w:val="24"/>
          <w:lang w:val="en-US"/>
        </w:rPr>
        <w:t xml:space="preserve">I am </w:t>
      </w:r>
      <w:r w:rsidR="00EA384D" w:rsidRPr="00971FE2">
        <w:rPr>
          <w:rFonts w:ascii="Times New Roman" w:hAnsi="Times New Roman" w:cs="Times New Roman"/>
          <w:sz w:val="24"/>
          <w:szCs w:val="24"/>
        </w:rPr>
        <w:t xml:space="preserve">satisfied that the </w:t>
      </w:r>
      <w:r w:rsidR="00EA384D">
        <w:rPr>
          <w:rFonts w:ascii="Times New Roman" w:hAnsi="Times New Roman" w:cs="Times New Roman"/>
          <w:sz w:val="24"/>
          <w:szCs w:val="24"/>
        </w:rPr>
        <w:t>Council, in making its decision,</w:t>
      </w:r>
      <w:r w:rsidR="00EA384D" w:rsidRPr="00971FE2">
        <w:rPr>
          <w:rFonts w:ascii="Times New Roman" w:hAnsi="Times New Roman" w:cs="Times New Roman"/>
          <w:sz w:val="24"/>
          <w:szCs w:val="24"/>
        </w:rPr>
        <w:t xml:space="preserve"> </w:t>
      </w:r>
      <w:r w:rsidR="00EA384D">
        <w:rPr>
          <w:rFonts w:ascii="Times New Roman" w:hAnsi="Times New Roman" w:cs="Times New Roman"/>
          <w:sz w:val="24"/>
          <w:szCs w:val="24"/>
        </w:rPr>
        <w:t>considered</w:t>
      </w:r>
      <w:r w:rsidR="00EA384D" w:rsidRPr="00971FE2">
        <w:rPr>
          <w:rFonts w:ascii="Times New Roman" w:hAnsi="Times New Roman" w:cs="Times New Roman"/>
          <w:sz w:val="24"/>
          <w:szCs w:val="24"/>
        </w:rPr>
        <w:t xml:space="preserve"> </w:t>
      </w:r>
      <w:r w:rsidR="00246392">
        <w:rPr>
          <w:rFonts w:ascii="Times New Roman" w:hAnsi="Times New Roman" w:cs="Times New Roman"/>
          <w:sz w:val="24"/>
          <w:szCs w:val="24"/>
        </w:rPr>
        <w:t>only</w:t>
      </w:r>
      <w:r w:rsidR="0010340B">
        <w:rPr>
          <w:rFonts w:ascii="Times New Roman" w:hAnsi="Times New Roman" w:cs="Times New Roman"/>
          <w:sz w:val="24"/>
          <w:szCs w:val="24"/>
        </w:rPr>
        <w:t xml:space="preserve"> </w:t>
      </w:r>
      <w:r w:rsidR="00EA384D">
        <w:rPr>
          <w:rFonts w:ascii="Times New Roman" w:hAnsi="Times New Roman" w:cs="Times New Roman"/>
          <w:sz w:val="24"/>
          <w:szCs w:val="24"/>
        </w:rPr>
        <w:t xml:space="preserve">relevant </w:t>
      </w:r>
      <w:r w:rsidR="00EA384D" w:rsidRPr="00971FE2">
        <w:rPr>
          <w:rFonts w:ascii="Times New Roman" w:hAnsi="Times New Roman" w:cs="Times New Roman"/>
          <w:sz w:val="24"/>
          <w:szCs w:val="24"/>
        </w:rPr>
        <w:t>factors</w:t>
      </w:r>
      <w:r w:rsidR="00EA384D">
        <w:rPr>
          <w:rFonts w:ascii="Times New Roman" w:hAnsi="Times New Roman" w:cs="Times New Roman"/>
          <w:sz w:val="24"/>
          <w:szCs w:val="24"/>
        </w:rPr>
        <w:t xml:space="preserve"> and did not consider irrelevant factors. The question </w:t>
      </w:r>
      <w:r w:rsidR="00F92B7E">
        <w:rPr>
          <w:rFonts w:ascii="Times New Roman" w:hAnsi="Times New Roman" w:cs="Times New Roman"/>
          <w:sz w:val="24"/>
          <w:szCs w:val="24"/>
        </w:rPr>
        <w:t xml:space="preserve">of </w:t>
      </w:r>
      <w:r w:rsidR="00EA384D">
        <w:rPr>
          <w:rFonts w:ascii="Times New Roman" w:hAnsi="Times New Roman" w:cs="Times New Roman"/>
          <w:sz w:val="24"/>
          <w:szCs w:val="24"/>
        </w:rPr>
        <w:t>whether t</w:t>
      </w:r>
      <w:r w:rsidR="00EA384D">
        <w:rPr>
          <w:rFonts w:ascii="Times New Roman" w:hAnsi="Times New Roman" w:cs="Times New Roman"/>
          <w:sz w:val="24"/>
          <w:szCs w:val="24"/>
          <w:lang w:val="en-US"/>
        </w:rPr>
        <w:t xml:space="preserve">he applicant has made substantial steps </w:t>
      </w:r>
      <w:r w:rsidR="00D8528D">
        <w:rPr>
          <w:rFonts w:ascii="Times New Roman" w:hAnsi="Times New Roman" w:cs="Times New Roman"/>
          <w:sz w:val="24"/>
          <w:szCs w:val="24"/>
          <w:lang w:val="en-US"/>
        </w:rPr>
        <w:t xml:space="preserve">towards accreditation </w:t>
      </w:r>
      <w:r w:rsidR="00597652">
        <w:rPr>
          <w:rFonts w:ascii="Times New Roman" w:hAnsi="Times New Roman" w:cs="Times New Roman"/>
          <w:sz w:val="24"/>
          <w:szCs w:val="24"/>
          <w:lang w:val="en-US"/>
        </w:rPr>
        <w:t>is</w:t>
      </w:r>
      <w:r w:rsidR="00D8528D">
        <w:rPr>
          <w:rFonts w:ascii="Times New Roman" w:hAnsi="Times New Roman" w:cs="Times New Roman"/>
          <w:sz w:val="24"/>
          <w:szCs w:val="24"/>
          <w:lang w:val="en-US"/>
        </w:rPr>
        <w:t xml:space="preserve"> an issue that can best be answered by the Council.</w:t>
      </w:r>
      <w:r w:rsidR="00142B30" w:rsidRPr="00142B30">
        <w:rPr>
          <w:rFonts w:ascii="Times New Roman" w:hAnsi="Times New Roman" w:cs="Times New Roman"/>
          <w:sz w:val="24"/>
          <w:szCs w:val="24"/>
          <w:lang w:val="en-US"/>
        </w:rPr>
        <w:t xml:space="preserve"> </w:t>
      </w:r>
      <w:r w:rsidR="00142B30">
        <w:rPr>
          <w:rFonts w:ascii="Times New Roman" w:hAnsi="Times New Roman" w:cs="Times New Roman"/>
          <w:sz w:val="24"/>
          <w:szCs w:val="24"/>
          <w:lang w:val="en-US"/>
        </w:rPr>
        <w:t>I do not see how this court, in the proper exercise of its judicial power, can order the respondent to</w:t>
      </w:r>
      <w:r w:rsidR="00142B30" w:rsidRPr="00871787">
        <w:rPr>
          <w:rFonts w:ascii="Times New Roman" w:hAnsi="Times New Roman" w:cs="Times New Roman"/>
          <w:sz w:val="24"/>
          <w:szCs w:val="24"/>
          <w:lang w:val="en-US"/>
        </w:rPr>
        <w:t xml:space="preserve"> issue </w:t>
      </w:r>
      <w:r w:rsidR="00142B30">
        <w:rPr>
          <w:rFonts w:ascii="Times New Roman" w:hAnsi="Times New Roman" w:cs="Times New Roman"/>
          <w:sz w:val="24"/>
          <w:szCs w:val="24"/>
          <w:lang w:val="en-US"/>
        </w:rPr>
        <w:t xml:space="preserve">the </w:t>
      </w:r>
      <w:r w:rsidR="00142B30" w:rsidRPr="00871787">
        <w:rPr>
          <w:rFonts w:ascii="Times New Roman" w:hAnsi="Times New Roman" w:cs="Times New Roman"/>
          <w:sz w:val="24"/>
          <w:szCs w:val="24"/>
          <w:lang w:val="en-US"/>
        </w:rPr>
        <w:t>applicant with a provisional registration licence in terms of s 11 of th</w:t>
      </w:r>
      <w:r w:rsidR="00142B30">
        <w:rPr>
          <w:rFonts w:ascii="Times New Roman" w:hAnsi="Times New Roman" w:cs="Times New Roman"/>
          <w:sz w:val="24"/>
          <w:szCs w:val="24"/>
          <w:lang w:val="en-US"/>
        </w:rPr>
        <w:t>e Act; and that i</w:t>
      </w:r>
      <w:r w:rsidR="00142B30" w:rsidRPr="00871787">
        <w:rPr>
          <w:rFonts w:ascii="Times New Roman" w:hAnsi="Times New Roman" w:cs="Times New Roman"/>
          <w:sz w:val="24"/>
          <w:szCs w:val="24"/>
          <w:lang w:val="en-US"/>
        </w:rPr>
        <w:t xml:space="preserve">n the event of </w:t>
      </w:r>
      <w:r w:rsidR="00142B30" w:rsidRPr="00871787">
        <w:rPr>
          <w:rFonts w:ascii="Times New Roman" w:hAnsi="Times New Roman" w:cs="Times New Roman"/>
          <w:sz w:val="24"/>
          <w:szCs w:val="24"/>
          <w:lang w:val="en-US"/>
        </w:rPr>
        <w:lastRenderedPageBreak/>
        <w:t xml:space="preserve">failure by </w:t>
      </w:r>
      <w:r w:rsidR="00142B30">
        <w:rPr>
          <w:rFonts w:ascii="Times New Roman" w:hAnsi="Times New Roman" w:cs="Times New Roman"/>
          <w:sz w:val="24"/>
          <w:szCs w:val="24"/>
          <w:lang w:val="en-US"/>
        </w:rPr>
        <w:t xml:space="preserve">the </w:t>
      </w:r>
      <w:r w:rsidR="00142B30" w:rsidRPr="00871787">
        <w:rPr>
          <w:rFonts w:ascii="Times New Roman" w:hAnsi="Times New Roman" w:cs="Times New Roman"/>
          <w:sz w:val="24"/>
          <w:szCs w:val="24"/>
          <w:lang w:val="en-US"/>
        </w:rPr>
        <w:t>respondent t</w:t>
      </w:r>
      <w:r w:rsidR="00142B30">
        <w:rPr>
          <w:rFonts w:ascii="Times New Roman" w:hAnsi="Times New Roman" w:cs="Times New Roman"/>
          <w:sz w:val="24"/>
          <w:szCs w:val="24"/>
          <w:lang w:val="en-US"/>
        </w:rPr>
        <w:t>o issue the licence, the</w:t>
      </w:r>
      <w:r w:rsidR="00142B30" w:rsidRPr="00871787">
        <w:rPr>
          <w:rFonts w:ascii="Times New Roman" w:hAnsi="Times New Roman" w:cs="Times New Roman"/>
          <w:sz w:val="24"/>
          <w:szCs w:val="24"/>
          <w:lang w:val="en-US"/>
        </w:rPr>
        <w:t xml:space="preserve"> provisional registration </w:t>
      </w:r>
      <w:proofErr w:type="spellStart"/>
      <w:r w:rsidR="00142B30" w:rsidRPr="00871787">
        <w:rPr>
          <w:rFonts w:ascii="Times New Roman" w:hAnsi="Times New Roman" w:cs="Times New Roman"/>
          <w:sz w:val="24"/>
          <w:szCs w:val="24"/>
          <w:lang w:val="en-US"/>
        </w:rPr>
        <w:t>licence</w:t>
      </w:r>
      <w:proofErr w:type="spellEnd"/>
      <w:r w:rsidR="00142B30" w:rsidRPr="00871787">
        <w:rPr>
          <w:rFonts w:ascii="Times New Roman" w:hAnsi="Times New Roman" w:cs="Times New Roman"/>
          <w:sz w:val="24"/>
          <w:szCs w:val="24"/>
          <w:lang w:val="en-US"/>
        </w:rPr>
        <w:t xml:space="preserve"> </w:t>
      </w:r>
      <w:r w:rsidR="00E44F03">
        <w:rPr>
          <w:rFonts w:ascii="Times New Roman" w:hAnsi="Times New Roman" w:cs="Times New Roman"/>
          <w:sz w:val="24"/>
          <w:szCs w:val="24"/>
          <w:lang w:val="en-US"/>
        </w:rPr>
        <w:t xml:space="preserve">is </w:t>
      </w:r>
      <w:r w:rsidR="00142B30">
        <w:rPr>
          <w:rFonts w:ascii="Times New Roman" w:hAnsi="Times New Roman" w:cs="Times New Roman"/>
          <w:sz w:val="24"/>
          <w:szCs w:val="24"/>
          <w:lang w:val="en-US"/>
        </w:rPr>
        <w:t>to</w:t>
      </w:r>
      <w:r w:rsidR="00142B30" w:rsidRPr="00871787">
        <w:rPr>
          <w:rFonts w:ascii="Times New Roman" w:hAnsi="Times New Roman" w:cs="Times New Roman"/>
          <w:sz w:val="24"/>
          <w:szCs w:val="24"/>
          <w:lang w:val="en-US"/>
        </w:rPr>
        <w:t xml:space="preserve"> be deemed to have been granted.</w:t>
      </w:r>
      <w:r w:rsidR="00142B30">
        <w:rPr>
          <w:rFonts w:ascii="Times New Roman" w:hAnsi="Times New Roman" w:cs="Times New Roman"/>
          <w:sz w:val="24"/>
          <w:szCs w:val="24"/>
          <w:lang w:val="en-US"/>
        </w:rPr>
        <w:t xml:space="preserve"> This betrays the applicant’s misconception </w:t>
      </w:r>
      <w:r w:rsidR="00D6701C">
        <w:rPr>
          <w:rFonts w:ascii="Times New Roman" w:hAnsi="Times New Roman" w:cs="Times New Roman"/>
          <w:sz w:val="24"/>
          <w:szCs w:val="24"/>
          <w:lang w:val="en-US"/>
        </w:rPr>
        <w:t xml:space="preserve">and misunderstanding </w:t>
      </w:r>
      <w:r w:rsidR="00142B30">
        <w:rPr>
          <w:rFonts w:ascii="Times New Roman" w:hAnsi="Times New Roman" w:cs="Times New Roman"/>
          <w:sz w:val="24"/>
          <w:szCs w:val="24"/>
          <w:lang w:val="en-US"/>
        </w:rPr>
        <w:t xml:space="preserve">of the basic principles </w:t>
      </w:r>
      <w:r w:rsidR="00946DBD">
        <w:rPr>
          <w:rFonts w:ascii="Times New Roman" w:hAnsi="Times New Roman" w:cs="Times New Roman"/>
          <w:sz w:val="24"/>
          <w:szCs w:val="24"/>
          <w:lang w:val="en-US"/>
        </w:rPr>
        <w:t xml:space="preserve">of </w:t>
      </w:r>
      <w:r w:rsidR="00142B30">
        <w:rPr>
          <w:rFonts w:ascii="Times New Roman" w:hAnsi="Times New Roman" w:cs="Times New Roman"/>
          <w:sz w:val="24"/>
          <w:szCs w:val="24"/>
          <w:lang w:val="en-US"/>
        </w:rPr>
        <w:t xml:space="preserve">administrative law and the notion of deference. It is the prerogative of the respondent, in terms of s 11 of the Act, to grant a provisional registration, and the </w:t>
      </w:r>
      <w:r w:rsidR="004B5009">
        <w:rPr>
          <w:rFonts w:ascii="Times New Roman" w:hAnsi="Times New Roman" w:cs="Times New Roman"/>
          <w:sz w:val="24"/>
          <w:szCs w:val="24"/>
          <w:lang w:val="en-US"/>
        </w:rPr>
        <w:t>court should</w:t>
      </w:r>
      <w:r w:rsidR="00142B30">
        <w:rPr>
          <w:rFonts w:ascii="Times New Roman" w:hAnsi="Times New Roman" w:cs="Times New Roman"/>
          <w:sz w:val="24"/>
          <w:szCs w:val="24"/>
          <w:lang w:val="en-US"/>
        </w:rPr>
        <w:t xml:space="preserve"> be careful not </w:t>
      </w:r>
      <w:r w:rsidR="004B5009">
        <w:rPr>
          <w:rFonts w:ascii="Times New Roman" w:hAnsi="Times New Roman" w:cs="Times New Roman"/>
          <w:sz w:val="24"/>
          <w:szCs w:val="24"/>
          <w:lang w:val="en-US"/>
        </w:rPr>
        <w:t>to usurp</w:t>
      </w:r>
      <w:r w:rsidR="00142B30">
        <w:rPr>
          <w:rFonts w:ascii="Times New Roman" w:hAnsi="Times New Roman" w:cs="Times New Roman"/>
          <w:sz w:val="24"/>
          <w:szCs w:val="24"/>
          <w:lang w:val="en-US"/>
        </w:rPr>
        <w:t xml:space="preserve"> such a function. This would be a textbook case of judicial overreach – a </w:t>
      </w:r>
      <w:r w:rsidR="00E44F03">
        <w:rPr>
          <w:rFonts w:ascii="Times New Roman" w:hAnsi="Times New Roman" w:cs="Times New Roman"/>
          <w:sz w:val="24"/>
          <w:szCs w:val="24"/>
          <w:lang w:val="en-US"/>
        </w:rPr>
        <w:t xml:space="preserve">constitutionally </w:t>
      </w:r>
      <w:r w:rsidR="00142B30">
        <w:rPr>
          <w:rFonts w:ascii="Times New Roman" w:hAnsi="Times New Roman" w:cs="Times New Roman"/>
          <w:sz w:val="24"/>
          <w:szCs w:val="24"/>
          <w:lang w:val="en-US"/>
        </w:rPr>
        <w:t xml:space="preserve">impermissible intrusion by the judiciary into the exclusive domain of administrative bodies. See </w:t>
      </w:r>
      <w:r w:rsidR="00142B30" w:rsidRPr="00D402C1">
        <w:rPr>
          <w:rFonts w:ascii="Times New Roman" w:hAnsi="Times New Roman" w:cs="Times New Roman"/>
          <w:i/>
          <w:iCs/>
          <w:sz w:val="24"/>
          <w:szCs w:val="24"/>
          <w:lang w:val="en-US"/>
        </w:rPr>
        <w:t xml:space="preserve">Economic Freedom Fighters and Others </w:t>
      </w:r>
      <w:r w:rsidR="00142B30" w:rsidRPr="00377C14">
        <w:rPr>
          <w:rFonts w:ascii="Times New Roman" w:hAnsi="Times New Roman" w:cs="Times New Roman"/>
          <w:sz w:val="24"/>
          <w:szCs w:val="24"/>
          <w:lang w:val="en-US"/>
        </w:rPr>
        <w:t>v</w:t>
      </w:r>
      <w:r w:rsidR="00142B30" w:rsidRPr="00D402C1">
        <w:rPr>
          <w:rFonts w:ascii="Times New Roman" w:hAnsi="Times New Roman" w:cs="Times New Roman"/>
          <w:i/>
          <w:iCs/>
          <w:sz w:val="24"/>
          <w:szCs w:val="24"/>
          <w:lang w:val="en-US"/>
        </w:rPr>
        <w:t xml:space="preserve"> Speaker of the National Assembly and Another</w:t>
      </w:r>
      <w:r w:rsidR="00142B30">
        <w:rPr>
          <w:rFonts w:ascii="Times New Roman" w:hAnsi="Times New Roman" w:cs="Times New Roman"/>
          <w:sz w:val="24"/>
          <w:szCs w:val="24"/>
          <w:lang w:val="en-US"/>
        </w:rPr>
        <w:t xml:space="preserve"> [2017] ZACC 47. </w:t>
      </w:r>
      <w:r w:rsidR="00C05001">
        <w:rPr>
          <w:rFonts w:ascii="Times New Roman" w:hAnsi="Times New Roman" w:cs="Times New Roman"/>
          <w:sz w:val="24"/>
          <w:szCs w:val="24"/>
          <w:lang w:val="en-US"/>
        </w:rPr>
        <w:t xml:space="preserve">All this does not mean that a </w:t>
      </w:r>
      <w:r w:rsidR="00C05001" w:rsidRPr="00F73445">
        <w:rPr>
          <w:rFonts w:ascii="Times New Roman" w:hAnsi="Times New Roman" w:cs="Times New Roman"/>
          <w:sz w:val="24"/>
          <w:szCs w:val="24"/>
        </w:rPr>
        <w:t xml:space="preserve">court should </w:t>
      </w:r>
      <w:r w:rsidR="00C05001" w:rsidRPr="00C05001">
        <w:rPr>
          <w:rFonts w:ascii="Times New Roman" w:hAnsi="Times New Roman" w:cs="Times New Roman"/>
          <w:sz w:val="24"/>
          <w:szCs w:val="24"/>
        </w:rPr>
        <w:t>merely</w:t>
      </w:r>
      <w:r w:rsidR="00C05001" w:rsidRPr="00F73445">
        <w:rPr>
          <w:rFonts w:ascii="Times New Roman" w:hAnsi="Times New Roman" w:cs="Times New Roman"/>
          <w:sz w:val="24"/>
          <w:szCs w:val="24"/>
        </w:rPr>
        <w:t xml:space="preserve"> rubber-stamp </w:t>
      </w:r>
      <w:r w:rsidR="00C05001" w:rsidRPr="00C05001">
        <w:rPr>
          <w:rFonts w:ascii="Times New Roman" w:hAnsi="Times New Roman" w:cs="Times New Roman"/>
          <w:sz w:val="24"/>
          <w:szCs w:val="24"/>
        </w:rPr>
        <w:t>a</w:t>
      </w:r>
      <w:r w:rsidR="00C05001" w:rsidRPr="00F73445">
        <w:rPr>
          <w:rFonts w:ascii="Times New Roman" w:hAnsi="Times New Roman" w:cs="Times New Roman"/>
          <w:sz w:val="24"/>
          <w:szCs w:val="24"/>
        </w:rPr>
        <w:t xml:space="preserve"> decision simply because of the complexity of the decision or the identity of the decision-maker.</w:t>
      </w:r>
      <w:r w:rsidR="00C05001" w:rsidRPr="00C05001">
        <w:rPr>
          <w:rFonts w:ascii="Times New Roman" w:hAnsi="Times New Roman" w:cs="Times New Roman"/>
          <w:sz w:val="24"/>
          <w:szCs w:val="24"/>
        </w:rPr>
        <w:t xml:space="preserve"> It means the court </w:t>
      </w:r>
      <w:r w:rsidR="00C05001" w:rsidRPr="00F73445">
        <w:rPr>
          <w:rFonts w:ascii="Times New Roman" w:hAnsi="Times New Roman" w:cs="Times New Roman"/>
          <w:sz w:val="24"/>
          <w:szCs w:val="24"/>
        </w:rPr>
        <w:t xml:space="preserve">should take care not to usurp the functions of administrative bodies. </w:t>
      </w:r>
    </w:p>
    <w:p w14:paraId="0FA51D40" w14:textId="619E591C" w:rsidR="0044458B" w:rsidRPr="00947975" w:rsidRDefault="00D402C1" w:rsidP="004445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FE6253">
        <w:rPr>
          <w:rFonts w:ascii="Times New Roman" w:hAnsi="Times New Roman" w:cs="Times New Roman"/>
          <w:sz w:val="24"/>
          <w:szCs w:val="24"/>
          <w:lang w:val="en-US"/>
        </w:rPr>
        <w:t>20</w:t>
      </w:r>
      <w:r w:rsidR="00947975">
        <w:rPr>
          <w:rFonts w:ascii="Times New Roman" w:hAnsi="Times New Roman" w:cs="Times New Roman"/>
          <w:sz w:val="24"/>
          <w:szCs w:val="24"/>
          <w:lang w:val="en-US"/>
        </w:rPr>
        <w:t>]</w:t>
      </w:r>
      <w:r w:rsidR="00EA44C3" w:rsidRPr="00F71F48">
        <w:rPr>
          <w:rFonts w:ascii="Times New Roman" w:hAnsi="Times New Roman" w:cs="Times New Roman"/>
          <w:sz w:val="24"/>
          <w:szCs w:val="24"/>
        </w:rPr>
        <w:t xml:space="preserve"> </w:t>
      </w:r>
      <w:r w:rsidR="00246392">
        <w:rPr>
          <w:rFonts w:ascii="Times New Roman" w:hAnsi="Times New Roman" w:cs="Times New Roman"/>
          <w:sz w:val="24"/>
          <w:szCs w:val="24"/>
        </w:rPr>
        <w:t>In addition</w:t>
      </w:r>
      <w:r w:rsidR="00C05001">
        <w:rPr>
          <w:rFonts w:ascii="Times New Roman" w:hAnsi="Times New Roman" w:cs="Times New Roman"/>
          <w:sz w:val="24"/>
          <w:szCs w:val="24"/>
        </w:rPr>
        <w:t>,</w:t>
      </w:r>
      <w:r w:rsidR="00246392">
        <w:rPr>
          <w:rFonts w:ascii="Times New Roman" w:hAnsi="Times New Roman" w:cs="Times New Roman"/>
          <w:sz w:val="24"/>
          <w:szCs w:val="24"/>
        </w:rPr>
        <w:t xml:space="preserve"> t</w:t>
      </w:r>
      <w:r w:rsidR="00EA44C3" w:rsidRPr="00F71F48">
        <w:rPr>
          <w:rFonts w:ascii="Times New Roman" w:hAnsi="Times New Roman" w:cs="Times New Roman"/>
          <w:sz w:val="24"/>
          <w:szCs w:val="24"/>
        </w:rPr>
        <w:t>he applicant contends that the decision</w:t>
      </w:r>
      <w:r w:rsidR="00246392">
        <w:rPr>
          <w:rFonts w:ascii="Times New Roman" w:hAnsi="Times New Roman" w:cs="Times New Roman"/>
          <w:sz w:val="24"/>
          <w:szCs w:val="24"/>
        </w:rPr>
        <w:t xml:space="preserve"> sought to be impeached</w:t>
      </w:r>
      <w:r w:rsidR="00EA44C3" w:rsidRPr="00F71F48">
        <w:rPr>
          <w:rFonts w:ascii="Times New Roman" w:hAnsi="Times New Roman" w:cs="Times New Roman"/>
          <w:sz w:val="24"/>
          <w:szCs w:val="24"/>
        </w:rPr>
        <w:t xml:space="preserve"> is irrational. </w:t>
      </w:r>
      <w:r w:rsidR="00BC7C6D" w:rsidRPr="00F71F48">
        <w:rPr>
          <w:rFonts w:ascii="Times New Roman" w:hAnsi="Times New Roman" w:cs="Times New Roman"/>
          <w:sz w:val="24"/>
          <w:szCs w:val="24"/>
        </w:rPr>
        <w:t>In the context of administrative law, decisions must be rationally related to the purpose for which the power was given.</w:t>
      </w:r>
      <w:r w:rsidR="0003272B">
        <w:rPr>
          <w:rFonts w:ascii="Times New Roman" w:hAnsi="Times New Roman" w:cs="Times New Roman"/>
          <w:sz w:val="24"/>
          <w:szCs w:val="24"/>
        </w:rPr>
        <w:t xml:space="preserve"> </w:t>
      </w:r>
      <w:r w:rsidR="0003272B" w:rsidRPr="00F71F48">
        <w:rPr>
          <w:rFonts w:ascii="Times New Roman" w:hAnsi="Times New Roman" w:cs="Times New Roman"/>
          <w:bCs/>
          <w:iCs/>
          <w:sz w:val="24"/>
          <w:szCs w:val="24"/>
        </w:rPr>
        <w:t xml:space="preserve">In </w:t>
      </w:r>
      <w:r w:rsidR="0003272B" w:rsidRPr="00F71F48">
        <w:rPr>
          <w:rFonts w:ascii="Times New Roman" w:hAnsi="Times New Roman" w:cs="Times New Roman"/>
          <w:bCs/>
          <w:i/>
          <w:sz w:val="24"/>
          <w:szCs w:val="24"/>
        </w:rPr>
        <w:t xml:space="preserve">A/butt </w:t>
      </w:r>
      <w:r w:rsidR="0003272B" w:rsidRPr="00377C14">
        <w:rPr>
          <w:rFonts w:ascii="Times New Roman" w:hAnsi="Times New Roman" w:cs="Times New Roman"/>
          <w:bCs/>
          <w:iCs/>
          <w:sz w:val="24"/>
          <w:szCs w:val="24"/>
        </w:rPr>
        <w:t>v</w:t>
      </w:r>
      <w:r w:rsidR="0003272B" w:rsidRPr="00F71F48">
        <w:rPr>
          <w:rFonts w:ascii="Times New Roman" w:hAnsi="Times New Roman" w:cs="Times New Roman"/>
          <w:bCs/>
          <w:i/>
          <w:sz w:val="24"/>
          <w:szCs w:val="24"/>
        </w:rPr>
        <w:t xml:space="preserve"> Centre for the Study of Violence and Reconciliation and Others</w:t>
      </w:r>
      <w:r w:rsidR="0003272B" w:rsidRPr="00F71F48">
        <w:rPr>
          <w:rFonts w:ascii="Times New Roman" w:hAnsi="Times New Roman" w:cs="Times New Roman"/>
          <w:bCs/>
          <w:iCs/>
          <w:sz w:val="24"/>
          <w:szCs w:val="24"/>
        </w:rPr>
        <w:t xml:space="preserve"> </w:t>
      </w:r>
      <w:r w:rsidR="0003272B" w:rsidRPr="00F71F48">
        <w:rPr>
          <w:rFonts w:ascii="Times New Roman" w:hAnsi="Times New Roman" w:cs="Times New Roman"/>
          <w:sz w:val="24"/>
          <w:szCs w:val="24"/>
        </w:rPr>
        <w:t>2010 (3) SA 293 (CC)</w:t>
      </w:r>
      <w:r w:rsidR="0003272B">
        <w:rPr>
          <w:rFonts w:ascii="Times New Roman" w:hAnsi="Times New Roman" w:cs="Times New Roman"/>
          <w:sz w:val="24"/>
          <w:szCs w:val="24"/>
        </w:rPr>
        <w:t xml:space="preserve"> at para. 51</w:t>
      </w:r>
      <w:r w:rsidR="00F92B7E">
        <w:rPr>
          <w:rFonts w:ascii="Times New Roman" w:hAnsi="Times New Roman" w:cs="Times New Roman"/>
          <w:sz w:val="24"/>
          <w:szCs w:val="24"/>
        </w:rPr>
        <w:t>,</w:t>
      </w:r>
      <w:r w:rsidR="0003272B">
        <w:rPr>
          <w:rFonts w:ascii="Times New Roman" w:hAnsi="Times New Roman" w:cs="Times New Roman"/>
          <w:sz w:val="24"/>
          <w:szCs w:val="24"/>
        </w:rPr>
        <w:t xml:space="preserve"> the court </w:t>
      </w:r>
      <w:r w:rsidR="0003272B" w:rsidRPr="0003272B">
        <w:rPr>
          <w:rFonts w:ascii="Times New Roman" w:hAnsi="Times New Roman" w:cs="Times New Roman"/>
          <w:sz w:val="24"/>
          <w:szCs w:val="24"/>
        </w:rPr>
        <w:t>held that where a</w:t>
      </w:r>
      <w:r w:rsidR="00246392">
        <w:rPr>
          <w:rFonts w:ascii="Times New Roman" w:hAnsi="Times New Roman" w:cs="Times New Roman"/>
          <w:sz w:val="24"/>
          <w:szCs w:val="24"/>
        </w:rPr>
        <w:t xml:space="preserve">n </w:t>
      </w:r>
      <w:r w:rsidR="004B5009">
        <w:rPr>
          <w:rFonts w:ascii="Times New Roman" w:hAnsi="Times New Roman" w:cs="Times New Roman"/>
          <w:sz w:val="24"/>
          <w:szCs w:val="24"/>
        </w:rPr>
        <w:t>administrative</w:t>
      </w:r>
      <w:r w:rsidR="0003272B" w:rsidRPr="0003272B">
        <w:rPr>
          <w:rFonts w:ascii="Times New Roman" w:hAnsi="Times New Roman" w:cs="Times New Roman"/>
          <w:sz w:val="24"/>
          <w:szCs w:val="24"/>
        </w:rPr>
        <w:t xml:space="preserve"> decision is challenged on the grounds of rationality, </w:t>
      </w:r>
      <w:r w:rsidR="0003272B">
        <w:rPr>
          <w:rFonts w:ascii="Times New Roman" w:hAnsi="Times New Roman" w:cs="Times New Roman"/>
          <w:sz w:val="24"/>
          <w:szCs w:val="24"/>
        </w:rPr>
        <w:t>c</w:t>
      </w:r>
      <w:r w:rsidR="0003272B" w:rsidRPr="0003272B">
        <w:rPr>
          <w:rFonts w:ascii="Times New Roman" w:hAnsi="Times New Roman" w:cs="Times New Roman"/>
          <w:sz w:val="24"/>
          <w:szCs w:val="24"/>
        </w:rPr>
        <w:t xml:space="preserve">ourts are obliged to examine the means selected to determine whether they are rationally related to the objective sought to be achieved. What must be stressed is that the purpose of the enquiry is to determine not whether there are other means that could have been used, but whether the means selected are rationally related to the objective sought to be achieved. </w:t>
      </w:r>
      <w:r w:rsidR="0003272B">
        <w:rPr>
          <w:rFonts w:ascii="Times New Roman" w:hAnsi="Times New Roman" w:cs="Times New Roman"/>
          <w:sz w:val="24"/>
          <w:szCs w:val="24"/>
        </w:rPr>
        <w:t>See</w:t>
      </w:r>
      <w:r w:rsidR="0003272B" w:rsidRPr="0003272B">
        <w:rPr>
          <w:rFonts w:ascii="Times New Roman" w:hAnsi="Times New Roman" w:cs="Times New Roman"/>
          <w:i/>
          <w:iCs/>
          <w:sz w:val="24"/>
          <w:szCs w:val="24"/>
        </w:rPr>
        <w:t xml:space="preserve"> Pharmaceutical Manufacturers Association </w:t>
      </w:r>
      <w:r w:rsidR="0003272B" w:rsidRPr="00377C14">
        <w:rPr>
          <w:rFonts w:ascii="Times New Roman" w:hAnsi="Times New Roman" w:cs="Times New Roman"/>
          <w:sz w:val="24"/>
          <w:szCs w:val="24"/>
        </w:rPr>
        <w:t>v</w:t>
      </w:r>
      <w:r w:rsidR="0003272B" w:rsidRPr="0003272B">
        <w:rPr>
          <w:rFonts w:ascii="Times New Roman" w:hAnsi="Times New Roman" w:cs="Times New Roman"/>
          <w:i/>
          <w:iCs/>
          <w:sz w:val="24"/>
          <w:szCs w:val="24"/>
        </w:rPr>
        <w:t xml:space="preserve"> of SA: In re Ex Parte President of the Republic of South Africa</w:t>
      </w:r>
      <w:r w:rsidR="0003272B" w:rsidRPr="0003272B">
        <w:rPr>
          <w:rFonts w:ascii="Times New Roman" w:hAnsi="Times New Roman" w:cs="Times New Roman"/>
          <w:sz w:val="24"/>
          <w:szCs w:val="24"/>
        </w:rPr>
        <w:t xml:space="preserve"> 2000 </w:t>
      </w:r>
      <w:r w:rsidR="0003272B">
        <w:rPr>
          <w:rFonts w:ascii="Times New Roman" w:hAnsi="Times New Roman" w:cs="Times New Roman"/>
          <w:sz w:val="24"/>
          <w:szCs w:val="24"/>
        </w:rPr>
        <w:t>(</w:t>
      </w:r>
      <w:r w:rsidR="0003272B" w:rsidRPr="0003272B">
        <w:rPr>
          <w:rFonts w:ascii="Times New Roman" w:hAnsi="Times New Roman" w:cs="Times New Roman"/>
          <w:sz w:val="24"/>
          <w:szCs w:val="24"/>
        </w:rPr>
        <w:t>2</w:t>
      </w:r>
      <w:r w:rsidR="0003272B">
        <w:rPr>
          <w:rFonts w:ascii="Times New Roman" w:hAnsi="Times New Roman" w:cs="Times New Roman"/>
          <w:sz w:val="24"/>
          <w:szCs w:val="24"/>
        </w:rPr>
        <w:t>)</w:t>
      </w:r>
      <w:r w:rsidR="0003272B" w:rsidRPr="0003272B">
        <w:rPr>
          <w:rFonts w:ascii="Times New Roman" w:hAnsi="Times New Roman" w:cs="Times New Roman"/>
          <w:sz w:val="24"/>
          <w:szCs w:val="24"/>
        </w:rPr>
        <w:t xml:space="preserve"> SA 674 </w:t>
      </w:r>
      <w:r w:rsidR="0003272B">
        <w:rPr>
          <w:rFonts w:ascii="Times New Roman" w:hAnsi="Times New Roman" w:cs="Times New Roman"/>
          <w:sz w:val="24"/>
          <w:szCs w:val="24"/>
        </w:rPr>
        <w:t>(</w:t>
      </w:r>
      <w:r w:rsidR="0003272B" w:rsidRPr="0003272B">
        <w:rPr>
          <w:rFonts w:ascii="Times New Roman" w:hAnsi="Times New Roman" w:cs="Times New Roman"/>
          <w:sz w:val="24"/>
          <w:szCs w:val="24"/>
        </w:rPr>
        <w:t>CC</w:t>
      </w:r>
      <w:r w:rsidR="0003272B">
        <w:rPr>
          <w:rFonts w:ascii="Times New Roman" w:hAnsi="Times New Roman" w:cs="Times New Roman"/>
          <w:sz w:val="24"/>
          <w:szCs w:val="24"/>
        </w:rPr>
        <w:t xml:space="preserve">). </w:t>
      </w:r>
      <w:r w:rsidR="0003272B" w:rsidRPr="0003272B">
        <w:rPr>
          <w:rFonts w:ascii="Times New Roman" w:hAnsi="Times New Roman" w:cs="Times New Roman"/>
          <w:sz w:val="24"/>
          <w:szCs w:val="24"/>
        </w:rPr>
        <w:t xml:space="preserve">The diagnosis to ascertain the rational connection between the </w:t>
      </w:r>
      <w:r w:rsidR="00E736DF">
        <w:rPr>
          <w:rFonts w:ascii="Times New Roman" w:hAnsi="Times New Roman" w:cs="Times New Roman"/>
          <w:sz w:val="24"/>
          <w:szCs w:val="24"/>
        </w:rPr>
        <w:t xml:space="preserve">decision </w:t>
      </w:r>
      <w:r w:rsidR="0003272B" w:rsidRPr="0003272B">
        <w:rPr>
          <w:rFonts w:ascii="Times New Roman" w:hAnsi="Times New Roman" w:cs="Times New Roman"/>
          <w:sz w:val="24"/>
          <w:szCs w:val="24"/>
        </w:rPr>
        <w:t>and the rationale is this</w:t>
      </w:r>
      <w:r w:rsidR="0003272B">
        <w:rPr>
          <w:rFonts w:ascii="Times New Roman" w:hAnsi="Times New Roman" w:cs="Times New Roman"/>
          <w:sz w:val="24"/>
          <w:szCs w:val="24"/>
        </w:rPr>
        <w:t xml:space="preserve">: </w:t>
      </w:r>
      <w:r w:rsidR="0003272B" w:rsidRPr="0003272B">
        <w:rPr>
          <w:rFonts w:ascii="Times New Roman" w:hAnsi="Times New Roman" w:cs="Times New Roman"/>
          <w:sz w:val="24"/>
          <w:szCs w:val="24"/>
        </w:rPr>
        <w:t>the purpose for which the action was taken; the purpose of the empowering provision; the information before the</w:t>
      </w:r>
      <w:r w:rsidR="00E736DF">
        <w:rPr>
          <w:rFonts w:ascii="Times New Roman" w:hAnsi="Times New Roman" w:cs="Times New Roman"/>
          <w:sz w:val="24"/>
          <w:szCs w:val="24"/>
        </w:rPr>
        <w:t xml:space="preserve"> decision maker</w:t>
      </w:r>
      <w:r w:rsidR="00F92B7E">
        <w:rPr>
          <w:rFonts w:ascii="Times New Roman" w:hAnsi="Times New Roman" w:cs="Times New Roman"/>
          <w:sz w:val="24"/>
          <w:szCs w:val="24"/>
        </w:rPr>
        <w:t>;</w:t>
      </w:r>
      <w:r w:rsidR="0003272B" w:rsidRPr="0003272B">
        <w:rPr>
          <w:rFonts w:ascii="Times New Roman" w:hAnsi="Times New Roman" w:cs="Times New Roman"/>
          <w:sz w:val="24"/>
          <w:szCs w:val="24"/>
        </w:rPr>
        <w:t xml:space="preserve"> and the reasons given for it by the administrator.</w:t>
      </w:r>
    </w:p>
    <w:p w14:paraId="07487591" w14:textId="1B722042" w:rsidR="004B5009" w:rsidRDefault="004B6787" w:rsidP="00AD1C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A1A0D">
        <w:rPr>
          <w:rFonts w:ascii="Times New Roman" w:hAnsi="Times New Roman" w:cs="Times New Roman"/>
          <w:sz w:val="24"/>
          <w:szCs w:val="24"/>
        </w:rPr>
        <w:t>2</w:t>
      </w:r>
      <w:r w:rsidR="00FE6253">
        <w:rPr>
          <w:rFonts w:ascii="Times New Roman" w:hAnsi="Times New Roman" w:cs="Times New Roman"/>
          <w:sz w:val="24"/>
          <w:szCs w:val="24"/>
        </w:rPr>
        <w:t>1</w:t>
      </w:r>
      <w:r>
        <w:rPr>
          <w:rFonts w:ascii="Times New Roman" w:hAnsi="Times New Roman" w:cs="Times New Roman"/>
          <w:sz w:val="24"/>
          <w:szCs w:val="24"/>
        </w:rPr>
        <w:t>] In the present case, t</w:t>
      </w:r>
      <w:r w:rsidRPr="004B6787">
        <w:rPr>
          <w:rFonts w:ascii="Times New Roman" w:hAnsi="Times New Roman" w:cs="Times New Roman"/>
          <w:sz w:val="24"/>
          <w:szCs w:val="24"/>
        </w:rPr>
        <w:t>he purpose</w:t>
      </w:r>
      <w:r>
        <w:rPr>
          <w:rFonts w:ascii="Times New Roman" w:hAnsi="Times New Roman" w:cs="Times New Roman"/>
          <w:sz w:val="24"/>
          <w:szCs w:val="24"/>
        </w:rPr>
        <w:t xml:space="preserve"> of the empowering provision</w:t>
      </w:r>
      <w:r w:rsidR="00F92B7E">
        <w:rPr>
          <w:rFonts w:ascii="Times New Roman" w:hAnsi="Times New Roman" w:cs="Times New Roman"/>
          <w:sz w:val="24"/>
          <w:szCs w:val="24"/>
        </w:rPr>
        <w:t>,</w:t>
      </w:r>
      <w:r>
        <w:rPr>
          <w:rFonts w:ascii="Times New Roman" w:hAnsi="Times New Roman" w:cs="Times New Roman"/>
          <w:sz w:val="24"/>
          <w:szCs w:val="24"/>
        </w:rPr>
        <w:t xml:space="preserve"> i.e., s 11</w:t>
      </w:r>
      <w:r w:rsidR="004E459D">
        <w:rPr>
          <w:rFonts w:ascii="Times New Roman" w:hAnsi="Times New Roman" w:cs="Times New Roman"/>
          <w:sz w:val="24"/>
          <w:szCs w:val="24"/>
        </w:rPr>
        <w:t xml:space="preserve"> of the Act</w:t>
      </w:r>
      <w:r w:rsidR="00F92B7E">
        <w:rPr>
          <w:rFonts w:ascii="Times New Roman" w:hAnsi="Times New Roman" w:cs="Times New Roman"/>
          <w:sz w:val="24"/>
          <w:szCs w:val="24"/>
        </w:rPr>
        <w:t>,</w:t>
      </w:r>
      <w:r w:rsidR="004E459D">
        <w:rPr>
          <w:rFonts w:ascii="Times New Roman" w:hAnsi="Times New Roman" w:cs="Times New Roman"/>
          <w:sz w:val="24"/>
          <w:szCs w:val="24"/>
        </w:rPr>
        <w:t xml:space="preserve"> is to provide for the p</w:t>
      </w:r>
      <w:r w:rsidR="004E459D" w:rsidRPr="004E459D">
        <w:rPr>
          <w:rFonts w:ascii="Times New Roman" w:hAnsi="Times New Roman" w:cs="Times New Roman"/>
          <w:sz w:val="24"/>
          <w:szCs w:val="24"/>
        </w:rPr>
        <w:t>rovisional registration</w:t>
      </w:r>
      <w:r w:rsidR="00771CE0">
        <w:rPr>
          <w:rFonts w:ascii="Times New Roman" w:hAnsi="Times New Roman" w:cs="Times New Roman"/>
          <w:sz w:val="24"/>
          <w:szCs w:val="24"/>
        </w:rPr>
        <w:t>, pending final registration, of</w:t>
      </w:r>
      <w:r w:rsidR="004E459D" w:rsidRPr="004E459D">
        <w:rPr>
          <w:rFonts w:ascii="Times New Roman" w:hAnsi="Times New Roman" w:cs="Times New Roman"/>
          <w:sz w:val="24"/>
          <w:szCs w:val="24"/>
        </w:rPr>
        <w:t xml:space="preserve"> institutions of higher education</w:t>
      </w:r>
      <w:r w:rsidR="00771CE0">
        <w:rPr>
          <w:rFonts w:ascii="Times New Roman" w:hAnsi="Times New Roman" w:cs="Times New Roman"/>
          <w:sz w:val="24"/>
          <w:szCs w:val="24"/>
        </w:rPr>
        <w:t xml:space="preserve"> that meet certain requirements.  T</w:t>
      </w:r>
      <w:r w:rsidR="00771CE0" w:rsidRPr="0003272B">
        <w:rPr>
          <w:rFonts w:ascii="Times New Roman" w:hAnsi="Times New Roman" w:cs="Times New Roman"/>
          <w:sz w:val="24"/>
          <w:szCs w:val="24"/>
        </w:rPr>
        <w:t xml:space="preserve">he information before </w:t>
      </w:r>
      <w:r w:rsidR="00F92B7E">
        <w:rPr>
          <w:rFonts w:ascii="Times New Roman" w:hAnsi="Times New Roman" w:cs="Times New Roman"/>
          <w:sz w:val="24"/>
          <w:szCs w:val="24"/>
        </w:rPr>
        <w:t xml:space="preserve">the </w:t>
      </w:r>
      <w:r w:rsidR="00771CE0">
        <w:rPr>
          <w:rFonts w:ascii="Times New Roman" w:hAnsi="Times New Roman" w:cs="Times New Roman"/>
          <w:sz w:val="24"/>
          <w:szCs w:val="24"/>
        </w:rPr>
        <w:t xml:space="preserve">Council was that </w:t>
      </w:r>
      <w:r w:rsidR="000F029D">
        <w:rPr>
          <w:rFonts w:ascii="Times New Roman" w:hAnsi="Times New Roman" w:cs="Times New Roman"/>
          <w:sz w:val="24"/>
          <w:szCs w:val="24"/>
        </w:rPr>
        <w:t xml:space="preserve">the </w:t>
      </w:r>
      <w:r w:rsidR="00E736DF">
        <w:rPr>
          <w:rFonts w:ascii="Times New Roman" w:hAnsi="Times New Roman" w:cs="Times New Roman"/>
          <w:sz w:val="24"/>
          <w:szCs w:val="24"/>
        </w:rPr>
        <w:t xml:space="preserve">applicant was previously granted provisional registration. That </w:t>
      </w:r>
      <w:r w:rsidR="000F029D">
        <w:rPr>
          <w:rFonts w:ascii="Times New Roman" w:hAnsi="Times New Roman" w:cs="Times New Roman"/>
          <w:sz w:val="24"/>
          <w:szCs w:val="24"/>
        </w:rPr>
        <w:t xml:space="preserve">eight UNICAF programmes fail to meet the minimum requirements for accreditation, in that they are not designed for the Zimbabwean context, and they do not comply with the national thrust of </w:t>
      </w:r>
      <w:r w:rsidR="00F92B7E">
        <w:rPr>
          <w:rFonts w:ascii="Times New Roman" w:hAnsi="Times New Roman" w:cs="Times New Roman"/>
          <w:sz w:val="24"/>
          <w:szCs w:val="24"/>
        </w:rPr>
        <w:t>Heritage-Based</w:t>
      </w:r>
      <w:r w:rsidR="000F029D">
        <w:rPr>
          <w:rFonts w:ascii="Times New Roman" w:hAnsi="Times New Roman" w:cs="Times New Roman"/>
          <w:sz w:val="24"/>
          <w:szCs w:val="24"/>
        </w:rPr>
        <w:t xml:space="preserve"> Education Philosophy Education 5.0. The programmes were not developed by locals but </w:t>
      </w:r>
      <w:r w:rsidR="00F92B7E">
        <w:rPr>
          <w:rFonts w:ascii="Times New Roman" w:hAnsi="Times New Roman" w:cs="Times New Roman"/>
          <w:sz w:val="24"/>
          <w:szCs w:val="24"/>
        </w:rPr>
        <w:t xml:space="preserve">were </w:t>
      </w:r>
      <w:r w:rsidR="000F029D">
        <w:rPr>
          <w:rFonts w:ascii="Times New Roman" w:hAnsi="Times New Roman" w:cs="Times New Roman"/>
          <w:sz w:val="24"/>
          <w:szCs w:val="24"/>
        </w:rPr>
        <w:t xml:space="preserve">a replica of what was being offered by UNICAF University in different countries. The </w:t>
      </w:r>
      <w:r w:rsidR="000F029D">
        <w:rPr>
          <w:rFonts w:ascii="Times New Roman" w:hAnsi="Times New Roman" w:cs="Times New Roman"/>
          <w:sz w:val="24"/>
          <w:szCs w:val="24"/>
        </w:rPr>
        <w:lastRenderedPageBreak/>
        <w:t>programmes were not offered 100% online</w:t>
      </w:r>
      <w:r w:rsidR="00F92B7E">
        <w:rPr>
          <w:rFonts w:ascii="Times New Roman" w:hAnsi="Times New Roman" w:cs="Times New Roman"/>
          <w:sz w:val="24"/>
          <w:szCs w:val="24"/>
        </w:rPr>
        <w:t>,</w:t>
      </w:r>
      <w:r w:rsidR="000F029D">
        <w:rPr>
          <w:rFonts w:ascii="Times New Roman" w:hAnsi="Times New Roman" w:cs="Times New Roman"/>
          <w:sz w:val="24"/>
          <w:szCs w:val="24"/>
        </w:rPr>
        <w:t xml:space="preserve"> and there was no written examination</w:t>
      </w:r>
      <w:r w:rsidR="00D2512D">
        <w:rPr>
          <w:rFonts w:ascii="Times New Roman" w:hAnsi="Times New Roman" w:cs="Times New Roman"/>
          <w:sz w:val="24"/>
          <w:szCs w:val="24"/>
        </w:rPr>
        <w:t>,</w:t>
      </w:r>
      <w:r w:rsidR="000F029D">
        <w:rPr>
          <w:rFonts w:ascii="Times New Roman" w:hAnsi="Times New Roman" w:cs="Times New Roman"/>
          <w:sz w:val="24"/>
          <w:szCs w:val="24"/>
        </w:rPr>
        <w:t xml:space="preserve"> but </w:t>
      </w:r>
      <w:r w:rsidR="00F92B7E">
        <w:rPr>
          <w:rFonts w:ascii="Times New Roman" w:hAnsi="Times New Roman" w:cs="Times New Roman"/>
          <w:sz w:val="24"/>
          <w:szCs w:val="24"/>
        </w:rPr>
        <w:t xml:space="preserve">a </w:t>
      </w:r>
      <w:r w:rsidR="000F029D">
        <w:rPr>
          <w:rFonts w:ascii="Times New Roman" w:hAnsi="Times New Roman" w:cs="Times New Roman"/>
          <w:sz w:val="24"/>
          <w:szCs w:val="24"/>
        </w:rPr>
        <w:t>continuous assessment.</w:t>
      </w:r>
      <w:r w:rsidR="00771CE0" w:rsidRPr="0003272B">
        <w:rPr>
          <w:rFonts w:ascii="Times New Roman" w:hAnsi="Times New Roman" w:cs="Times New Roman"/>
          <w:sz w:val="24"/>
          <w:szCs w:val="24"/>
        </w:rPr>
        <w:t xml:space="preserve"> </w:t>
      </w:r>
      <w:r w:rsidR="00AD1C1E" w:rsidRPr="00AD1C1E">
        <w:rPr>
          <w:rFonts w:ascii="Times New Roman" w:hAnsi="Times New Roman" w:cs="Times New Roman"/>
          <w:sz w:val="24"/>
          <w:szCs w:val="24"/>
        </w:rPr>
        <w:t>Council reasoned that UNICAF Zimbabwe has not demonstrated any significant steps towards complying with the conditions set out in s 19 of the</w:t>
      </w:r>
      <w:r w:rsidR="00AD1C1E">
        <w:rPr>
          <w:rFonts w:ascii="Times New Roman" w:hAnsi="Times New Roman" w:cs="Times New Roman"/>
          <w:sz w:val="24"/>
          <w:szCs w:val="24"/>
        </w:rPr>
        <w:t xml:space="preserve"> </w:t>
      </w:r>
      <w:r w:rsidR="00AD1C1E" w:rsidRPr="00AD1C1E">
        <w:rPr>
          <w:rFonts w:ascii="Times New Roman" w:hAnsi="Times New Roman" w:cs="Times New Roman"/>
          <w:sz w:val="24"/>
          <w:szCs w:val="24"/>
        </w:rPr>
        <w:t>Act.</w:t>
      </w:r>
      <w:r w:rsidR="00AD1C1E">
        <w:rPr>
          <w:rFonts w:ascii="Times New Roman" w:hAnsi="Times New Roman" w:cs="Times New Roman"/>
          <w:sz w:val="24"/>
          <w:szCs w:val="24"/>
        </w:rPr>
        <w:t xml:space="preserve"> Council could not grant a provisional registration when the applicant had not</w:t>
      </w:r>
      <w:r w:rsidR="006A1A0D">
        <w:rPr>
          <w:rFonts w:ascii="Times New Roman" w:hAnsi="Times New Roman" w:cs="Times New Roman"/>
          <w:sz w:val="24"/>
          <w:szCs w:val="24"/>
        </w:rPr>
        <w:t xml:space="preserve"> made</w:t>
      </w:r>
      <w:r w:rsidR="00AD1C1E">
        <w:rPr>
          <w:rFonts w:ascii="Times New Roman" w:hAnsi="Times New Roman" w:cs="Times New Roman"/>
          <w:sz w:val="24"/>
          <w:szCs w:val="24"/>
        </w:rPr>
        <w:t xml:space="preserve"> significant steps towards final </w:t>
      </w:r>
      <w:r w:rsidR="006A1A0D">
        <w:rPr>
          <w:rFonts w:ascii="Times New Roman" w:hAnsi="Times New Roman" w:cs="Times New Roman"/>
          <w:sz w:val="24"/>
          <w:szCs w:val="24"/>
        </w:rPr>
        <w:t>accreditation</w:t>
      </w:r>
      <w:r w:rsidR="00AD1C1E">
        <w:rPr>
          <w:rFonts w:ascii="Times New Roman" w:hAnsi="Times New Roman" w:cs="Times New Roman"/>
          <w:sz w:val="24"/>
          <w:szCs w:val="24"/>
        </w:rPr>
        <w:t>.</w:t>
      </w:r>
      <w:r w:rsidR="0055391B">
        <w:rPr>
          <w:rFonts w:ascii="Times New Roman" w:hAnsi="Times New Roman" w:cs="Times New Roman"/>
          <w:sz w:val="24"/>
          <w:szCs w:val="24"/>
        </w:rPr>
        <w:t xml:space="preserve"> Furthermore, the Council noted that </w:t>
      </w:r>
      <w:r w:rsidR="004B5009">
        <w:rPr>
          <w:rFonts w:ascii="Times New Roman" w:hAnsi="Times New Roman" w:cs="Times New Roman"/>
          <w:sz w:val="24"/>
          <w:szCs w:val="24"/>
        </w:rPr>
        <w:t>the</w:t>
      </w:r>
      <w:r w:rsidR="0055391B">
        <w:rPr>
          <w:rFonts w:ascii="Times New Roman" w:hAnsi="Times New Roman" w:cs="Times New Roman"/>
          <w:sz w:val="24"/>
          <w:szCs w:val="24"/>
        </w:rPr>
        <w:t xml:space="preserve"> programmes intended to be offered by the applicant had certain weaknesses in content and assessment mode and that</w:t>
      </w:r>
      <w:r w:rsidR="00AD1C1E">
        <w:rPr>
          <w:rFonts w:ascii="Times New Roman" w:hAnsi="Times New Roman" w:cs="Times New Roman"/>
          <w:sz w:val="24"/>
          <w:szCs w:val="24"/>
        </w:rPr>
        <w:t xml:space="preserve"> </w:t>
      </w:r>
      <w:r w:rsidR="0055391B">
        <w:rPr>
          <w:rFonts w:ascii="Times New Roman" w:hAnsi="Times New Roman" w:cs="Times New Roman"/>
          <w:sz w:val="24"/>
          <w:szCs w:val="24"/>
        </w:rPr>
        <w:t xml:space="preserve">the applicant has indicated an unwillingness in positively respond to the noted weaknesses. In addition, the applicant did not demonstrate any compliance to the stated conditions under which it was granted </w:t>
      </w:r>
      <w:r w:rsidR="00D6701C">
        <w:rPr>
          <w:rFonts w:ascii="Times New Roman" w:hAnsi="Times New Roman" w:cs="Times New Roman"/>
          <w:sz w:val="24"/>
          <w:szCs w:val="24"/>
        </w:rPr>
        <w:t xml:space="preserve">the initial </w:t>
      </w:r>
      <w:r w:rsidR="0055391B">
        <w:rPr>
          <w:rFonts w:ascii="Times New Roman" w:hAnsi="Times New Roman" w:cs="Times New Roman"/>
          <w:sz w:val="24"/>
          <w:szCs w:val="24"/>
        </w:rPr>
        <w:t xml:space="preserve">provisional registration.  </w:t>
      </w:r>
      <w:r w:rsidR="00E736DF">
        <w:rPr>
          <w:rFonts w:ascii="Times New Roman" w:hAnsi="Times New Roman" w:cs="Times New Roman"/>
          <w:sz w:val="24"/>
          <w:szCs w:val="24"/>
        </w:rPr>
        <w:t>The</w:t>
      </w:r>
      <w:r w:rsidR="006A1A0D">
        <w:rPr>
          <w:rFonts w:ascii="Times New Roman" w:hAnsi="Times New Roman" w:cs="Times New Roman"/>
          <w:sz w:val="24"/>
          <w:szCs w:val="24"/>
        </w:rPr>
        <w:t>refore, the</w:t>
      </w:r>
      <w:r w:rsidR="00E736DF">
        <w:rPr>
          <w:rFonts w:ascii="Times New Roman" w:hAnsi="Times New Roman" w:cs="Times New Roman"/>
          <w:sz w:val="24"/>
          <w:szCs w:val="24"/>
        </w:rPr>
        <w:t xml:space="preserve"> purpose for which the decision was taken, and the reasons for it,</w:t>
      </w:r>
      <w:r w:rsidR="00AD1C1E" w:rsidRPr="00AD1C1E">
        <w:rPr>
          <w:rFonts w:ascii="Times New Roman" w:hAnsi="Times New Roman" w:cs="Times New Roman"/>
          <w:sz w:val="24"/>
          <w:szCs w:val="24"/>
        </w:rPr>
        <w:t xml:space="preserve"> pass the rationality test.</w:t>
      </w:r>
    </w:p>
    <w:p w14:paraId="1B774AD3" w14:textId="41A3C296" w:rsidR="00DA57BF" w:rsidRPr="00F73445" w:rsidRDefault="00947975" w:rsidP="00AD1C1E">
      <w:pPr>
        <w:spacing w:after="0" w:line="360" w:lineRule="auto"/>
        <w:jc w:val="both"/>
        <w:rPr>
          <w:rFonts w:ascii="Times New Roman" w:hAnsi="Times New Roman" w:cs="Times New Roman"/>
          <w:sz w:val="24"/>
          <w:szCs w:val="24"/>
          <w:u w:val="single"/>
          <w:lang w:val="en-US"/>
        </w:rPr>
      </w:pPr>
      <w:r w:rsidRPr="00947975">
        <w:rPr>
          <w:rFonts w:ascii="Times New Roman" w:hAnsi="Times New Roman" w:cs="Times New Roman"/>
          <w:sz w:val="24"/>
          <w:szCs w:val="24"/>
        </w:rPr>
        <w:t>[2</w:t>
      </w:r>
      <w:r w:rsidR="00FE6253">
        <w:rPr>
          <w:rFonts w:ascii="Times New Roman" w:hAnsi="Times New Roman" w:cs="Times New Roman"/>
          <w:sz w:val="24"/>
          <w:szCs w:val="24"/>
        </w:rPr>
        <w:t>2</w:t>
      </w:r>
      <w:r w:rsidRPr="00947975">
        <w:rPr>
          <w:rFonts w:ascii="Times New Roman" w:hAnsi="Times New Roman" w:cs="Times New Roman"/>
          <w:sz w:val="24"/>
          <w:szCs w:val="24"/>
        </w:rPr>
        <w:t>]</w:t>
      </w:r>
      <w:r>
        <w:rPr>
          <w:rFonts w:ascii="Times New Roman" w:hAnsi="Times New Roman" w:cs="Times New Roman"/>
          <w:sz w:val="24"/>
          <w:szCs w:val="24"/>
          <w:lang w:val="en-US"/>
        </w:rPr>
        <w:t xml:space="preserve"> </w:t>
      </w:r>
      <w:r w:rsidR="00DA57BF" w:rsidRPr="00C87E82">
        <w:rPr>
          <w:rFonts w:ascii="Times New Roman" w:hAnsi="Times New Roman" w:cs="Times New Roman"/>
          <w:sz w:val="24"/>
          <w:szCs w:val="24"/>
          <w:lang w:val="en-US"/>
        </w:rPr>
        <w:t xml:space="preserve">The decision is also attacked on the grounds of unreasonableness. </w:t>
      </w:r>
      <w:r w:rsidR="00DA57BF" w:rsidRPr="00C87E82">
        <w:rPr>
          <w:rFonts w:ascii="Times New Roman" w:hAnsi="Times New Roman" w:cs="Times New Roman"/>
          <w:sz w:val="24"/>
          <w:szCs w:val="24"/>
        </w:rPr>
        <w:t xml:space="preserve"> Factors relevant to determining whether a decision is reasonable or not will include the nature of the decision, the identity and expertise of the decision-maker, the range of factors relevant to the decision, the reasons given for the decision, the nature of the competing interests involved</w:t>
      </w:r>
      <w:r w:rsidR="00C87E82" w:rsidRPr="00C87E82">
        <w:rPr>
          <w:rFonts w:ascii="Times New Roman" w:hAnsi="Times New Roman" w:cs="Times New Roman"/>
          <w:sz w:val="24"/>
          <w:szCs w:val="24"/>
        </w:rPr>
        <w:t>,</w:t>
      </w:r>
      <w:r w:rsidR="00DA57BF" w:rsidRPr="00C87E82">
        <w:rPr>
          <w:rFonts w:ascii="Times New Roman" w:hAnsi="Times New Roman" w:cs="Times New Roman"/>
          <w:sz w:val="24"/>
          <w:szCs w:val="24"/>
        </w:rPr>
        <w:t xml:space="preserve"> and the impact of the decision on the lives and well-being of those affected. </w:t>
      </w:r>
      <w:r w:rsidR="00DA57BF">
        <w:rPr>
          <w:rFonts w:ascii="Times New Roman" w:hAnsi="Times New Roman" w:cs="Times New Roman"/>
          <w:sz w:val="24"/>
          <w:szCs w:val="24"/>
          <w:u w:val="single"/>
        </w:rPr>
        <w:t xml:space="preserve">See </w:t>
      </w:r>
      <w:r w:rsidR="00DA57BF" w:rsidRPr="00971FE2">
        <w:rPr>
          <w:rFonts w:ascii="Times New Roman" w:hAnsi="Times New Roman" w:cs="Times New Roman"/>
          <w:i/>
          <w:iCs/>
          <w:sz w:val="24"/>
          <w:szCs w:val="24"/>
        </w:rPr>
        <w:t xml:space="preserve">Bato Star Fishing (Pty) Ltd </w:t>
      </w:r>
      <w:r w:rsidR="00DA57BF" w:rsidRPr="00377C14">
        <w:rPr>
          <w:rFonts w:ascii="Times New Roman" w:hAnsi="Times New Roman" w:cs="Times New Roman"/>
          <w:sz w:val="24"/>
          <w:szCs w:val="24"/>
        </w:rPr>
        <w:t>v</w:t>
      </w:r>
      <w:r w:rsidR="00DA57BF" w:rsidRPr="00971FE2">
        <w:rPr>
          <w:rFonts w:ascii="Times New Roman" w:hAnsi="Times New Roman" w:cs="Times New Roman"/>
          <w:i/>
          <w:iCs/>
          <w:sz w:val="24"/>
          <w:szCs w:val="24"/>
        </w:rPr>
        <w:t xml:space="preserve"> Minister of Environmental Affairs</w:t>
      </w:r>
      <w:r w:rsidR="00DA57BF" w:rsidRPr="00971FE2">
        <w:rPr>
          <w:rFonts w:ascii="Times New Roman" w:hAnsi="Times New Roman" w:cs="Times New Roman"/>
          <w:sz w:val="24"/>
          <w:szCs w:val="24"/>
        </w:rPr>
        <w:t xml:space="preserve"> 2004 4 SA 490 (CC</w:t>
      </w:r>
      <w:r w:rsidR="00DA57BF">
        <w:rPr>
          <w:rFonts w:ascii="Times New Roman" w:hAnsi="Times New Roman" w:cs="Times New Roman"/>
          <w:sz w:val="24"/>
          <w:szCs w:val="24"/>
        </w:rPr>
        <w:t xml:space="preserve">). In the present case, the Council is made up of eminent academics with experience and expertise in the field of education. The decision accords with the evidence that was before the </w:t>
      </w:r>
      <w:r w:rsidR="00C05001">
        <w:rPr>
          <w:rFonts w:ascii="Times New Roman" w:hAnsi="Times New Roman" w:cs="Times New Roman"/>
          <w:sz w:val="24"/>
          <w:szCs w:val="24"/>
        </w:rPr>
        <w:t>Council and</w:t>
      </w:r>
      <w:r w:rsidR="00DA57BF">
        <w:rPr>
          <w:rFonts w:ascii="Times New Roman" w:hAnsi="Times New Roman" w:cs="Times New Roman"/>
          <w:sz w:val="24"/>
          <w:szCs w:val="24"/>
        </w:rPr>
        <w:t xml:space="preserve"> seeks to ensure quality education that answers to Government policy and the needs of the people of Zimbabwe. </w:t>
      </w:r>
      <w:r w:rsidR="00C05001">
        <w:rPr>
          <w:rFonts w:ascii="Times New Roman" w:hAnsi="Times New Roman" w:cs="Times New Roman"/>
          <w:sz w:val="24"/>
          <w:szCs w:val="24"/>
        </w:rPr>
        <w:t xml:space="preserve">The decision passes the reasonableness test. </w:t>
      </w:r>
    </w:p>
    <w:p w14:paraId="439CC242" w14:textId="0A469AF5" w:rsidR="00947975" w:rsidRPr="00B05592" w:rsidRDefault="00DA57BF" w:rsidP="00AD1C1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00947975">
        <w:rPr>
          <w:rFonts w:ascii="Times New Roman" w:hAnsi="Times New Roman" w:cs="Times New Roman"/>
          <w:sz w:val="24"/>
          <w:szCs w:val="24"/>
          <w:lang w:val="en-US"/>
        </w:rPr>
        <w:t xml:space="preserve">The allegations of bias leveled against </w:t>
      </w:r>
      <w:r w:rsidR="00F92B7E">
        <w:rPr>
          <w:rFonts w:ascii="Times New Roman" w:hAnsi="Times New Roman" w:cs="Times New Roman"/>
          <w:sz w:val="24"/>
          <w:szCs w:val="24"/>
          <w:lang w:val="en-US"/>
        </w:rPr>
        <w:t xml:space="preserve">the </w:t>
      </w:r>
      <w:r w:rsidR="00947975">
        <w:rPr>
          <w:rFonts w:ascii="Times New Roman" w:hAnsi="Times New Roman" w:cs="Times New Roman"/>
          <w:sz w:val="24"/>
          <w:szCs w:val="24"/>
          <w:lang w:val="en-US"/>
        </w:rPr>
        <w:t xml:space="preserve">Council have no basis. No allegation has been made that a member or members of Council had a personal interest in this matter. The fact that </w:t>
      </w:r>
      <w:r w:rsidR="00F92B7E">
        <w:rPr>
          <w:rFonts w:ascii="Times New Roman" w:hAnsi="Times New Roman" w:cs="Times New Roman"/>
          <w:sz w:val="24"/>
          <w:szCs w:val="24"/>
          <w:lang w:val="en-US"/>
        </w:rPr>
        <w:t xml:space="preserve">the </w:t>
      </w:r>
      <w:r w:rsidR="00947975">
        <w:rPr>
          <w:rFonts w:ascii="Times New Roman" w:hAnsi="Times New Roman" w:cs="Times New Roman"/>
          <w:sz w:val="24"/>
          <w:szCs w:val="24"/>
          <w:lang w:val="en-US"/>
        </w:rPr>
        <w:t>Council made an adverse decision or decisions against the applicant, standing alone, is not proof of bias. An allegation of bias against such a Council composed of eminent academics would require</w:t>
      </w:r>
      <w:r w:rsidR="0055391B">
        <w:rPr>
          <w:rFonts w:ascii="Times New Roman" w:hAnsi="Times New Roman" w:cs="Times New Roman"/>
          <w:sz w:val="24"/>
          <w:szCs w:val="24"/>
          <w:lang w:val="en-US"/>
        </w:rPr>
        <w:t xml:space="preserve"> </w:t>
      </w:r>
      <w:r w:rsidR="00C61E1A">
        <w:rPr>
          <w:rFonts w:ascii="Times New Roman" w:hAnsi="Times New Roman" w:cs="Times New Roman"/>
          <w:sz w:val="24"/>
          <w:szCs w:val="24"/>
          <w:lang w:val="en-US"/>
        </w:rPr>
        <w:t xml:space="preserve">clear and </w:t>
      </w:r>
      <w:r w:rsidR="0055391B">
        <w:rPr>
          <w:rFonts w:ascii="Times New Roman" w:hAnsi="Times New Roman" w:cs="Times New Roman"/>
          <w:sz w:val="24"/>
          <w:szCs w:val="24"/>
          <w:lang w:val="en-US"/>
        </w:rPr>
        <w:t>satisfactory</w:t>
      </w:r>
      <w:r w:rsidR="00947975">
        <w:rPr>
          <w:rFonts w:ascii="Times New Roman" w:hAnsi="Times New Roman" w:cs="Times New Roman"/>
          <w:sz w:val="24"/>
          <w:szCs w:val="24"/>
          <w:lang w:val="en-US"/>
        </w:rPr>
        <w:t xml:space="preserve"> evidence to be sustained</w:t>
      </w:r>
      <w:r w:rsidR="00ED17C4">
        <w:rPr>
          <w:rFonts w:ascii="Times New Roman" w:hAnsi="Times New Roman" w:cs="Times New Roman"/>
          <w:sz w:val="24"/>
          <w:szCs w:val="24"/>
          <w:lang w:val="en-US"/>
        </w:rPr>
        <w:t xml:space="preserve">. </w:t>
      </w:r>
      <w:r w:rsidR="00B05592" w:rsidRPr="00F73445">
        <w:rPr>
          <w:rFonts w:ascii="Times New Roman" w:hAnsi="Times New Roman" w:cs="Times New Roman"/>
          <w:sz w:val="24"/>
          <w:szCs w:val="24"/>
          <w:lang w:val="en-US"/>
        </w:rPr>
        <w:t xml:space="preserve">There is no evidence that the decision </w:t>
      </w:r>
      <w:r w:rsidR="00C05001">
        <w:rPr>
          <w:rFonts w:ascii="Times New Roman" w:hAnsi="Times New Roman" w:cs="Times New Roman"/>
          <w:sz w:val="24"/>
          <w:szCs w:val="24"/>
          <w:lang w:val="en-US"/>
        </w:rPr>
        <w:t xml:space="preserve">was </w:t>
      </w:r>
      <w:r w:rsidR="00B05592" w:rsidRPr="00B05592">
        <w:rPr>
          <w:rFonts w:ascii="Times New Roman" w:hAnsi="Times New Roman" w:cs="Times New Roman"/>
          <w:sz w:val="24"/>
          <w:szCs w:val="24"/>
        </w:rPr>
        <w:t>arrived</w:t>
      </w:r>
      <w:r w:rsidR="00B05592" w:rsidRPr="00F73445">
        <w:rPr>
          <w:rFonts w:ascii="Times New Roman" w:hAnsi="Times New Roman" w:cs="Times New Roman"/>
          <w:sz w:val="24"/>
          <w:szCs w:val="24"/>
        </w:rPr>
        <w:t xml:space="preserve"> </w:t>
      </w:r>
      <w:r w:rsidR="00C05001">
        <w:rPr>
          <w:rFonts w:ascii="Times New Roman" w:hAnsi="Times New Roman" w:cs="Times New Roman"/>
          <w:sz w:val="24"/>
          <w:szCs w:val="24"/>
        </w:rPr>
        <w:t xml:space="preserve">at </w:t>
      </w:r>
      <w:r w:rsidR="00B05592" w:rsidRPr="00F73445">
        <w:rPr>
          <w:rFonts w:ascii="Times New Roman" w:hAnsi="Times New Roman" w:cs="Times New Roman"/>
          <w:sz w:val="24"/>
          <w:szCs w:val="24"/>
        </w:rPr>
        <w:t xml:space="preserve">arbitrarily or capriciously or </w:t>
      </w:r>
      <w:r w:rsidR="00B05592" w:rsidRPr="00F73445">
        <w:rPr>
          <w:rFonts w:ascii="Times New Roman" w:hAnsi="Times New Roman" w:cs="Times New Roman"/>
          <w:i/>
          <w:iCs/>
          <w:sz w:val="24"/>
          <w:szCs w:val="24"/>
        </w:rPr>
        <w:t xml:space="preserve">mala fide. </w:t>
      </w:r>
    </w:p>
    <w:p w14:paraId="3DC23665" w14:textId="426CD4ED" w:rsidR="007676AF" w:rsidRDefault="0055391B" w:rsidP="007676A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54707">
        <w:rPr>
          <w:rFonts w:ascii="Times New Roman" w:hAnsi="Times New Roman" w:cs="Times New Roman"/>
          <w:sz w:val="24"/>
          <w:szCs w:val="24"/>
          <w:lang w:val="en-US"/>
        </w:rPr>
        <w:t>4</w:t>
      </w:r>
      <w:r>
        <w:rPr>
          <w:rFonts w:ascii="Times New Roman" w:hAnsi="Times New Roman" w:cs="Times New Roman"/>
          <w:sz w:val="24"/>
          <w:szCs w:val="24"/>
          <w:lang w:val="en-US"/>
        </w:rPr>
        <w:t xml:space="preserve">] The applicant further contends that there was an unreasonable delay in making the decision sought to be impeached. </w:t>
      </w:r>
      <w:r w:rsidR="0049465A">
        <w:rPr>
          <w:rFonts w:ascii="Times New Roman" w:hAnsi="Times New Roman" w:cs="Times New Roman"/>
          <w:sz w:val="24"/>
          <w:szCs w:val="24"/>
          <w:lang w:val="en-US"/>
        </w:rPr>
        <w:t xml:space="preserve">The respondent has given an acceptable explanation for the delay in communicating its decision to the applicant. </w:t>
      </w:r>
      <w:r>
        <w:rPr>
          <w:rFonts w:ascii="Times New Roman" w:hAnsi="Times New Roman" w:cs="Times New Roman"/>
          <w:sz w:val="24"/>
          <w:szCs w:val="24"/>
          <w:lang w:val="en-US"/>
        </w:rPr>
        <w:t xml:space="preserve">Even if </w:t>
      </w:r>
      <w:r w:rsidR="0049465A">
        <w:rPr>
          <w:rFonts w:ascii="Times New Roman" w:hAnsi="Times New Roman" w:cs="Times New Roman"/>
          <w:sz w:val="24"/>
          <w:szCs w:val="24"/>
          <w:lang w:val="en-US"/>
        </w:rPr>
        <w:t>there was an inordinate delay</w:t>
      </w:r>
      <w:r>
        <w:rPr>
          <w:rFonts w:ascii="Times New Roman" w:hAnsi="Times New Roman" w:cs="Times New Roman"/>
          <w:sz w:val="24"/>
          <w:szCs w:val="24"/>
          <w:lang w:val="en-US"/>
        </w:rPr>
        <w:t xml:space="preserve">, </w:t>
      </w:r>
      <w:r w:rsidR="0049465A">
        <w:rPr>
          <w:rFonts w:ascii="Times New Roman" w:hAnsi="Times New Roman" w:cs="Times New Roman"/>
          <w:sz w:val="24"/>
          <w:szCs w:val="24"/>
          <w:lang w:val="en-US"/>
        </w:rPr>
        <w:t>the applicant has not suffered irreparable prejudice because the decision was made</w:t>
      </w:r>
      <w:r w:rsidR="00C87E82">
        <w:rPr>
          <w:rFonts w:ascii="Times New Roman" w:hAnsi="Times New Roman" w:cs="Times New Roman"/>
          <w:sz w:val="24"/>
          <w:szCs w:val="24"/>
          <w:lang w:val="en-US"/>
        </w:rPr>
        <w:t>,</w:t>
      </w:r>
      <w:r w:rsidR="0049465A">
        <w:rPr>
          <w:rFonts w:ascii="Times New Roman" w:hAnsi="Times New Roman" w:cs="Times New Roman"/>
          <w:sz w:val="24"/>
          <w:szCs w:val="24"/>
          <w:lang w:val="en-US"/>
        </w:rPr>
        <w:t xml:space="preserve"> and this application is an answer to that decision. In any event, the delay, standing alone, cannot be a basis to vitiate the decision of the </w:t>
      </w:r>
      <w:r w:rsidR="00096542">
        <w:rPr>
          <w:rFonts w:ascii="Times New Roman" w:hAnsi="Times New Roman" w:cs="Times New Roman"/>
          <w:sz w:val="24"/>
          <w:szCs w:val="24"/>
          <w:lang w:val="en-US"/>
        </w:rPr>
        <w:t>respondent</w:t>
      </w:r>
      <w:r w:rsidR="0049465A">
        <w:rPr>
          <w:rFonts w:ascii="Times New Roman" w:hAnsi="Times New Roman" w:cs="Times New Roman"/>
          <w:sz w:val="24"/>
          <w:szCs w:val="24"/>
          <w:lang w:val="en-US"/>
        </w:rPr>
        <w:t>.</w:t>
      </w:r>
      <w:r w:rsidR="00096542">
        <w:rPr>
          <w:rFonts w:ascii="Times New Roman" w:hAnsi="Times New Roman" w:cs="Times New Roman"/>
          <w:sz w:val="24"/>
          <w:szCs w:val="24"/>
          <w:lang w:val="en-US"/>
        </w:rPr>
        <w:t xml:space="preserve"> In addition, the applicant has not shown that the decision sought to be </w:t>
      </w:r>
      <w:r w:rsidR="004B5009">
        <w:rPr>
          <w:rFonts w:ascii="Times New Roman" w:hAnsi="Times New Roman" w:cs="Times New Roman"/>
          <w:sz w:val="24"/>
          <w:szCs w:val="24"/>
          <w:lang w:val="en-US"/>
        </w:rPr>
        <w:t>impeached</w:t>
      </w:r>
      <w:r w:rsidR="00096542">
        <w:rPr>
          <w:rFonts w:ascii="Times New Roman" w:hAnsi="Times New Roman" w:cs="Times New Roman"/>
          <w:sz w:val="24"/>
          <w:szCs w:val="24"/>
          <w:lang w:val="en-US"/>
        </w:rPr>
        <w:t xml:space="preserve"> is in the reading of the Administrative Justice Act, </w:t>
      </w:r>
      <w:r w:rsidR="00096542">
        <w:rPr>
          <w:rFonts w:ascii="Times New Roman" w:hAnsi="Times New Roman" w:cs="Times New Roman"/>
          <w:sz w:val="24"/>
          <w:szCs w:val="24"/>
          <w:lang w:val="en-US"/>
        </w:rPr>
        <w:lastRenderedPageBreak/>
        <w:t xml:space="preserve">unlawful, unfair, or unreasonable. It is for the above reasons that this application cannot succeed.  </w:t>
      </w:r>
      <w:r w:rsidR="000047AA">
        <w:rPr>
          <w:rFonts w:ascii="Times New Roman" w:hAnsi="Times New Roman" w:cs="Times New Roman"/>
          <w:sz w:val="24"/>
          <w:szCs w:val="24"/>
          <w:lang w:val="en-US"/>
        </w:rPr>
        <w:t xml:space="preserve"> </w:t>
      </w:r>
    </w:p>
    <w:p w14:paraId="2C991D3A" w14:textId="6431592B" w:rsidR="00ED17C4" w:rsidRDefault="000047AA" w:rsidP="00767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454707">
        <w:rPr>
          <w:rFonts w:ascii="Times New Roman" w:hAnsi="Times New Roman" w:cs="Times New Roman"/>
          <w:sz w:val="24"/>
          <w:szCs w:val="24"/>
        </w:rPr>
        <w:t>5</w:t>
      </w:r>
      <w:r>
        <w:rPr>
          <w:rFonts w:ascii="Times New Roman" w:hAnsi="Times New Roman" w:cs="Times New Roman"/>
          <w:sz w:val="24"/>
          <w:szCs w:val="24"/>
        </w:rPr>
        <w:t xml:space="preserve">] </w:t>
      </w:r>
      <w:r w:rsidR="007676AF" w:rsidRPr="00F935E5">
        <w:rPr>
          <w:rFonts w:ascii="Times New Roman" w:hAnsi="Times New Roman" w:cs="Times New Roman"/>
          <w:sz w:val="24"/>
          <w:szCs w:val="24"/>
        </w:rPr>
        <w:t xml:space="preserve">There remains to be considered the question of costs. No good grounds exist for a </w:t>
      </w:r>
      <w:r w:rsidR="007676AF">
        <w:rPr>
          <w:rFonts w:ascii="Times New Roman" w:hAnsi="Times New Roman" w:cs="Times New Roman"/>
          <w:sz w:val="24"/>
          <w:szCs w:val="24"/>
        </w:rPr>
        <w:t>departure</w:t>
      </w:r>
      <w:r w:rsidR="007676AF" w:rsidRPr="00F935E5">
        <w:rPr>
          <w:rFonts w:ascii="Times New Roman" w:hAnsi="Times New Roman" w:cs="Times New Roman"/>
          <w:sz w:val="24"/>
          <w:szCs w:val="24"/>
        </w:rPr>
        <w:t xml:space="preserve"> from the general rule that costs follow the cause. The </w:t>
      </w:r>
      <w:r w:rsidR="007676AF">
        <w:rPr>
          <w:rFonts w:ascii="Times New Roman" w:hAnsi="Times New Roman" w:cs="Times New Roman"/>
          <w:sz w:val="24"/>
          <w:szCs w:val="24"/>
        </w:rPr>
        <w:t xml:space="preserve">respondent </w:t>
      </w:r>
      <w:r w:rsidR="007676AF" w:rsidRPr="00F935E5">
        <w:rPr>
          <w:rFonts w:ascii="Times New Roman" w:hAnsi="Times New Roman" w:cs="Times New Roman"/>
          <w:sz w:val="24"/>
          <w:szCs w:val="24"/>
        </w:rPr>
        <w:t xml:space="preserve">is clearly entitled to </w:t>
      </w:r>
      <w:r w:rsidR="007676AF">
        <w:rPr>
          <w:rFonts w:ascii="Times New Roman" w:hAnsi="Times New Roman" w:cs="Times New Roman"/>
          <w:sz w:val="24"/>
          <w:szCs w:val="24"/>
        </w:rPr>
        <w:t xml:space="preserve">its </w:t>
      </w:r>
      <w:r w:rsidR="007676AF" w:rsidRPr="00F935E5">
        <w:rPr>
          <w:rFonts w:ascii="Times New Roman" w:hAnsi="Times New Roman" w:cs="Times New Roman"/>
          <w:sz w:val="24"/>
          <w:szCs w:val="24"/>
        </w:rPr>
        <w:t xml:space="preserve">costs. The </w:t>
      </w:r>
      <w:r w:rsidR="007676AF">
        <w:rPr>
          <w:rFonts w:ascii="Times New Roman" w:hAnsi="Times New Roman" w:cs="Times New Roman"/>
          <w:sz w:val="24"/>
          <w:szCs w:val="24"/>
        </w:rPr>
        <w:t>respondent</w:t>
      </w:r>
      <w:r w:rsidR="007676AF" w:rsidRPr="00F935E5">
        <w:rPr>
          <w:rFonts w:ascii="Times New Roman" w:hAnsi="Times New Roman" w:cs="Times New Roman"/>
          <w:sz w:val="24"/>
          <w:szCs w:val="24"/>
        </w:rPr>
        <w:t xml:space="preserve"> seeks costs on the punitive </w:t>
      </w:r>
      <w:r w:rsidR="006F3675">
        <w:rPr>
          <w:rFonts w:ascii="Times New Roman" w:hAnsi="Times New Roman" w:cs="Times New Roman"/>
          <w:sz w:val="24"/>
          <w:szCs w:val="24"/>
        </w:rPr>
        <w:t xml:space="preserve">legal practitioner and </w:t>
      </w:r>
      <w:r w:rsidR="007676AF" w:rsidRPr="00F935E5">
        <w:rPr>
          <w:rFonts w:ascii="Times New Roman" w:hAnsi="Times New Roman" w:cs="Times New Roman"/>
          <w:sz w:val="24"/>
          <w:szCs w:val="24"/>
        </w:rPr>
        <w:t xml:space="preserve">client scale. </w:t>
      </w:r>
      <w:r w:rsidR="00151059">
        <w:rPr>
          <w:rFonts w:ascii="Times New Roman" w:hAnsi="Times New Roman" w:cs="Times New Roman"/>
          <w:sz w:val="24"/>
          <w:szCs w:val="24"/>
        </w:rPr>
        <w:t>The position of the law is that the scale of costs on a legal practitioner and client scale is an extraordinary one which should be reserved for cases where it can be found that a litigant conducted itself in a clear</w:t>
      </w:r>
      <w:r w:rsidR="00C87E82">
        <w:rPr>
          <w:rFonts w:ascii="Times New Roman" w:hAnsi="Times New Roman" w:cs="Times New Roman"/>
          <w:sz w:val="24"/>
          <w:szCs w:val="24"/>
        </w:rPr>
        <w:t>,</w:t>
      </w:r>
      <w:r w:rsidR="00151059">
        <w:rPr>
          <w:rFonts w:ascii="Times New Roman" w:hAnsi="Times New Roman" w:cs="Times New Roman"/>
          <w:sz w:val="24"/>
          <w:szCs w:val="24"/>
        </w:rPr>
        <w:t xml:space="preserve"> indubitably vexatious and reprehensible manner. Such an award is very exceptional and is intended to be very punitive and indicative of extreme opprobrium. It should be in relation to conduct that is clearly and extremely scandalous or objectionable that these exceptional costs are awarded. </w:t>
      </w:r>
      <w:r w:rsidR="00C61E1A">
        <w:rPr>
          <w:rFonts w:ascii="Times New Roman" w:hAnsi="Times New Roman" w:cs="Times New Roman"/>
          <w:sz w:val="24"/>
          <w:szCs w:val="24"/>
        </w:rPr>
        <w:t>In this case</w:t>
      </w:r>
      <w:r w:rsidR="009D5133">
        <w:rPr>
          <w:rFonts w:ascii="Times New Roman" w:hAnsi="Times New Roman" w:cs="Times New Roman"/>
          <w:sz w:val="24"/>
          <w:szCs w:val="24"/>
        </w:rPr>
        <w:t>,</w:t>
      </w:r>
      <w:r w:rsidR="00C61E1A">
        <w:rPr>
          <w:rFonts w:ascii="Times New Roman" w:hAnsi="Times New Roman" w:cs="Times New Roman"/>
          <w:sz w:val="24"/>
          <w:szCs w:val="24"/>
        </w:rPr>
        <w:t xml:space="preserve"> n</w:t>
      </w:r>
      <w:r w:rsidR="007676AF" w:rsidRPr="00F935E5">
        <w:rPr>
          <w:rFonts w:ascii="Times New Roman" w:hAnsi="Times New Roman" w:cs="Times New Roman"/>
          <w:sz w:val="24"/>
          <w:szCs w:val="24"/>
        </w:rPr>
        <w:t xml:space="preserve">o case has been made for such costs. See </w:t>
      </w:r>
      <w:proofErr w:type="spellStart"/>
      <w:r w:rsidR="007676AF" w:rsidRPr="00F935E5">
        <w:rPr>
          <w:rFonts w:ascii="Times New Roman" w:hAnsi="Times New Roman" w:cs="Times New Roman"/>
          <w:i/>
          <w:iCs/>
          <w:sz w:val="24"/>
          <w:szCs w:val="24"/>
        </w:rPr>
        <w:t>Kangai</w:t>
      </w:r>
      <w:proofErr w:type="spellEnd"/>
      <w:r w:rsidR="007676AF" w:rsidRPr="00377C14">
        <w:rPr>
          <w:rFonts w:ascii="Times New Roman" w:hAnsi="Times New Roman" w:cs="Times New Roman"/>
          <w:sz w:val="24"/>
          <w:szCs w:val="24"/>
        </w:rPr>
        <w:t xml:space="preserve"> v</w:t>
      </w:r>
      <w:r w:rsidR="007676AF" w:rsidRPr="00F935E5">
        <w:rPr>
          <w:rFonts w:ascii="Times New Roman" w:hAnsi="Times New Roman" w:cs="Times New Roman"/>
          <w:i/>
          <w:iCs/>
          <w:sz w:val="24"/>
          <w:szCs w:val="24"/>
        </w:rPr>
        <w:t xml:space="preserve"> </w:t>
      </w:r>
      <w:proofErr w:type="spellStart"/>
      <w:r w:rsidR="007676AF" w:rsidRPr="00F935E5">
        <w:rPr>
          <w:rFonts w:ascii="Times New Roman" w:hAnsi="Times New Roman" w:cs="Times New Roman"/>
          <w:i/>
          <w:iCs/>
          <w:sz w:val="24"/>
          <w:szCs w:val="24"/>
        </w:rPr>
        <w:t>Netone</w:t>
      </w:r>
      <w:proofErr w:type="spellEnd"/>
      <w:r w:rsidR="007676AF" w:rsidRPr="00F935E5">
        <w:rPr>
          <w:rFonts w:ascii="Times New Roman" w:hAnsi="Times New Roman" w:cs="Times New Roman"/>
          <w:i/>
          <w:iCs/>
          <w:sz w:val="24"/>
          <w:szCs w:val="24"/>
        </w:rPr>
        <w:t xml:space="preserve"> Cellular (Pvt) Ltd</w:t>
      </w:r>
      <w:r w:rsidR="007676AF" w:rsidRPr="00F935E5">
        <w:rPr>
          <w:rFonts w:ascii="Times New Roman" w:hAnsi="Times New Roman" w:cs="Times New Roman"/>
          <w:sz w:val="24"/>
          <w:szCs w:val="24"/>
        </w:rPr>
        <w:t xml:space="preserve"> 2020 (1) 660 (H); </w:t>
      </w:r>
      <w:r w:rsidR="007676AF" w:rsidRPr="00F935E5">
        <w:rPr>
          <w:rFonts w:ascii="Times New Roman" w:hAnsi="Times New Roman" w:cs="Times New Roman"/>
          <w:i/>
          <w:iCs/>
          <w:sz w:val="24"/>
          <w:szCs w:val="24"/>
        </w:rPr>
        <w:t>Railings Enterprises (Pvt) Ltd</w:t>
      </w:r>
      <w:r w:rsidR="002F28FC">
        <w:rPr>
          <w:rFonts w:ascii="Times New Roman" w:hAnsi="Times New Roman" w:cs="Times New Roman"/>
          <w:i/>
          <w:iCs/>
          <w:sz w:val="24"/>
          <w:szCs w:val="24"/>
        </w:rPr>
        <w:t xml:space="preserve"> </w:t>
      </w:r>
      <w:r w:rsidR="002F28FC" w:rsidRPr="00DD6223">
        <w:rPr>
          <w:rFonts w:ascii="Times New Roman" w:hAnsi="Times New Roman" w:cs="Times New Roman"/>
          <w:sz w:val="24"/>
          <w:szCs w:val="24"/>
        </w:rPr>
        <w:t>v</w:t>
      </w:r>
      <w:r w:rsidR="007676AF" w:rsidRPr="00DD6223">
        <w:rPr>
          <w:rFonts w:ascii="Times New Roman" w:hAnsi="Times New Roman" w:cs="Times New Roman"/>
          <w:sz w:val="24"/>
          <w:szCs w:val="24"/>
        </w:rPr>
        <w:t xml:space="preserve"> </w:t>
      </w:r>
      <w:proofErr w:type="spellStart"/>
      <w:r w:rsidR="007676AF" w:rsidRPr="00F935E5">
        <w:rPr>
          <w:rFonts w:ascii="Times New Roman" w:hAnsi="Times New Roman" w:cs="Times New Roman"/>
          <w:i/>
          <w:iCs/>
          <w:sz w:val="24"/>
          <w:szCs w:val="24"/>
        </w:rPr>
        <w:t>Luwo</w:t>
      </w:r>
      <w:proofErr w:type="spellEnd"/>
      <w:r w:rsidR="007676AF" w:rsidRPr="00F935E5">
        <w:rPr>
          <w:rFonts w:ascii="Times New Roman" w:hAnsi="Times New Roman" w:cs="Times New Roman"/>
          <w:i/>
          <w:iCs/>
          <w:sz w:val="24"/>
          <w:szCs w:val="24"/>
        </w:rPr>
        <w:t xml:space="preserve"> &amp; </w:t>
      </w:r>
      <w:proofErr w:type="spellStart"/>
      <w:r w:rsidR="007676AF" w:rsidRPr="00F935E5">
        <w:rPr>
          <w:rFonts w:ascii="Times New Roman" w:hAnsi="Times New Roman" w:cs="Times New Roman"/>
          <w:i/>
          <w:iCs/>
          <w:sz w:val="24"/>
          <w:szCs w:val="24"/>
        </w:rPr>
        <w:t>Ors</w:t>
      </w:r>
      <w:proofErr w:type="spellEnd"/>
      <w:r w:rsidR="007676AF" w:rsidRPr="00F935E5">
        <w:rPr>
          <w:rFonts w:ascii="Times New Roman" w:hAnsi="Times New Roman" w:cs="Times New Roman"/>
          <w:sz w:val="24"/>
          <w:szCs w:val="24"/>
        </w:rPr>
        <w:t xml:space="preserve"> 2020 (2) ZLR 51 (H).</w:t>
      </w:r>
    </w:p>
    <w:p w14:paraId="2404F273" w14:textId="77777777" w:rsidR="000047AA" w:rsidRDefault="000047AA" w:rsidP="007676AF">
      <w:pPr>
        <w:spacing w:after="0" w:line="360" w:lineRule="auto"/>
        <w:jc w:val="both"/>
        <w:rPr>
          <w:rFonts w:ascii="Times New Roman" w:hAnsi="Times New Roman" w:cs="Times New Roman"/>
          <w:sz w:val="24"/>
          <w:szCs w:val="24"/>
        </w:rPr>
      </w:pPr>
    </w:p>
    <w:p w14:paraId="5821BFC4" w14:textId="58390135" w:rsidR="000047AA" w:rsidRPr="00947975" w:rsidRDefault="000047AA" w:rsidP="00767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be and is hereby dismissed with costs. </w:t>
      </w:r>
    </w:p>
    <w:p w14:paraId="14BAA44E" w14:textId="77777777" w:rsidR="00AD1C1E" w:rsidRPr="00947975" w:rsidRDefault="00AD1C1E" w:rsidP="00771CE0">
      <w:pPr>
        <w:spacing w:after="0" w:line="360" w:lineRule="auto"/>
        <w:jc w:val="both"/>
        <w:rPr>
          <w:rFonts w:ascii="Times New Roman" w:hAnsi="Times New Roman" w:cs="Times New Roman"/>
          <w:sz w:val="24"/>
          <w:szCs w:val="24"/>
        </w:rPr>
      </w:pPr>
    </w:p>
    <w:p w14:paraId="368359B5" w14:textId="30095C24" w:rsidR="004E459D" w:rsidRPr="00947975" w:rsidRDefault="004E459D" w:rsidP="0044458B">
      <w:pPr>
        <w:spacing w:after="0" w:line="360" w:lineRule="auto"/>
        <w:jc w:val="both"/>
        <w:rPr>
          <w:rFonts w:ascii="Times New Roman" w:hAnsi="Times New Roman" w:cs="Times New Roman"/>
          <w:sz w:val="24"/>
          <w:szCs w:val="24"/>
        </w:rPr>
      </w:pPr>
    </w:p>
    <w:p w14:paraId="3FE3054F" w14:textId="77777777" w:rsidR="004E459D" w:rsidRPr="00947975" w:rsidRDefault="004E459D" w:rsidP="0044458B">
      <w:pPr>
        <w:spacing w:after="0" w:line="360" w:lineRule="auto"/>
        <w:jc w:val="both"/>
        <w:rPr>
          <w:rFonts w:ascii="Times New Roman" w:hAnsi="Times New Roman" w:cs="Times New Roman"/>
          <w:sz w:val="24"/>
          <w:szCs w:val="24"/>
        </w:rPr>
      </w:pPr>
    </w:p>
    <w:p w14:paraId="27902D64" w14:textId="77777777" w:rsidR="004E459D" w:rsidRPr="00947975" w:rsidRDefault="004E459D" w:rsidP="0044458B">
      <w:pPr>
        <w:spacing w:after="0" w:line="360" w:lineRule="auto"/>
        <w:jc w:val="both"/>
        <w:rPr>
          <w:rFonts w:ascii="Times New Roman" w:hAnsi="Times New Roman" w:cs="Times New Roman"/>
          <w:sz w:val="24"/>
          <w:szCs w:val="24"/>
        </w:rPr>
      </w:pPr>
    </w:p>
    <w:p w14:paraId="2A686DF5" w14:textId="1A209C31" w:rsidR="004B6787" w:rsidRDefault="00947975" w:rsidP="00947975">
      <w:pPr>
        <w:spacing w:after="0" w:line="276" w:lineRule="auto"/>
        <w:jc w:val="both"/>
        <w:rPr>
          <w:rFonts w:ascii="Times New Roman" w:hAnsi="Times New Roman" w:cs="Times New Roman"/>
          <w:sz w:val="24"/>
          <w:szCs w:val="24"/>
        </w:rPr>
      </w:pPr>
      <w:r w:rsidRPr="00947975">
        <w:rPr>
          <w:rFonts w:ascii="Times New Roman" w:hAnsi="Times New Roman" w:cs="Times New Roman"/>
          <w:i/>
          <w:iCs/>
          <w:sz w:val="24"/>
          <w:szCs w:val="24"/>
        </w:rPr>
        <w:t xml:space="preserve">Dube, </w:t>
      </w:r>
      <w:proofErr w:type="spellStart"/>
      <w:r w:rsidRPr="00947975">
        <w:rPr>
          <w:rFonts w:ascii="Times New Roman" w:hAnsi="Times New Roman" w:cs="Times New Roman"/>
          <w:i/>
          <w:iCs/>
          <w:sz w:val="24"/>
          <w:szCs w:val="24"/>
        </w:rPr>
        <w:t>Manikai</w:t>
      </w:r>
      <w:proofErr w:type="spellEnd"/>
      <w:r w:rsidRPr="00947975">
        <w:rPr>
          <w:rFonts w:ascii="Times New Roman" w:hAnsi="Times New Roman" w:cs="Times New Roman"/>
          <w:i/>
          <w:iCs/>
          <w:sz w:val="24"/>
          <w:szCs w:val="24"/>
        </w:rPr>
        <w:t xml:space="preserve"> &amp; </w:t>
      </w:r>
      <w:proofErr w:type="spellStart"/>
      <w:r w:rsidRPr="00947975">
        <w:rPr>
          <w:rFonts w:ascii="Times New Roman" w:hAnsi="Times New Roman" w:cs="Times New Roman"/>
          <w:i/>
          <w:iCs/>
          <w:sz w:val="24"/>
          <w:szCs w:val="24"/>
        </w:rPr>
        <w:t>Hwacha</w:t>
      </w:r>
      <w:proofErr w:type="spellEnd"/>
      <w:r w:rsidRPr="00947975">
        <w:rPr>
          <w:rFonts w:ascii="Times New Roman" w:hAnsi="Times New Roman" w:cs="Times New Roman"/>
          <w:i/>
          <w:iCs/>
          <w:sz w:val="24"/>
          <w:szCs w:val="24"/>
        </w:rPr>
        <w:t>,</w:t>
      </w:r>
      <w:r w:rsidRPr="00947975">
        <w:rPr>
          <w:rFonts w:ascii="Times New Roman" w:hAnsi="Times New Roman" w:cs="Times New Roman"/>
          <w:sz w:val="24"/>
          <w:szCs w:val="24"/>
        </w:rPr>
        <w:t xml:space="preserve"> applicant’s legal prac</w:t>
      </w:r>
      <w:r>
        <w:rPr>
          <w:rFonts w:ascii="Times New Roman" w:hAnsi="Times New Roman" w:cs="Times New Roman"/>
          <w:sz w:val="24"/>
          <w:szCs w:val="24"/>
        </w:rPr>
        <w:t xml:space="preserve">titioners </w:t>
      </w:r>
    </w:p>
    <w:p w14:paraId="610F57BC" w14:textId="40DB30CE" w:rsidR="00947975" w:rsidRPr="00947975" w:rsidRDefault="00947975" w:rsidP="00947975">
      <w:pPr>
        <w:spacing w:after="0" w:line="276" w:lineRule="auto"/>
        <w:jc w:val="both"/>
        <w:rPr>
          <w:rFonts w:ascii="Times New Roman" w:hAnsi="Times New Roman" w:cs="Times New Roman"/>
          <w:sz w:val="24"/>
          <w:szCs w:val="24"/>
        </w:rPr>
      </w:pPr>
      <w:proofErr w:type="spellStart"/>
      <w:r w:rsidRPr="00947975">
        <w:rPr>
          <w:rFonts w:ascii="Times New Roman" w:hAnsi="Times New Roman" w:cs="Times New Roman"/>
          <w:i/>
          <w:iCs/>
          <w:sz w:val="24"/>
          <w:szCs w:val="24"/>
        </w:rPr>
        <w:t>Chihambakwe</w:t>
      </w:r>
      <w:proofErr w:type="spellEnd"/>
      <w:r w:rsidRPr="00947975">
        <w:rPr>
          <w:rFonts w:ascii="Times New Roman" w:hAnsi="Times New Roman" w:cs="Times New Roman"/>
          <w:i/>
          <w:iCs/>
          <w:sz w:val="24"/>
          <w:szCs w:val="24"/>
        </w:rPr>
        <w:t xml:space="preserve">, </w:t>
      </w:r>
      <w:proofErr w:type="spellStart"/>
      <w:r w:rsidRPr="00947975">
        <w:rPr>
          <w:rFonts w:ascii="Times New Roman" w:hAnsi="Times New Roman" w:cs="Times New Roman"/>
          <w:i/>
          <w:iCs/>
          <w:sz w:val="24"/>
          <w:szCs w:val="24"/>
        </w:rPr>
        <w:t>Mutizwa</w:t>
      </w:r>
      <w:proofErr w:type="spellEnd"/>
      <w:r w:rsidRPr="00947975">
        <w:rPr>
          <w:rFonts w:ascii="Times New Roman" w:hAnsi="Times New Roman" w:cs="Times New Roman"/>
          <w:i/>
          <w:iCs/>
          <w:sz w:val="24"/>
          <w:szCs w:val="24"/>
        </w:rPr>
        <w:t xml:space="preserve"> &amp; Partners</w:t>
      </w:r>
      <w:r>
        <w:rPr>
          <w:rFonts w:ascii="Times New Roman" w:hAnsi="Times New Roman" w:cs="Times New Roman"/>
          <w:sz w:val="24"/>
          <w:szCs w:val="24"/>
        </w:rPr>
        <w:t xml:space="preserve">, respondent’s legal practitioners </w:t>
      </w:r>
    </w:p>
    <w:p w14:paraId="50BF7963" w14:textId="77777777" w:rsidR="0044458B" w:rsidRPr="00947975" w:rsidRDefault="0044458B" w:rsidP="00947975">
      <w:pPr>
        <w:spacing w:after="0" w:line="276" w:lineRule="auto"/>
        <w:jc w:val="both"/>
        <w:rPr>
          <w:rFonts w:ascii="Times New Roman" w:hAnsi="Times New Roman" w:cs="Times New Roman"/>
          <w:sz w:val="24"/>
          <w:szCs w:val="24"/>
        </w:rPr>
      </w:pPr>
    </w:p>
    <w:sectPr w:rsidR="0044458B" w:rsidRPr="009479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7A996" w14:textId="77777777" w:rsidR="00737D2A" w:rsidRDefault="00737D2A" w:rsidP="006F06A8">
      <w:pPr>
        <w:spacing w:after="0" w:line="240" w:lineRule="auto"/>
      </w:pPr>
      <w:r>
        <w:separator/>
      </w:r>
    </w:p>
  </w:endnote>
  <w:endnote w:type="continuationSeparator" w:id="0">
    <w:p w14:paraId="6D9D451A" w14:textId="77777777" w:rsidR="00737D2A" w:rsidRDefault="00737D2A" w:rsidP="006F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6D763" w14:textId="77777777" w:rsidR="00737D2A" w:rsidRDefault="00737D2A" w:rsidP="006F06A8">
      <w:pPr>
        <w:spacing w:after="0" w:line="240" w:lineRule="auto"/>
      </w:pPr>
      <w:r>
        <w:separator/>
      </w:r>
    </w:p>
  </w:footnote>
  <w:footnote w:type="continuationSeparator" w:id="0">
    <w:p w14:paraId="43485F12" w14:textId="77777777" w:rsidR="00737D2A" w:rsidRDefault="00737D2A" w:rsidP="006F0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980937"/>
      <w:docPartObj>
        <w:docPartGallery w:val="Page Numbers (Top of Page)"/>
        <w:docPartUnique/>
      </w:docPartObj>
    </w:sdtPr>
    <w:sdtEndPr>
      <w:rPr>
        <w:noProof/>
      </w:rPr>
    </w:sdtEndPr>
    <w:sdtContent>
      <w:p w14:paraId="216A12B8" w14:textId="77777777" w:rsidR="007B1306" w:rsidRDefault="007B1306">
        <w:pPr>
          <w:pStyle w:val="Header"/>
          <w:jc w:val="right"/>
          <w:rPr>
            <w:noProof/>
          </w:rPr>
        </w:pPr>
        <w:r>
          <w:fldChar w:fldCharType="begin"/>
        </w:r>
        <w:r>
          <w:instrText xml:space="preserve"> PAGE   \* MERGEFORMAT </w:instrText>
        </w:r>
        <w:r>
          <w:fldChar w:fldCharType="separate"/>
        </w:r>
        <w:r w:rsidR="00E3054F">
          <w:rPr>
            <w:noProof/>
          </w:rPr>
          <w:t>1</w:t>
        </w:r>
        <w:r>
          <w:rPr>
            <w:noProof/>
          </w:rPr>
          <w:fldChar w:fldCharType="end"/>
        </w:r>
      </w:p>
      <w:p w14:paraId="212CA068" w14:textId="77777777" w:rsidR="007B1306" w:rsidRDefault="007B1306">
        <w:pPr>
          <w:pStyle w:val="Header"/>
          <w:jc w:val="right"/>
          <w:rPr>
            <w:noProof/>
          </w:rPr>
        </w:pPr>
        <w:r>
          <w:rPr>
            <w:noProof/>
          </w:rPr>
          <w:t>HH 723-25</w:t>
        </w:r>
      </w:p>
      <w:p w14:paraId="450426C0" w14:textId="6FFC157F" w:rsidR="007B1306" w:rsidRDefault="007B1306">
        <w:pPr>
          <w:pStyle w:val="Header"/>
          <w:jc w:val="right"/>
        </w:pPr>
        <w:r>
          <w:rPr>
            <w:noProof/>
          </w:rPr>
          <w:t>HC 265-23</w:t>
        </w:r>
      </w:p>
    </w:sdtContent>
  </w:sdt>
  <w:p w14:paraId="52EDA46B" w14:textId="77777777" w:rsidR="006F06A8" w:rsidRDefault="006F0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E6FDA"/>
    <w:multiLevelType w:val="hybridMultilevel"/>
    <w:tmpl w:val="371A3082"/>
    <w:lvl w:ilvl="0" w:tplc="B7723706">
      <w:start w:val="1"/>
      <w:numFmt w:val="lowerLetter"/>
      <w:lvlText w:val="%1)"/>
      <w:lvlJc w:val="left"/>
      <w:pPr>
        <w:ind w:left="1296" w:hanging="360"/>
      </w:pPr>
      <w:rPr>
        <w:rFonts w:hint="default"/>
      </w:rPr>
    </w:lvl>
    <w:lvl w:ilvl="1" w:tplc="30090019" w:tentative="1">
      <w:start w:val="1"/>
      <w:numFmt w:val="lowerLetter"/>
      <w:lvlText w:val="%2."/>
      <w:lvlJc w:val="left"/>
      <w:pPr>
        <w:ind w:left="2016" w:hanging="360"/>
      </w:pPr>
    </w:lvl>
    <w:lvl w:ilvl="2" w:tplc="3009001B" w:tentative="1">
      <w:start w:val="1"/>
      <w:numFmt w:val="lowerRoman"/>
      <w:lvlText w:val="%3."/>
      <w:lvlJc w:val="right"/>
      <w:pPr>
        <w:ind w:left="2736" w:hanging="180"/>
      </w:pPr>
    </w:lvl>
    <w:lvl w:ilvl="3" w:tplc="3009000F" w:tentative="1">
      <w:start w:val="1"/>
      <w:numFmt w:val="decimal"/>
      <w:lvlText w:val="%4."/>
      <w:lvlJc w:val="left"/>
      <w:pPr>
        <w:ind w:left="3456" w:hanging="360"/>
      </w:pPr>
    </w:lvl>
    <w:lvl w:ilvl="4" w:tplc="30090019" w:tentative="1">
      <w:start w:val="1"/>
      <w:numFmt w:val="lowerLetter"/>
      <w:lvlText w:val="%5."/>
      <w:lvlJc w:val="left"/>
      <w:pPr>
        <w:ind w:left="4176" w:hanging="360"/>
      </w:pPr>
    </w:lvl>
    <w:lvl w:ilvl="5" w:tplc="3009001B" w:tentative="1">
      <w:start w:val="1"/>
      <w:numFmt w:val="lowerRoman"/>
      <w:lvlText w:val="%6."/>
      <w:lvlJc w:val="right"/>
      <w:pPr>
        <w:ind w:left="4896" w:hanging="180"/>
      </w:pPr>
    </w:lvl>
    <w:lvl w:ilvl="6" w:tplc="3009000F" w:tentative="1">
      <w:start w:val="1"/>
      <w:numFmt w:val="decimal"/>
      <w:lvlText w:val="%7."/>
      <w:lvlJc w:val="left"/>
      <w:pPr>
        <w:ind w:left="5616" w:hanging="360"/>
      </w:pPr>
    </w:lvl>
    <w:lvl w:ilvl="7" w:tplc="30090019" w:tentative="1">
      <w:start w:val="1"/>
      <w:numFmt w:val="lowerLetter"/>
      <w:lvlText w:val="%8."/>
      <w:lvlJc w:val="left"/>
      <w:pPr>
        <w:ind w:left="6336" w:hanging="360"/>
      </w:pPr>
    </w:lvl>
    <w:lvl w:ilvl="8" w:tplc="3009001B" w:tentative="1">
      <w:start w:val="1"/>
      <w:numFmt w:val="lowerRoman"/>
      <w:lvlText w:val="%9."/>
      <w:lvlJc w:val="right"/>
      <w:pPr>
        <w:ind w:left="7056" w:hanging="180"/>
      </w:pPr>
    </w:lvl>
  </w:abstractNum>
  <w:abstractNum w:abstractNumId="1">
    <w:nsid w:val="36021920"/>
    <w:multiLevelType w:val="hybridMultilevel"/>
    <w:tmpl w:val="2804774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7CE0A51"/>
    <w:multiLevelType w:val="hybridMultilevel"/>
    <w:tmpl w:val="E55A2F42"/>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3">
    <w:nsid w:val="3DCB44D6"/>
    <w:multiLevelType w:val="hybridMultilevel"/>
    <w:tmpl w:val="290C005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nsid w:val="5E3033CA"/>
    <w:multiLevelType w:val="hybridMultilevel"/>
    <w:tmpl w:val="280477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60F56F78"/>
    <w:multiLevelType w:val="hybridMultilevel"/>
    <w:tmpl w:val="58ECE2C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10A51D4"/>
    <w:multiLevelType w:val="hybridMultilevel"/>
    <w:tmpl w:val="F128193E"/>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D3"/>
    <w:rsid w:val="000047AA"/>
    <w:rsid w:val="0001498B"/>
    <w:rsid w:val="0003272B"/>
    <w:rsid w:val="00033CB3"/>
    <w:rsid w:val="00051662"/>
    <w:rsid w:val="000608B9"/>
    <w:rsid w:val="00062E4A"/>
    <w:rsid w:val="000850B2"/>
    <w:rsid w:val="00094752"/>
    <w:rsid w:val="00096542"/>
    <w:rsid w:val="000A23C7"/>
    <w:rsid w:val="000C2D34"/>
    <w:rsid w:val="000C40A8"/>
    <w:rsid w:val="000D04E9"/>
    <w:rsid w:val="000E03FD"/>
    <w:rsid w:val="000F029D"/>
    <w:rsid w:val="0010117E"/>
    <w:rsid w:val="001014D2"/>
    <w:rsid w:val="0010340B"/>
    <w:rsid w:val="00124B37"/>
    <w:rsid w:val="00136BD2"/>
    <w:rsid w:val="001409A9"/>
    <w:rsid w:val="00142B30"/>
    <w:rsid w:val="00151059"/>
    <w:rsid w:val="00161154"/>
    <w:rsid w:val="00171084"/>
    <w:rsid w:val="001B4E6E"/>
    <w:rsid w:val="001C373F"/>
    <w:rsid w:val="001E166D"/>
    <w:rsid w:val="001E46F2"/>
    <w:rsid w:val="00205CC2"/>
    <w:rsid w:val="00214129"/>
    <w:rsid w:val="002173AD"/>
    <w:rsid w:val="00226854"/>
    <w:rsid w:val="00226C80"/>
    <w:rsid w:val="00246392"/>
    <w:rsid w:val="002475DF"/>
    <w:rsid w:val="002505F8"/>
    <w:rsid w:val="00250722"/>
    <w:rsid w:val="0025325D"/>
    <w:rsid w:val="0026614C"/>
    <w:rsid w:val="00266A78"/>
    <w:rsid w:val="00267F69"/>
    <w:rsid w:val="0027552E"/>
    <w:rsid w:val="00283993"/>
    <w:rsid w:val="00290473"/>
    <w:rsid w:val="00295D8B"/>
    <w:rsid w:val="002B2CAA"/>
    <w:rsid w:val="002D3408"/>
    <w:rsid w:val="002D4647"/>
    <w:rsid w:val="002E3B4D"/>
    <w:rsid w:val="002F28FC"/>
    <w:rsid w:val="002F349D"/>
    <w:rsid w:val="00321298"/>
    <w:rsid w:val="00337300"/>
    <w:rsid w:val="00344989"/>
    <w:rsid w:val="00352F6E"/>
    <w:rsid w:val="0036586C"/>
    <w:rsid w:val="003749A6"/>
    <w:rsid w:val="00377C14"/>
    <w:rsid w:val="004001C7"/>
    <w:rsid w:val="0044458B"/>
    <w:rsid w:val="00454707"/>
    <w:rsid w:val="0049465A"/>
    <w:rsid w:val="00496A1E"/>
    <w:rsid w:val="004B0DE0"/>
    <w:rsid w:val="004B5009"/>
    <w:rsid w:val="004B6787"/>
    <w:rsid w:val="004C4B56"/>
    <w:rsid w:val="004E459D"/>
    <w:rsid w:val="004F1E83"/>
    <w:rsid w:val="00514CC3"/>
    <w:rsid w:val="00517F59"/>
    <w:rsid w:val="00521A63"/>
    <w:rsid w:val="0055391B"/>
    <w:rsid w:val="00572E99"/>
    <w:rsid w:val="00581D30"/>
    <w:rsid w:val="00597652"/>
    <w:rsid w:val="005B110E"/>
    <w:rsid w:val="005B3F9C"/>
    <w:rsid w:val="005C581D"/>
    <w:rsid w:val="005E3673"/>
    <w:rsid w:val="005E7DD3"/>
    <w:rsid w:val="005F1B31"/>
    <w:rsid w:val="0061786E"/>
    <w:rsid w:val="00636DBF"/>
    <w:rsid w:val="00675690"/>
    <w:rsid w:val="00692C41"/>
    <w:rsid w:val="006938C5"/>
    <w:rsid w:val="006A1A0D"/>
    <w:rsid w:val="006E57A9"/>
    <w:rsid w:val="006F06A8"/>
    <w:rsid w:val="006F3675"/>
    <w:rsid w:val="006F75C0"/>
    <w:rsid w:val="00700F6B"/>
    <w:rsid w:val="00702293"/>
    <w:rsid w:val="00717D64"/>
    <w:rsid w:val="00720A4E"/>
    <w:rsid w:val="00737D2A"/>
    <w:rsid w:val="00740819"/>
    <w:rsid w:val="00750214"/>
    <w:rsid w:val="007666CE"/>
    <w:rsid w:val="007676AF"/>
    <w:rsid w:val="00771CE0"/>
    <w:rsid w:val="00783AC7"/>
    <w:rsid w:val="007A23AB"/>
    <w:rsid w:val="007B1306"/>
    <w:rsid w:val="007C2500"/>
    <w:rsid w:val="007D720B"/>
    <w:rsid w:val="007E6974"/>
    <w:rsid w:val="007F7648"/>
    <w:rsid w:val="007F7E74"/>
    <w:rsid w:val="00800A52"/>
    <w:rsid w:val="008037D8"/>
    <w:rsid w:val="00841E4A"/>
    <w:rsid w:val="00844DE5"/>
    <w:rsid w:val="00862A79"/>
    <w:rsid w:val="0086636D"/>
    <w:rsid w:val="00871787"/>
    <w:rsid w:val="00872BC6"/>
    <w:rsid w:val="0087366D"/>
    <w:rsid w:val="00877C61"/>
    <w:rsid w:val="00881650"/>
    <w:rsid w:val="00885FAF"/>
    <w:rsid w:val="00886D9B"/>
    <w:rsid w:val="00887102"/>
    <w:rsid w:val="00892804"/>
    <w:rsid w:val="008B24DC"/>
    <w:rsid w:val="008D5707"/>
    <w:rsid w:val="008E23B9"/>
    <w:rsid w:val="008E4FDD"/>
    <w:rsid w:val="008F10B4"/>
    <w:rsid w:val="00900ABF"/>
    <w:rsid w:val="00901FCC"/>
    <w:rsid w:val="00910D82"/>
    <w:rsid w:val="00910D9D"/>
    <w:rsid w:val="00915789"/>
    <w:rsid w:val="0092594C"/>
    <w:rsid w:val="0094675D"/>
    <w:rsid w:val="00946DBD"/>
    <w:rsid w:val="00947975"/>
    <w:rsid w:val="009552FB"/>
    <w:rsid w:val="0096247A"/>
    <w:rsid w:val="00962EDA"/>
    <w:rsid w:val="00971FE2"/>
    <w:rsid w:val="009A4A5B"/>
    <w:rsid w:val="009C0CFF"/>
    <w:rsid w:val="009D0CA9"/>
    <w:rsid w:val="009D5133"/>
    <w:rsid w:val="009E3C28"/>
    <w:rsid w:val="009F5F3D"/>
    <w:rsid w:val="00A37348"/>
    <w:rsid w:val="00A64762"/>
    <w:rsid w:val="00A71EC9"/>
    <w:rsid w:val="00A75B91"/>
    <w:rsid w:val="00A80CFD"/>
    <w:rsid w:val="00A86B60"/>
    <w:rsid w:val="00A9042F"/>
    <w:rsid w:val="00AB0BB2"/>
    <w:rsid w:val="00AB2109"/>
    <w:rsid w:val="00AD1C1E"/>
    <w:rsid w:val="00AD32F4"/>
    <w:rsid w:val="00AD39DE"/>
    <w:rsid w:val="00AD3E94"/>
    <w:rsid w:val="00B00BD7"/>
    <w:rsid w:val="00B03149"/>
    <w:rsid w:val="00B05592"/>
    <w:rsid w:val="00B346FB"/>
    <w:rsid w:val="00B45778"/>
    <w:rsid w:val="00B55D28"/>
    <w:rsid w:val="00B7073A"/>
    <w:rsid w:val="00B70E16"/>
    <w:rsid w:val="00B718AA"/>
    <w:rsid w:val="00B8305D"/>
    <w:rsid w:val="00B94C51"/>
    <w:rsid w:val="00BA69BD"/>
    <w:rsid w:val="00BC7C6D"/>
    <w:rsid w:val="00BD0CD3"/>
    <w:rsid w:val="00BD36B4"/>
    <w:rsid w:val="00C05001"/>
    <w:rsid w:val="00C07579"/>
    <w:rsid w:val="00C2197B"/>
    <w:rsid w:val="00C30510"/>
    <w:rsid w:val="00C3512C"/>
    <w:rsid w:val="00C35615"/>
    <w:rsid w:val="00C61E1A"/>
    <w:rsid w:val="00C768A4"/>
    <w:rsid w:val="00C77A75"/>
    <w:rsid w:val="00C822C4"/>
    <w:rsid w:val="00C826A8"/>
    <w:rsid w:val="00C87E82"/>
    <w:rsid w:val="00CB07A7"/>
    <w:rsid w:val="00CC4481"/>
    <w:rsid w:val="00CD6FC9"/>
    <w:rsid w:val="00CD74A5"/>
    <w:rsid w:val="00D0027F"/>
    <w:rsid w:val="00D13BE1"/>
    <w:rsid w:val="00D21444"/>
    <w:rsid w:val="00D2512D"/>
    <w:rsid w:val="00D402C1"/>
    <w:rsid w:val="00D474DF"/>
    <w:rsid w:val="00D6701C"/>
    <w:rsid w:val="00D76244"/>
    <w:rsid w:val="00D77F9A"/>
    <w:rsid w:val="00D8528D"/>
    <w:rsid w:val="00D86E48"/>
    <w:rsid w:val="00DA241F"/>
    <w:rsid w:val="00DA4F81"/>
    <w:rsid w:val="00DA57BF"/>
    <w:rsid w:val="00DC500C"/>
    <w:rsid w:val="00DC5B55"/>
    <w:rsid w:val="00DD6223"/>
    <w:rsid w:val="00E0664B"/>
    <w:rsid w:val="00E075E3"/>
    <w:rsid w:val="00E230FC"/>
    <w:rsid w:val="00E3054F"/>
    <w:rsid w:val="00E30FD3"/>
    <w:rsid w:val="00E44F03"/>
    <w:rsid w:val="00E524C4"/>
    <w:rsid w:val="00E6333F"/>
    <w:rsid w:val="00E67311"/>
    <w:rsid w:val="00E71CEA"/>
    <w:rsid w:val="00E736DF"/>
    <w:rsid w:val="00E73CB2"/>
    <w:rsid w:val="00E84D7E"/>
    <w:rsid w:val="00E86391"/>
    <w:rsid w:val="00E867E1"/>
    <w:rsid w:val="00E938BC"/>
    <w:rsid w:val="00EA302D"/>
    <w:rsid w:val="00EA384D"/>
    <w:rsid w:val="00EA44C3"/>
    <w:rsid w:val="00EB14A2"/>
    <w:rsid w:val="00EB3473"/>
    <w:rsid w:val="00EB3E71"/>
    <w:rsid w:val="00EC38B9"/>
    <w:rsid w:val="00ED17C4"/>
    <w:rsid w:val="00EE4D50"/>
    <w:rsid w:val="00EE639E"/>
    <w:rsid w:val="00F3179C"/>
    <w:rsid w:val="00F31E39"/>
    <w:rsid w:val="00F66000"/>
    <w:rsid w:val="00F71F48"/>
    <w:rsid w:val="00F73445"/>
    <w:rsid w:val="00F75E0B"/>
    <w:rsid w:val="00F92B7E"/>
    <w:rsid w:val="00FA2967"/>
    <w:rsid w:val="00FE4D73"/>
    <w:rsid w:val="00FE62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F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F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F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F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F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F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F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F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F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F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F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FD3"/>
    <w:rPr>
      <w:rFonts w:eastAsiaTheme="majorEastAsia" w:cstheme="majorBidi"/>
      <w:color w:val="272727" w:themeColor="text1" w:themeTint="D8"/>
    </w:rPr>
  </w:style>
  <w:style w:type="paragraph" w:styleId="Title">
    <w:name w:val="Title"/>
    <w:basedOn w:val="Normal"/>
    <w:next w:val="Normal"/>
    <w:link w:val="TitleChar"/>
    <w:uiPriority w:val="10"/>
    <w:qFormat/>
    <w:rsid w:val="00E30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FD3"/>
    <w:pPr>
      <w:spacing w:before="160"/>
      <w:jc w:val="center"/>
    </w:pPr>
    <w:rPr>
      <w:i/>
      <w:iCs/>
      <w:color w:val="404040" w:themeColor="text1" w:themeTint="BF"/>
    </w:rPr>
  </w:style>
  <w:style w:type="character" w:customStyle="1" w:styleId="QuoteChar">
    <w:name w:val="Quote Char"/>
    <w:basedOn w:val="DefaultParagraphFont"/>
    <w:link w:val="Quote"/>
    <w:uiPriority w:val="29"/>
    <w:rsid w:val="00E30FD3"/>
    <w:rPr>
      <w:i/>
      <w:iCs/>
      <w:color w:val="404040" w:themeColor="text1" w:themeTint="BF"/>
    </w:rPr>
  </w:style>
  <w:style w:type="paragraph" w:styleId="ListParagraph">
    <w:name w:val="List Paragraph"/>
    <w:basedOn w:val="Normal"/>
    <w:uiPriority w:val="34"/>
    <w:qFormat/>
    <w:rsid w:val="00E30FD3"/>
    <w:pPr>
      <w:ind w:left="720"/>
      <w:contextualSpacing/>
    </w:pPr>
  </w:style>
  <w:style w:type="character" w:styleId="IntenseEmphasis">
    <w:name w:val="Intense Emphasis"/>
    <w:basedOn w:val="DefaultParagraphFont"/>
    <w:uiPriority w:val="21"/>
    <w:qFormat/>
    <w:rsid w:val="00E30FD3"/>
    <w:rPr>
      <w:i/>
      <w:iCs/>
      <w:color w:val="2F5496" w:themeColor="accent1" w:themeShade="BF"/>
    </w:rPr>
  </w:style>
  <w:style w:type="paragraph" w:styleId="IntenseQuote">
    <w:name w:val="Intense Quote"/>
    <w:basedOn w:val="Normal"/>
    <w:next w:val="Normal"/>
    <w:link w:val="IntenseQuoteChar"/>
    <w:uiPriority w:val="30"/>
    <w:qFormat/>
    <w:rsid w:val="00E30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FD3"/>
    <w:rPr>
      <w:i/>
      <w:iCs/>
      <w:color w:val="2F5496" w:themeColor="accent1" w:themeShade="BF"/>
    </w:rPr>
  </w:style>
  <w:style w:type="character" w:styleId="IntenseReference">
    <w:name w:val="Intense Reference"/>
    <w:basedOn w:val="DefaultParagraphFont"/>
    <w:uiPriority w:val="32"/>
    <w:qFormat/>
    <w:rsid w:val="00E30FD3"/>
    <w:rPr>
      <w:b/>
      <w:bCs/>
      <w:smallCaps/>
      <w:color w:val="2F5496" w:themeColor="accent1" w:themeShade="BF"/>
      <w:spacing w:val="5"/>
    </w:rPr>
  </w:style>
  <w:style w:type="paragraph" w:styleId="NoSpacing">
    <w:name w:val="No Spacing"/>
    <w:uiPriority w:val="1"/>
    <w:qFormat/>
    <w:rsid w:val="00F31E39"/>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901FCC"/>
    <w:rPr>
      <w:color w:val="0563C1" w:themeColor="hyperlink"/>
      <w:u w:val="single"/>
    </w:rPr>
  </w:style>
  <w:style w:type="character" w:customStyle="1" w:styleId="UnresolvedMention">
    <w:name w:val="Unresolved Mention"/>
    <w:basedOn w:val="DefaultParagraphFont"/>
    <w:uiPriority w:val="99"/>
    <w:semiHidden/>
    <w:unhideWhenUsed/>
    <w:rsid w:val="00901FCC"/>
    <w:rPr>
      <w:color w:val="605E5C"/>
      <w:shd w:val="clear" w:color="auto" w:fill="E1DFDD"/>
    </w:rPr>
  </w:style>
  <w:style w:type="paragraph" w:customStyle="1" w:styleId="Textbody">
    <w:name w:val="Text body"/>
    <w:basedOn w:val="Normal"/>
    <w:uiPriority w:val="99"/>
    <w:rsid w:val="0044458B"/>
    <w:pPr>
      <w:widowControl w:val="0"/>
      <w:autoSpaceDE w:val="0"/>
      <w:autoSpaceDN w:val="0"/>
      <w:adjustRightInd w:val="0"/>
      <w:spacing w:after="115" w:line="240" w:lineRule="auto"/>
    </w:pPr>
    <w:rPr>
      <w:rFonts w:ascii="Times New Roman" w:eastAsiaTheme="minorEastAsia" w:hAnsi="Times New Roman" w:cs="Times New Roman"/>
      <w:kern w:val="0"/>
      <w:sz w:val="24"/>
      <w:szCs w:val="24"/>
      <w:lang w:eastAsia="en-ZW"/>
      <w14:ligatures w14:val="none"/>
    </w:rPr>
  </w:style>
  <w:style w:type="paragraph" w:styleId="Revision">
    <w:name w:val="Revision"/>
    <w:hidden/>
    <w:uiPriority w:val="99"/>
    <w:semiHidden/>
    <w:rsid w:val="00C768A4"/>
    <w:pPr>
      <w:spacing w:after="0" w:line="240" w:lineRule="auto"/>
    </w:pPr>
  </w:style>
  <w:style w:type="paragraph" w:styleId="Header">
    <w:name w:val="header"/>
    <w:basedOn w:val="Normal"/>
    <w:link w:val="HeaderChar"/>
    <w:uiPriority w:val="99"/>
    <w:unhideWhenUsed/>
    <w:rsid w:val="006F0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6A8"/>
  </w:style>
  <w:style w:type="paragraph" w:styleId="Footer">
    <w:name w:val="footer"/>
    <w:basedOn w:val="Normal"/>
    <w:link w:val="FooterChar"/>
    <w:uiPriority w:val="99"/>
    <w:unhideWhenUsed/>
    <w:rsid w:val="006F0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6A8"/>
  </w:style>
  <w:style w:type="paragraph" w:styleId="FootnoteText">
    <w:name w:val="footnote text"/>
    <w:basedOn w:val="Normal"/>
    <w:link w:val="FootnoteTextChar"/>
    <w:autoRedefine/>
    <w:uiPriority w:val="99"/>
    <w:semiHidden/>
    <w:rsid w:val="00DA57BF"/>
    <w:pPr>
      <w:spacing w:before="240" w:after="240" w:line="240" w:lineRule="auto"/>
      <w:jc w:val="both"/>
    </w:pPr>
    <w:rPr>
      <w:rFonts w:ascii="Times New Roman" w:eastAsia="Times New Roman" w:hAnsi="Times New Roman" w:cs="Times New Roman"/>
      <w:kern w:val="0"/>
      <w:sz w:val="20"/>
      <w:szCs w:val="20"/>
      <w:lang w:val="en-ZA" w:eastAsia="en-ZA"/>
      <w14:ligatures w14:val="none"/>
    </w:rPr>
  </w:style>
  <w:style w:type="character" w:customStyle="1" w:styleId="FootnoteTextChar">
    <w:name w:val="Footnote Text Char"/>
    <w:basedOn w:val="DefaultParagraphFont"/>
    <w:link w:val="FootnoteText"/>
    <w:uiPriority w:val="99"/>
    <w:semiHidden/>
    <w:rsid w:val="00DA57BF"/>
    <w:rPr>
      <w:rFonts w:ascii="Times New Roman" w:eastAsia="Times New Roman" w:hAnsi="Times New Roman" w:cs="Times New Roman"/>
      <w:kern w:val="0"/>
      <w:sz w:val="20"/>
      <w:szCs w:val="20"/>
      <w:lang w:val="en-ZA" w:eastAsia="en-ZA"/>
      <w14:ligatures w14:val="none"/>
    </w:rPr>
  </w:style>
  <w:style w:type="character" w:styleId="FootnoteReference">
    <w:name w:val="footnote reference"/>
    <w:basedOn w:val="DefaultParagraphFont"/>
    <w:uiPriority w:val="99"/>
    <w:semiHidden/>
    <w:rsid w:val="00DA57B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F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F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F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F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F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F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F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F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F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F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FD3"/>
    <w:rPr>
      <w:rFonts w:eastAsiaTheme="majorEastAsia" w:cstheme="majorBidi"/>
      <w:color w:val="272727" w:themeColor="text1" w:themeTint="D8"/>
    </w:rPr>
  </w:style>
  <w:style w:type="paragraph" w:styleId="Title">
    <w:name w:val="Title"/>
    <w:basedOn w:val="Normal"/>
    <w:next w:val="Normal"/>
    <w:link w:val="TitleChar"/>
    <w:uiPriority w:val="10"/>
    <w:qFormat/>
    <w:rsid w:val="00E30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FD3"/>
    <w:pPr>
      <w:spacing w:before="160"/>
      <w:jc w:val="center"/>
    </w:pPr>
    <w:rPr>
      <w:i/>
      <w:iCs/>
      <w:color w:val="404040" w:themeColor="text1" w:themeTint="BF"/>
    </w:rPr>
  </w:style>
  <w:style w:type="character" w:customStyle="1" w:styleId="QuoteChar">
    <w:name w:val="Quote Char"/>
    <w:basedOn w:val="DefaultParagraphFont"/>
    <w:link w:val="Quote"/>
    <w:uiPriority w:val="29"/>
    <w:rsid w:val="00E30FD3"/>
    <w:rPr>
      <w:i/>
      <w:iCs/>
      <w:color w:val="404040" w:themeColor="text1" w:themeTint="BF"/>
    </w:rPr>
  </w:style>
  <w:style w:type="paragraph" w:styleId="ListParagraph">
    <w:name w:val="List Paragraph"/>
    <w:basedOn w:val="Normal"/>
    <w:uiPriority w:val="34"/>
    <w:qFormat/>
    <w:rsid w:val="00E30FD3"/>
    <w:pPr>
      <w:ind w:left="720"/>
      <w:contextualSpacing/>
    </w:pPr>
  </w:style>
  <w:style w:type="character" w:styleId="IntenseEmphasis">
    <w:name w:val="Intense Emphasis"/>
    <w:basedOn w:val="DefaultParagraphFont"/>
    <w:uiPriority w:val="21"/>
    <w:qFormat/>
    <w:rsid w:val="00E30FD3"/>
    <w:rPr>
      <w:i/>
      <w:iCs/>
      <w:color w:val="2F5496" w:themeColor="accent1" w:themeShade="BF"/>
    </w:rPr>
  </w:style>
  <w:style w:type="paragraph" w:styleId="IntenseQuote">
    <w:name w:val="Intense Quote"/>
    <w:basedOn w:val="Normal"/>
    <w:next w:val="Normal"/>
    <w:link w:val="IntenseQuoteChar"/>
    <w:uiPriority w:val="30"/>
    <w:qFormat/>
    <w:rsid w:val="00E30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FD3"/>
    <w:rPr>
      <w:i/>
      <w:iCs/>
      <w:color w:val="2F5496" w:themeColor="accent1" w:themeShade="BF"/>
    </w:rPr>
  </w:style>
  <w:style w:type="character" w:styleId="IntenseReference">
    <w:name w:val="Intense Reference"/>
    <w:basedOn w:val="DefaultParagraphFont"/>
    <w:uiPriority w:val="32"/>
    <w:qFormat/>
    <w:rsid w:val="00E30FD3"/>
    <w:rPr>
      <w:b/>
      <w:bCs/>
      <w:smallCaps/>
      <w:color w:val="2F5496" w:themeColor="accent1" w:themeShade="BF"/>
      <w:spacing w:val="5"/>
    </w:rPr>
  </w:style>
  <w:style w:type="paragraph" w:styleId="NoSpacing">
    <w:name w:val="No Spacing"/>
    <w:uiPriority w:val="1"/>
    <w:qFormat/>
    <w:rsid w:val="00F31E39"/>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901FCC"/>
    <w:rPr>
      <w:color w:val="0563C1" w:themeColor="hyperlink"/>
      <w:u w:val="single"/>
    </w:rPr>
  </w:style>
  <w:style w:type="character" w:customStyle="1" w:styleId="UnresolvedMention">
    <w:name w:val="Unresolved Mention"/>
    <w:basedOn w:val="DefaultParagraphFont"/>
    <w:uiPriority w:val="99"/>
    <w:semiHidden/>
    <w:unhideWhenUsed/>
    <w:rsid w:val="00901FCC"/>
    <w:rPr>
      <w:color w:val="605E5C"/>
      <w:shd w:val="clear" w:color="auto" w:fill="E1DFDD"/>
    </w:rPr>
  </w:style>
  <w:style w:type="paragraph" w:customStyle="1" w:styleId="Textbody">
    <w:name w:val="Text body"/>
    <w:basedOn w:val="Normal"/>
    <w:uiPriority w:val="99"/>
    <w:rsid w:val="0044458B"/>
    <w:pPr>
      <w:widowControl w:val="0"/>
      <w:autoSpaceDE w:val="0"/>
      <w:autoSpaceDN w:val="0"/>
      <w:adjustRightInd w:val="0"/>
      <w:spacing w:after="115" w:line="240" w:lineRule="auto"/>
    </w:pPr>
    <w:rPr>
      <w:rFonts w:ascii="Times New Roman" w:eastAsiaTheme="minorEastAsia" w:hAnsi="Times New Roman" w:cs="Times New Roman"/>
      <w:kern w:val="0"/>
      <w:sz w:val="24"/>
      <w:szCs w:val="24"/>
      <w:lang w:eastAsia="en-ZW"/>
      <w14:ligatures w14:val="none"/>
    </w:rPr>
  </w:style>
  <w:style w:type="paragraph" w:styleId="Revision">
    <w:name w:val="Revision"/>
    <w:hidden/>
    <w:uiPriority w:val="99"/>
    <w:semiHidden/>
    <w:rsid w:val="00C768A4"/>
    <w:pPr>
      <w:spacing w:after="0" w:line="240" w:lineRule="auto"/>
    </w:pPr>
  </w:style>
  <w:style w:type="paragraph" w:styleId="Header">
    <w:name w:val="header"/>
    <w:basedOn w:val="Normal"/>
    <w:link w:val="HeaderChar"/>
    <w:uiPriority w:val="99"/>
    <w:unhideWhenUsed/>
    <w:rsid w:val="006F0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6A8"/>
  </w:style>
  <w:style w:type="paragraph" w:styleId="Footer">
    <w:name w:val="footer"/>
    <w:basedOn w:val="Normal"/>
    <w:link w:val="FooterChar"/>
    <w:uiPriority w:val="99"/>
    <w:unhideWhenUsed/>
    <w:rsid w:val="006F0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6A8"/>
  </w:style>
  <w:style w:type="paragraph" w:styleId="FootnoteText">
    <w:name w:val="footnote text"/>
    <w:basedOn w:val="Normal"/>
    <w:link w:val="FootnoteTextChar"/>
    <w:autoRedefine/>
    <w:uiPriority w:val="99"/>
    <w:semiHidden/>
    <w:rsid w:val="00DA57BF"/>
    <w:pPr>
      <w:spacing w:before="240" w:after="240" w:line="240" w:lineRule="auto"/>
      <w:jc w:val="both"/>
    </w:pPr>
    <w:rPr>
      <w:rFonts w:ascii="Times New Roman" w:eastAsia="Times New Roman" w:hAnsi="Times New Roman" w:cs="Times New Roman"/>
      <w:kern w:val="0"/>
      <w:sz w:val="20"/>
      <w:szCs w:val="20"/>
      <w:lang w:val="en-ZA" w:eastAsia="en-ZA"/>
      <w14:ligatures w14:val="none"/>
    </w:rPr>
  </w:style>
  <w:style w:type="character" w:customStyle="1" w:styleId="FootnoteTextChar">
    <w:name w:val="Footnote Text Char"/>
    <w:basedOn w:val="DefaultParagraphFont"/>
    <w:link w:val="FootnoteText"/>
    <w:uiPriority w:val="99"/>
    <w:semiHidden/>
    <w:rsid w:val="00DA57BF"/>
    <w:rPr>
      <w:rFonts w:ascii="Times New Roman" w:eastAsia="Times New Roman" w:hAnsi="Times New Roman" w:cs="Times New Roman"/>
      <w:kern w:val="0"/>
      <w:sz w:val="20"/>
      <w:szCs w:val="20"/>
      <w:lang w:val="en-ZA" w:eastAsia="en-ZA"/>
      <w14:ligatures w14:val="none"/>
    </w:rPr>
  </w:style>
  <w:style w:type="character" w:styleId="FootnoteReference">
    <w:name w:val="footnote reference"/>
    <w:basedOn w:val="DefaultParagraphFont"/>
    <w:uiPriority w:val="99"/>
    <w:semiHidden/>
    <w:rsid w:val="00DA57B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2025-11-14T11:33:00Z</dcterms:created>
  <dcterms:modified xsi:type="dcterms:W3CDTF">2025-11-14T11:33:00Z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04c8d2f1-04cf-455b-b380-0f758707413b</vt:lpwstr>
  </property>
</Properties>
</file>