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1" w:type="dxa"/>
        <w:tblBorders>
          <w:bottom w:val="single" w:sz="6" w:space="0" w:color="auto"/>
        </w:tblBorders>
        <w:tblLayout w:type="fixed"/>
        <w:tblLook w:val="0000" w:firstRow="0" w:lastRow="0" w:firstColumn="0" w:lastColumn="0" w:noHBand="0" w:noVBand="0"/>
      </w:tblPr>
      <w:tblGrid>
        <w:gridCol w:w="3896"/>
        <w:gridCol w:w="1491"/>
        <w:gridCol w:w="4394"/>
      </w:tblGrid>
      <w:tr w:rsidR="005A4D7A" w:rsidTr="009C18C8">
        <w:trPr>
          <w:trHeight w:val="70"/>
        </w:trPr>
        <w:tc>
          <w:tcPr>
            <w:tcW w:w="3896" w:type="dxa"/>
            <w:tcBorders>
              <w:bottom w:val="nil"/>
            </w:tcBorders>
          </w:tcPr>
          <w:p w:rsidR="005A4D7A" w:rsidRDefault="005A4D7A" w:rsidP="009A35C7">
            <w:pPr>
              <w:tabs>
                <w:tab w:val="left" w:pos="1134"/>
                <w:tab w:val="left" w:pos="1276"/>
                <w:tab w:val="left" w:pos="1560"/>
                <w:tab w:val="center" w:pos="4395"/>
                <w:tab w:val="right" w:pos="8505"/>
              </w:tabs>
              <w:spacing w:line="360" w:lineRule="auto"/>
              <w:jc w:val="both"/>
              <w:rPr>
                <w:b/>
                <w:sz w:val="22"/>
              </w:rPr>
            </w:pPr>
          </w:p>
        </w:tc>
        <w:tc>
          <w:tcPr>
            <w:tcW w:w="1491" w:type="dxa"/>
            <w:tcBorders>
              <w:bottom w:val="nil"/>
            </w:tcBorders>
          </w:tcPr>
          <w:p w:rsidR="005A4D7A" w:rsidRDefault="005A4D7A" w:rsidP="009A35C7">
            <w:pPr>
              <w:tabs>
                <w:tab w:val="center" w:pos="4395"/>
                <w:tab w:val="right" w:pos="8505"/>
              </w:tabs>
              <w:spacing w:line="360" w:lineRule="auto"/>
              <w:jc w:val="both"/>
              <w:rPr>
                <w:sz w:val="19"/>
              </w:rPr>
            </w:pPr>
          </w:p>
        </w:tc>
        <w:tc>
          <w:tcPr>
            <w:tcW w:w="4394" w:type="dxa"/>
            <w:tcBorders>
              <w:bottom w:val="nil"/>
            </w:tcBorders>
          </w:tcPr>
          <w:p w:rsidR="005A4D7A" w:rsidRDefault="005A4D7A" w:rsidP="009A35C7">
            <w:pPr>
              <w:tabs>
                <w:tab w:val="center" w:pos="4395"/>
                <w:tab w:val="right" w:pos="8505"/>
              </w:tabs>
              <w:spacing w:line="360" w:lineRule="auto"/>
              <w:jc w:val="both"/>
              <w:rPr>
                <w:b/>
                <w:sz w:val="19"/>
              </w:rPr>
            </w:pPr>
          </w:p>
        </w:tc>
      </w:tr>
    </w:tbl>
    <w:p w:rsidR="002912A6" w:rsidRDefault="000D4705" w:rsidP="00472847">
      <w:pPr>
        <w:jc w:val="both"/>
      </w:pPr>
      <w:bookmarkStart w:id="0" w:name="_GoBack"/>
      <w:bookmarkEnd w:id="0"/>
      <w:r>
        <w:t>TWENTY THIRD CENTURY</w:t>
      </w:r>
      <w:r w:rsidR="003F702F">
        <w:t xml:space="preserve"> (PRIVATE) LIMITED</w:t>
      </w:r>
    </w:p>
    <w:p w:rsidR="00602A43" w:rsidRPr="00C92771" w:rsidRDefault="00602A43" w:rsidP="00472847">
      <w:pPr>
        <w:jc w:val="both"/>
        <w:rPr>
          <w:sz w:val="4"/>
          <w:szCs w:val="4"/>
        </w:rPr>
      </w:pPr>
    </w:p>
    <w:p w:rsidR="002912A6" w:rsidRDefault="007E0D90" w:rsidP="00804E6A">
      <w:pPr>
        <w:jc w:val="both"/>
      </w:pPr>
      <w:r>
        <w:t>versus</w:t>
      </w:r>
      <w:r w:rsidR="00D37BA5">
        <w:t xml:space="preserve"> </w:t>
      </w:r>
    </w:p>
    <w:p w:rsidR="00472847" w:rsidRPr="00804E6A" w:rsidRDefault="00472847" w:rsidP="009A35C7">
      <w:pPr>
        <w:jc w:val="both"/>
        <w:rPr>
          <w:sz w:val="8"/>
          <w:szCs w:val="8"/>
        </w:rPr>
      </w:pPr>
    </w:p>
    <w:p w:rsidR="002912A6" w:rsidRDefault="007E0D90" w:rsidP="00804E6A">
      <w:pPr>
        <w:jc w:val="both"/>
      </w:pPr>
      <w:r>
        <w:t>ZIMBABWE MANPOWER DEVELOPMENT FUND</w:t>
      </w:r>
    </w:p>
    <w:p w:rsidR="002912A6" w:rsidRDefault="00187CCB" w:rsidP="009A35C7">
      <w:pPr>
        <w:jc w:val="both"/>
      </w:pPr>
      <w:r>
        <w:t>a</w:t>
      </w:r>
      <w:r w:rsidR="002912A6">
        <w:t>nd</w:t>
      </w:r>
    </w:p>
    <w:p w:rsidR="007E0D90" w:rsidRPr="00187CCB" w:rsidRDefault="007E0D90" w:rsidP="009A35C7">
      <w:pPr>
        <w:jc w:val="both"/>
        <w:rPr>
          <w:sz w:val="6"/>
          <w:szCs w:val="6"/>
        </w:rPr>
      </w:pPr>
    </w:p>
    <w:p w:rsidR="007E0D90" w:rsidRDefault="00187CCB" w:rsidP="009A35C7">
      <w:pPr>
        <w:jc w:val="both"/>
      </w:pPr>
      <w:r>
        <w:t>PROCUREMENT REGULATORY AUTHORITY OF ZIMBABWE</w:t>
      </w:r>
    </w:p>
    <w:p w:rsidR="00C92771" w:rsidRPr="00C92771" w:rsidRDefault="00C92771" w:rsidP="009A35C7">
      <w:pPr>
        <w:jc w:val="both"/>
        <w:rPr>
          <w:sz w:val="4"/>
          <w:szCs w:val="4"/>
        </w:rPr>
      </w:pPr>
    </w:p>
    <w:p w:rsidR="00C92771" w:rsidRDefault="00C92771" w:rsidP="009A35C7">
      <w:pPr>
        <w:jc w:val="both"/>
      </w:pPr>
      <w:r>
        <w:t>and</w:t>
      </w:r>
    </w:p>
    <w:p w:rsidR="00DC67DE" w:rsidRPr="00D37BA5" w:rsidRDefault="00DC67DE" w:rsidP="009A35C7">
      <w:pPr>
        <w:jc w:val="both"/>
        <w:rPr>
          <w:sz w:val="8"/>
          <w:szCs w:val="8"/>
        </w:rPr>
      </w:pPr>
    </w:p>
    <w:p w:rsidR="002912A6" w:rsidRDefault="00277878" w:rsidP="00804E6A">
      <w:pPr>
        <w:jc w:val="both"/>
      </w:pPr>
      <w:r>
        <w:t>TANO DIGITAL SOLUTIONS</w:t>
      </w:r>
      <w:r w:rsidR="00D37BA5">
        <w:t xml:space="preserve"> (PRIVATE) LIMITED</w:t>
      </w:r>
    </w:p>
    <w:p w:rsidR="005A4D7A" w:rsidRDefault="005A4D7A" w:rsidP="009A35C7">
      <w:pPr>
        <w:spacing w:line="360" w:lineRule="auto"/>
        <w:jc w:val="both"/>
      </w:pPr>
    </w:p>
    <w:p w:rsidR="009C18C8" w:rsidRDefault="009C18C8" w:rsidP="009A35C7">
      <w:pPr>
        <w:jc w:val="both"/>
      </w:pPr>
    </w:p>
    <w:p w:rsidR="005A4D7A" w:rsidRDefault="005A4D7A" w:rsidP="009A35C7">
      <w:pPr>
        <w:jc w:val="both"/>
      </w:pPr>
      <w:r>
        <w:t>HIGH COURT OF ZIMBABWE</w:t>
      </w:r>
    </w:p>
    <w:p w:rsidR="005A4D7A" w:rsidRDefault="00A831D8" w:rsidP="009A35C7">
      <w:pPr>
        <w:jc w:val="both"/>
      </w:pPr>
      <w:r>
        <w:t>CHINAMORA</w:t>
      </w:r>
      <w:r w:rsidR="005A4D7A">
        <w:t xml:space="preserve"> J</w:t>
      </w:r>
    </w:p>
    <w:p w:rsidR="005A4D7A" w:rsidRDefault="00A93396" w:rsidP="009A35C7">
      <w:pPr>
        <w:jc w:val="both"/>
      </w:pPr>
      <w:r>
        <w:t>HARARE 13 July 2022 and 26</w:t>
      </w:r>
      <w:r w:rsidR="000C7403">
        <w:t xml:space="preserve"> July 2022</w:t>
      </w:r>
    </w:p>
    <w:p w:rsidR="005A4D7A" w:rsidRDefault="005A4D7A" w:rsidP="009A35C7">
      <w:pPr>
        <w:spacing w:line="360" w:lineRule="auto"/>
        <w:jc w:val="both"/>
      </w:pPr>
    </w:p>
    <w:p w:rsidR="002B10C2" w:rsidRDefault="002B10C2" w:rsidP="009A35C7">
      <w:pPr>
        <w:spacing w:line="360" w:lineRule="auto"/>
        <w:jc w:val="both"/>
      </w:pPr>
    </w:p>
    <w:p w:rsidR="005A4D7A" w:rsidRPr="009A017B" w:rsidRDefault="00C835A5" w:rsidP="009A35C7">
      <w:pPr>
        <w:spacing w:line="360" w:lineRule="auto"/>
        <w:jc w:val="both"/>
        <w:rPr>
          <w:b/>
        </w:rPr>
      </w:pPr>
      <w:r>
        <w:rPr>
          <w:b/>
        </w:rPr>
        <w:t>Application</w:t>
      </w:r>
      <w:r w:rsidR="008720F3">
        <w:rPr>
          <w:b/>
        </w:rPr>
        <w:t xml:space="preserve"> for r</w:t>
      </w:r>
      <w:r w:rsidR="00277878">
        <w:rPr>
          <w:b/>
        </w:rPr>
        <w:t xml:space="preserve">eview </w:t>
      </w:r>
    </w:p>
    <w:p w:rsidR="005A4D7A" w:rsidRDefault="005A4D7A" w:rsidP="009A35C7">
      <w:pPr>
        <w:spacing w:line="360" w:lineRule="auto"/>
        <w:jc w:val="both"/>
      </w:pPr>
    </w:p>
    <w:p w:rsidR="00C835A5" w:rsidRDefault="007219B0" w:rsidP="00C835A5">
      <w:pPr>
        <w:jc w:val="both"/>
      </w:pPr>
      <w:r>
        <w:rPr>
          <w:i/>
        </w:rPr>
        <w:t>Adv M Ndlovu</w:t>
      </w:r>
      <w:r w:rsidR="00CE42F4">
        <w:t xml:space="preserve">, </w:t>
      </w:r>
      <w:r w:rsidR="00FD00F3">
        <w:t xml:space="preserve">for the </w:t>
      </w:r>
      <w:r w:rsidR="00CE42F4">
        <w:t>applicant</w:t>
      </w:r>
    </w:p>
    <w:p w:rsidR="004D0E53" w:rsidRDefault="007219B0" w:rsidP="00C835A5">
      <w:pPr>
        <w:jc w:val="both"/>
      </w:pPr>
      <w:r>
        <w:rPr>
          <w:i/>
        </w:rPr>
        <w:t>Adv L Uriri</w:t>
      </w:r>
      <w:r w:rsidR="004B652A">
        <w:t xml:space="preserve">, for the </w:t>
      </w:r>
      <w:r>
        <w:t>1</w:t>
      </w:r>
      <w:r w:rsidRPr="007219B0">
        <w:rPr>
          <w:vertAlign w:val="superscript"/>
        </w:rPr>
        <w:t>st</w:t>
      </w:r>
      <w:r>
        <w:t xml:space="preserve"> </w:t>
      </w:r>
      <w:r w:rsidR="00C835A5">
        <w:t>respondent</w:t>
      </w:r>
    </w:p>
    <w:p w:rsidR="00526195" w:rsidRDefault="00526195" w:rsidP="00C835A5">
      <w:pPr>
        <w:jc w:val="both"/>
      </w:pPr>
      <w:r w:rsidRPr="00C30995">
        <w:rPr>
          <w:i/>
        </w:rPr>
        <w:t xml:space="preserve">Mr  </w:t>
      </w:r>
      <w:r w:rsidR="009A78C5">
        <w:rPr>
          <w:i/>
        </w:rPr>
        <w:t>S Muzondiwa</w:t>
      </w:r>
      <w:r>
        <w:t>, for the 3</w:t>
      </w:r>
      <w:r w:rsidRPr="00526195">
        <w:rPr>
          <w:vertAlign w:val="superscript"/>
        </w:rPr>
        <w:t>rd</w:t>
      </w:r>
      <w:r>
        <w:t xml:space="preserve"> respondent</w:t>
      </w:r>
    </w:p>
    <w:p w:rsidR="00526195" w:rsidRDefault="00526195" w:rsidP="00C835A5">
      <w:pPr>
        <w:jc w:val="both"/>
      </w:pPr>
      <w:r>
        <w:t>No appearance for the 2</w:t>
      </w:r>
      <w:r w:rsidRPr="00526195">
        <w:rPr>
          <w:vertAlign w:val="superscript"/>
        </w:rPr>
        <w:t>nd</w:t>
      </w:r>
      <w:r>
        <w:t xml:space="preserve"> respondent</w:t>
      </w:r>
    </w:p>
    <w:p w:rsidR="00A91562" w:rsidRDefault="00A91562" w:rsidP="009A35C7">
      <w:pPr>
        <w:spacing w:line="360" w:lineRule="auto"/>
        <w:jc w:val="both"/>
      </w:pPr>
    </w:p>
    <w:p w:rsidR="00C45974" w:rsidRDefault="004169FF" w:rsidP="00D442D8">
      <w:pPr>
        <w:spacing w:after="120" w:line="360" w:lineRule="auto"/>
        <w:jc w:val="both"/>
      </w:pPr>
      <w:r>
        <w:t>CHINAMORA</w:t>
      </w:r>
      <w:r w:rsidR="005A4D7A">
        <w:t xml:space="preserve"> J: </w:t>
      </w:r>
    </w:p>
    <w:p w:rsidR="00C45974" w:rsidRPr="00C45974" w:rsidRDefault="00C45974" w:rsidP="00B01F42">
      <w:pPr>
        <w:spacing w:line="360" w:lineRule="auto"/>
        <w:jc w:val="both"/>
        <w:rPr>
          <w:b/>
        </w:rPr>
      </w:pPr>
      <w:r w:rsidRPr="00C45974">
        <w:rPr>
          <w:b/>
        </w:rPr>
        <w:t>Introduction:</w:t>
      </w:r>
    </w:p>
    <w:p w:rsidR="00CA68DA" w:rsidRDefault="00797CDD" w:rsidP="004B10DD">
      <w:pPr>
        <w:spacing w:line="360" w:lineRule="auto"/>
        <w:ind w:firstLine="720"/>
        <w:jc w:val="both"/>
      </w:pPr>
      <w:r>
        <w:t>I have before me</w:t>
      </w:r>
      <w:r w:rsidR="003F6A14">
        <w:t xml:space="preserve"> </w:t>
      </w:r>
      <w:r w:rsidR="006E3B9F">
        <w:t xml:space="preserve">an application </w:t>
      </w:r>
      <w:r w:rsidR="00EA4301">
        <w:t xml:space="preserve">filed </w:t>
      </w:r>
      <w:r w:rsidR="003D2EB0">
        <w:t>by the applicant on 15 March 2022</w:t>
      </w:r>
      <w:r w:rsidR="00EA4301">
        <w:t xml:space="preserve"> </w:t>
      </w:r>
      <w:r w:rsidR="00BD02E3">
        <w:t xml:space="preserve">for review </w:t>
      </w:r>
      <w:r w:rsidR="000A08BF">
        <w:t xml:space="preserve">in terms of section 4 of the Administrative Justice Act </w:t>
      </w:r>
      <w:r w:rsidR="00F77170">
        <w:t>[Chapter 10:28] (hereinafter referred to as “the AJA”</w:t>
      </w:r>
      <w:r w:rsidR="003A18C7">
        <w:t>),</w:t>
      </w:r>
      <w:r w:rsidR="00C60504">
        <w:t xml:space="preserve"> and for setting aside the decision of the 2</w:t>
      </w:r>
      <w:r w:rsidR="00C60504" w:rsidRPr="00C60504">
        <w:rPr>
          <w:vertAlign w:val="superscript"/>
        </w:rPr>
        <w:t>nd</w:t>
      </w:r>
      <w:r w:rsidR="00C60504">
        <w:t xml:space="preserve"> respondent made on 22 February 2022.</w:t>
      </w:r>
      <w:r w:rsidR="00990198">
        <w:t xml:space="preserve"> In addition, the applicant seeks the setting aside of the </w:t>
      </w:r>
      <w:r w:rsidR="00840E3F">
        <w:t>decision of the 1</w:t>
      </w:r>
      <w:r w:rsidR="00840E3F" w:rsidRPr="00840E3F">
        <w:rPr>
          <w:vertAlign w:val="superscript"/>
        </w:rPr>
        <w:t>st</w:t>
      </w:r>
      <w:r w:rsidR="00840E3F">
        <w:t xml:space="preserve"> resp</w:t>
      </w:r>
      <w:r w:rsidR="004B1AD4">
        <w:t>ondent given on 9 December 2022, which</w:t>
      </w:r>
      <w:r w:rsidR="00E35C83">
        <w:t xml:space="preserve"> awarded a tender to provide </w:t>
      </w:r>
      <w:r w:rsidR="0033004C">
        <w:t xml:space="preserve">SAP software services </w:t>
      </w:r>
      <w:r w:rsidR="00E35C83">
        <w:t xml:space="preserve">to the </w:t>
      </w:r>
      <w:r w:rsidR="004B1AD4">
        <w:t>3</w:t>
      </w:r>
      <w:r w:rsidR="004B1AD4" w:rsidRPr="004B1AD4">
        <w:rPr>
          <w:vertAlign w:val="superscript"/>
        </w:rPr>
        <w:t>rd</w:t>
      </w:r>
      <w:r w:rsidR="004B1AD4">
        <w:t xml:space="preserve"> </w:t>
      </w:r>
      <w:r w:rsidR="00E35C83">
        <w:t xml:space="preserve">respondent. </w:t>
      </w:r>
      <w:r w:rsidR="009009F5">
        <w:t xml:space="preserve">Dissatisfied with this, the applicant sought a determination of the matter </w:t>
      </w:r>
      <w:r w:rsidR="00F63BB8">
        <w:t>by the Review Panel in terms of section 74 of the Public Procurement and Disposal of Public Assets Act [Chapter 22:23]</w:t>
      </w:r>
      <w:r w:rsidR="009E42B9">
        <w:t xml:space="preserve"> (hereinafter referred to as “the Public Procurement Act”</w:t>
      </w:r>
      <w:r w:rsidR="00F63BB8">
        <w:t xml:space="preserve">. </w:t>
      </w:r>
      <w:r w:rsidR="003816D7">
        <w:t>The Review Panel</w:t>
      </w:r>
      <w:r w:rsidR="00E0619B">
        <w:t xml:space="preserve"> dismissed the challenge</w:t>
      </w:r>
      <w:r w:rsidR="000B2344">
        <w:t>, a decision which prompted</w:t>
      </w:r>
      <w:r w:rsidR="00E0619B">
        <w:t xml:space="preserve"> the applicant to file the present application for review. </w:t>
      </w:r>
      <w:r w:rsidR="0082392E">
        <w:t>The grounds on which this application has been lodged are stated as follows:</w:t>
      </w:r>
    </w:p>
    <w:p w:rsidR="00CB3B65" w:rsidRPr="00CB3B65" w:rsidRDefault="00CB3B65" w:rsidP="004B10DD">
      <w:pPr>
        <w:spacing w:line="360" w:lineRule="auto"/>
        <w:ind w:firstLine="720"/>
        <w:jc w:val="both"/>
        <w:rPr>
          <w:sz w:val="10"/>
          <w:szCs w:val="10"/>
        </w:rPr>
      </w:pPr>
    </w:p>
    <w:p w:rsidR="00992083" w:rsidRDefault="00CB3B65" w:rsidP="00992083">
      <w:pPr>
        <w:pStyle w:val="ListParagraph"/>
        <w:numPr>
          <w:ilvl w:val="0"/>
          <w:numId w:val="15"/>
        </w:numPr>
        <w:spacing w:line="360" w:lineRule="auto"/>
        <w:jc w:val="both"/>
      </w:pPr>
      <w:r>
        <w:lastRenderedPageBreak/>
        <w:t xml:space="preserve">The findings </w:t>
      </w:r>
      <w:r w:rsidR="008314A2">
        <w:t>of the 2</w:t>
      </w:r>
      <w:r w:rsidR="008314A2" w:rsidRPr="008314A2">
        <w:rPr>
          <w:vertAlign w:val="superscript"/>
        </w:rPr>
        <w:t>nd</w:t>
      </w:r>
      <w:r w:rsidR="008314A2">
        <w:t xml:space="preserve"> respondent are a nullity bec</w:t>
      </w:r>
      <w:r w:rsidR="00D9002E">
        <w:t xml:space="preserve">ause its Review Panel </w:t>
      </w:r>
      <w:r w:rsidR="008314A2">
        <w:t>was not properly constituted.</w:t>
      </w:r>
    </w:p>
    <w:p w:rsidR="00992083" w:rsidRPr="00992083" w:rsidRDefault="00992083" w:rsidP="00992083">
      <w:pPr>
        <w:spacing w:line="360" w:lineRule="auto"/>
        <w:jc w:val="both"/>
        <w:rPr>
          <w:sz w:val="4"/>
          <w:szCs w:val="4"/>
        </w:rPr>
      </w:pPr>
    </w:p>
    <w:p w:rsidR="00BD006B" w:rsidRDefault="00BD006B" w:rsidP="00CB3B65">
      <w:pPr>
        <w:pStyle w:val="ListParagraph"/>
        <w:numPr>
          <w:ilvl w:val="0"/>
          <w:numId w:val="15"/>
        </w:numPr>
        <w:spacing w:line="360" w:lineRule="auto"/>
        <w:jc w:val="both"/>
      </w:pPr>
      <w:r>
        <w:t>The decision of the 2</w:t>
      </w:r>
      <w:r w:rsidRPr="00BD006B">
        <w:rPr>
          <w:vertAlign w:val="superscript"/>
        </w:rPr>
        <w:t>nd</w:t>
      </w:r>
      <w:r>
        <w:t xml:space="preserve"> respondent is grossly unreasonable in that the 2</w:t>
      </w:r>
      <w:r w:rsidRPr="00BD006B">
        <w:rPr>
          <w:vertAlign w:val="superscript"/>
        </w:rPr>
        <w:t>nd</w:t>
      </w:r>
      <w:r>
        <w:t xml:space="preserve"> respondent did not take into account </w:t>
      </w:r>
      <w:r w:rsidR="006438BE">
        <w:t>expert illumination given on the matter by the 2</w:t>
      </w:r>
      <w:r w:rsidR="006438BE" w:rsidRPr="006438BE">
        <w:rPr>
          <w:vertAlign w:val="superscript"/>
        </w:rPr>
        <w:t>nd</w:t>
      </w:r>
      <w:r w:rsidR="006438BE">
        <w:t xml:space="preserve"> respondent.</w:t>
      </w:r>
    </w:p>
    <w:p w:rsidR="00992083" w:rsidRPr="00992083" w:rsidRDefault="00992083" w:rsidP="00992083">
      <w:pPr>
        <w:spacing w:line="360" w:lineRule="auto"/>
        <w:jc w:val="both"/>
        <w:rPr>
          <w:sz w:val="4"/>
          <w:szCs w:val="4"/>
        </w:rPr>
      </w:pPr>
    </w:p>
    <w:p w:rsidR="006038EE" w:rsidRDefault="006038EE" w:rsidP="00CB3B65">
      <w:pPr>
        <w:pStyle w:val="ListParagraph"/>
        <w:numPr>
          <w:ilvl w:val="0"/>
          <w:numId w:val="15"/>
        </w:numPr>
        <w:spacing w:line="360" w:lineRule="auto"/>
        <w:jc w:val="both"/>
      </w:pPr>
      <w:r>
        <w:t>The 2</w:t>
      </w:r>
      <w:r w:rsidRPr="006038EE">
        <w:rPr>
          <w:vertAlign w:val="superscript"/>
        </w:rPr>
        <w:t>nd</w:t>
      </w:r>
      <w:r>
        <w:t xml:space="preserve"> respondent’s decision</w:t>
      </w:r>
      <w:r w:rsidR="00F71B07">
        <w:t xml:space="preserve"> is grossly irrational and unreasonable.</w:t>
      </w:r>
    </w:p>
    <w:p w:rsidR="00354636" w:rsidRPr="00354636" w:rsidRDefault="00354636" w:rsidP="00354636">
      <w:pPr>
        <w:pStyle w:val="ListParagraph"/>
        <w:rPr>
          <w:sz w:val="4"/>
          <w:szCs w:val="4"/>
        </w:rPr>
      </w:pPr>
    </w:p>
    <w:p w:rsidR="00354636" w:rsidRDefault="00354636" w:rsidP="00CB3B65">
      <w:pPr>
        <w:pStyle w:val="ListParagraph"/>
        <w:numPr>
          <w:ilvl w:val="0"/>
          <w:numId w:val="15"/>
        </w:numPr>
        <w:spacing w:line="360" w:lineRule="auto"/>
        <w:jc w:val="both"/>
      </w:pPr>
      <w:r>
        <w:t>The decision</w:t>
      </w:r>
      <w:r w:rsidR="005D17DD">
        <w:t xml:space="preserve"> </w:t>
      </w:r>
      <w:r w:rsidR="00557992">
        <w:t>of the 2</w:t>
      </w:r>
      <w:r w:rsidR="00557992" w:rsidRPr="00557992">
        <w:rPr>
          <w:vertAlign w:val="superscript"/>
        </w:rPr>
        <w:t>nd</w:t>
      </w:r>
      <w:r w:rsidR="00557992">
        <w:t xml:space="preserve"> respondent against the applicant was made </w:t>
      </w:r>
      <w:r w:rsidR="00C10A7C">
        <w:t xml:space="preserve">without hearing the parties </w:t>
      </w:r>
      <w:r w:rsidR="008472CE">
        <w:t>in terms of the law and, as such, that decision was arbitrary and void.</w:t>
      </w:r>
    </w:p>
    <w:p w:rsidR="00BC31F3" w:rsidRDefault="00BC31F3" w:rsidP="00BC31F3">
      <w:pPr>
        <w:pStyle w:val="ListParagraph"/>
      </w:pPr>
    </w:p>
    <w:p w:rsidR="00BC31F3" w:rsidRDefault="00BC31F3" w:rsidP="00BC31F3">
      <w:pPr>
        <w:spacing w:line="360" w:lineRule="auto"/>
        <w:jc w:val="both"/>
      </w:pPr>
      <w:r>
        <w:t>Let me give a background to the dispute between the parties.</w:t>
      </w:r>
    </w:p>
    <w:p w:rsidR="00CA68DA" w:rsidRDefault="00CA68DA" w:rsidP="0078604C">
      <w:pPr>
        <w:spacing w:line="360" w:lineRule="auto"/>
        <w:jc w:val="both"/>
        <w:rPr>
          <w:sz w:val="16"/>
          <w:szCs w:val="16"/>
        </w:rPr>
      </w:pPr>
    </w:p>
    <w:p w:rsidR="004E2DB6" w:rsidRPr="00726400" w:rsidRDefault="00726400" w:rsidP="0078604C">
      <w:pPr>
        <w:spacing w:line="360" w:lineRule="auto"/>
        <w:jc w:val="both"/>
        <w:rPr>
          <w:b/>
        </w:rPr>
      </w:pPr>
      <w:r w:rsidRPr="00726400">
        <w:rPr>
          <w:b/>
        </w:rPr>
        <w:t xml:space="preserve">Factual background </w:t>
      </w:r>
    </w:p>
    <w:p w:rsidR="004E2DB6" w:rsidRPr="00E7504A" w:rsidRDefault="004E2DB6" w:rsidP="0078604C">
      <w:pPr>
        <w:spacing w:line="360" w:lineRule="auto"/>
        <w:jc w:val="both"/>
        <w:rPr>
          <w:sz w:val="2"/>
          <w:szCs w:val="2"/>
        </w:rPr>
      </w:pPr>
    </w:p>
    <w:p w:rsidR="00BF108F" w:rsidRDefault="00E7504A" w:rsidP="007634C6">
      <w:pPr>
        <w:spacing w:line="360" w:lineRule="auto"/>
        <w:ind w:firstLine="720"/>
        <w:jc w:val="both"/>
      </w:pPr>
      <w:r>
        <w:t xml:space="preserve">The </w:t>
      </w:r>
      <w:r w:rsidR="00446C70">
        <w:t>applicant a</w:t>
      </w:r>
      <w:r w:rsidR="00A857D2">
        <w:t>sserts</w:t>
      </w:r>
      <w:r w:rsidR="007634C6">
        <w:t xml:space="preserve"> that </w:t>
      </w:r>
      <w:r w:rsidR="00A857D2">
        <w:t>sometime in October 2021, the 1</w:t>
      </w:r>
      <w:r w:rsidR="00A857D2" w:rsidRPr="00A857D2">
        <w:rPr>
          <w:vertAlign w:val="superscript"/>
        </w:rPr>
        <w:t>st</w:t>
      </w:r>
      <w:r w:rsidR="00A857D2">
        <w:t xml:space="preserve"> respondent published a notice </w:t>
      </w:r>
      <w:r w:rsidR="00CF1EE9">
        <w:t>inviting bids for</w:t>
      </w:r>
      <w:r w:rsidR="00606FF6">
        <w:t xml:space="preserve"> the provi</w:t>
      </w:r>
      <w:r w:rsidR="00FD2DAE">
        <w:t>sion of SAP software support</w:t>
      </w:r>
      <w:r w:rsidR="00606FF6">
        <w:t xml:space="preserve"> services</w:t>
      </w:r>
      <w:r w:rsidR="00CF1CE6">
        <w:t xml:space="preserve"> to it</w:t>
      </w:r>
      <w:r w:rsidR="00606FF6">
        <w:t>.</w:t>
      </w:r>
      <w:r w:rsidR="00AC30A0">
        <w:t xml:space="preserve"> The tender number was ZPCR 29/2021</w:t>
      </w:r>
      <w:r w:rsidR="005B68B1">
        <w:t>. B</w:t>
      </w:r>
      <w:r w:rsidR="00D868C9">
        <w:t>idding procedures and requirements were also spelt out.</w:t>
      </w:r>
      <w:r w:rsidR="005B68B1">
        <w:t xml:space="preserve"> </w:t>
      </w:r>
      <w:r w:rsidR="00FA3BF8">
        <w:t>The applicant submitted it</w:t>
      </w:r>
      <w:r w:rsidR="00316D95">
        <w:t xml:space="preserve">s bid in response to the </w:t>
      </w:r>
      <w:r w:rsidR="00F06BDD">
        <w:t>aforesaid notice, so did the 3</w:t>
      </w:r>
      <w:r w:rsidR="00F06BDD" w:rsidRPr="00F06BDD">
        <w:rPr>
          <w:vertAlign w:val="superscript"/>
        </w:rPr>
        <w:t>rd</w:t>
      </w:r>
      <w:r w:rsidR="00F06BDD">
        <w:t xml:space="preserve"> respondent.</w:t>
      </w:r>
      <w:r w:rsidR="00F94BAA">
        <w:t xml:space="preserve"> Further, the applicant states that, on 9 November 2021 before t</w:t>
      </w:r>
      <w:r w:rsidR="00EA2E43">
        <w:t>he result of the bids</w:t>
      </w:r>
      <w:r w:rsidR="0036420F">
        <w:t xml:space="preserve"> was released, the applicant </w:t>
      </w:r>
      <w:r w:rsidR="001A5298">
        <w:t>gave a notice to the 2</w:t>
      </w:r>
      <w:r w:rsidR="001A5298" w:rsidRPr="001A5298">
        <w:rPr>
          <w:vertAlign w:val="superscript"/>
        </w:rPr>
        <w:t>nd</w:t>
      </w:r>
      <w:r w:rsidR="001A5298">
        <w:t xml:space="preserve"> respondent challenging a condition </w:t>
      </w:r>
      <w:r w:rsidR="00EA2E43">
        <w:t xml:space="preserve">of the tender </w:t>
      </w:r>
      <w:r w:rsidR="00E07E28">
        <w:t xml:space="preserve">on the basis that it was restrictive, </w:t>
      </w:r>
      <w:r w:rsidR="00877431">
        <w:t>unreasonable and anti-competition.</w:t>
      </w:r>
      <w:r w:rsidR="00CC6B19">
        <w:t xml:space="preserve"> The cause of complaint was clause 10</w:t>
      </w:r>
      <w:r w:rsidR="00183DB7">
        <w:t xml:space="preserve"> of the tender documents, which required bidders to be holders of a SAP licence.</w:t>
      </w:r>
      <w:r w:rsidR="00B344DA">
        <w:t xml:space="preserve"> In making the challenge, the a</w:t>
      </w:r>
      <w:r w:rsidR="00547640">
        <w:t>pplicant relied on section 73 (1</w:t>
      </w:r>
      <w:r w:rsidR="00B344DA">
        <w:t xml:space="preserve">) </w:t>
      </w:r>
      <w:r w:rsidR="00AE18B3">
        <w:t>of the Public Procurement Act.</w:t>
      </w:r>
      <w:r w:rsidR="00A16835">
        <w:t xml:space="preserve"> </w:t>
      </w:r>
      <w:r w:rsidR="00BF108F">
        <w:t>In its challenge, the applicant asked for the following to be done:</w:t>
      </w:r>
    </w:p>
    <w:p w:rsidR="00BF108F" w:rsidRPr="00DB38A5" w:rsidRDefault="00BF108F" w:rsidP="007634C6">
      <w:pPr>
        <w:spacing w:line="360" w:lineRule="auto"/>
        <w:ind w:firstLine="720"/>
        <w:jc w:val="both"/>
        <w:rPr>
          <w:sz w:val="16"/>
          <w:szCs w:val="16"/>
        </w:rPr>
      </w:pPr>
    </w:p>
    <w:p w:rsidR="00BF108F" w:rsidRDefault="006F24F3" w:rsidP="00BF108F">
      <w:pPr>
        <w:pStyle w:val="ListParagraph"/>
        <w:numPr>
          <w:ilvl w:val="0"/>
          <w:numId w:val="16"/>
        </w:numPr>
        <w:spacing w:line="360" w:lineRule="auto"/>
        <w:jc w:val="both"/>
      </w:pPr>
      <w:r>
        <w:t xml:space="preserve">The tender closing period of 18 November 2021 to be suspended </w:t>
      </w:r>
      <w:r w:rsidR="00D373CF">
        <w:t xml:space="preserve">in order for </w:t>
      </w:r>
      <w:r w:rsidR="00DB38A5">
        <w:t>the procuring entity (the 1</w:t>
      </w:r>
      <w:r w:rsidR="00DB38A5" w:rsidRPr="00DB38A5">
        <w:rPr>
          <w:vertAlign w:val="superscript"/>
        </w:rPr>
        <w:t>st</w:t>
      </w:r>
      <w:r w:rsidR="00DB38A5">
        <w:t xml:space="preserve"> respondent) </w:t>
      </w:r>
      <w:r w:rsidR="00153949">
        <w:t>to consider the challenge, respond to it and advise the outcome to all the interested parties.</w:t>
      </w:r>
    </w:p>
    <w:p w:rsidR="00A82F20" w:rsidRPr="00A82F20" w:rsidRDefault="00A82F20" w:rsidP="00A82F20">
      <w:pPr>
        <w:pStyle w:val="ListParagraph"/>
        <w:spacing w:line="360" w:lineRule="auto"/>
        <w:ind w:left="1080"/>
        <w:jc w:val="both"/>
        <w:rPr>
          <w:sz w:val="6"/>
          <w:szCs w:val="6"/>
        </w:rPr>
      </w:pPr>
    </w:p>
    <w:p w:rsidR="00FF27C7" w:rsidRDefault="00F52C0B" w:rsidP="00BF108F">
      <w:pPr>
        <w:pStyle w:val="ListParagraph"/>
        <w:numPr>
          <w:ilvl w:val="0"/>
          <w:numId w:val="16"/>
        </w:numPr>
        <w:spacing w:line="360" w:lineRule="auto"/>
        <w:jc w:val="both"/>
      </w:pPr>
      <w:r>
        <w:t xml:space="preserve">Clause 10 which requires bidders to </w:t>
      </w:r>
      <w:r w:rsidR="001D4DA6">
        <w:t>provide proof of being SAP certified</w:t>
      </w:r>
      <w:r w:rsidR="0083564F">
        <w:t xml:space="preserve"> partners</w:t>
      </w:r>
      <w:r w:rsidR="001D4DA6">
        <w:t xml:space="preserve"> to be </w:t>
      </w:r>
      <w:r w:rsidR="00A44951">
        <w:t>re</w:t>
      </w:r>
      <w:r w:rsidR="00DD67B1">
        <w:t xml:space="preserve">moved from the bid requirements, as that requirement contravenes section 28 (3) </w:t>
      </w:r>
      <w:r w:rsidR="008C4671">
        <w:t>(as read with section 4) of the Public Procurement Act.</w:t>
      </w:r>
    </w:p>
    <w:p w:rsidR="0048505E" w:rsidRDefault="0048505E" w:rsidP="0048505E">
      <w:pPr>
        <w:spacing w:line="360" w:lineRule="auto"/>
        <w:jc w:val="both"/>
      </w:pPr>
    </w:p>
    <w:p w:rsidR="0048505E" w:rsidRDefault="0048505E" w:rsidP="0048505E">
      <w:pPr>
        <w:spacing w:line="360" w:lineRule="auto"/>
        <w:jc w:val="both"/>
      </w:pPr>
      <w:r>
        <w:lastRenderedPageBreak/>
        <w:t xml:space="preserve">In the above respect, the applicant submits that </w:t>
      </w:r>
      <w:r w:rsidR="004760BC">
        <w:t>it has</w:t>
      </w:r>
      <w:r>
        <w:t xml:space="preserve"> previously provided the same software support services to the 1</w:t>
      </w:r>
      <w:r w:rsidRPr="00A16835">
        <w:rPr>
          <w:vertAlign w:val="superscript"/>
        </w:rPr>
        <w:t>st</w:t>
      </w:r>
      <w:r>
        <w:t xml:space="preserve"> respond</w:t>
      </w:r>
      <w:r w:rsidR="004760BC">
        <w:t>ent, in particular in 2020, but</w:t>
      </w:r>
      <w:r>
        <w:t xml:space="preserve"> no condition for </w:t>
      </w:r>
      <w:r w:rsidR="004760BC">
        <w:t xml:space="preserve">holding of </w:t>
      </w:r>
      <w:r>
        <w:t>a SAP licence</w:t>
      </w:r>
      <w:r w:rsidR="004760BC">
        <w:t xml:space="preserve"> was imposed</w:t>
      </w:r>
      <w:r>
        <w:t>.</w:t>
      </w:r>
    </w:p>
    <w:p w:rsidR="00BF108F" w:rsidRPr="000849E7" w:rsidRDefault="00BF108F" w:rsidP="000849E7">
      <w:pPr>
        <w:spacing w:line="360" w:lineRule="auto"/>
        <w:jc w:val="both"/>
        <w:rPr>
          <w:sz w:val="16"/>
          <w:szCs w:val="16"/>
        </w:rPr>
      </w:pPr>
    </w:p>
    <w:p w:rsidR="00F959D2" w:rsidRDefault="00A16835" w:rsidP="00CD4D49">
      <w:pPr>
        <w:spacing w:line="360" w:lineRule="auto"/>
        <w:ind w:firstLine="720"/>
        <w:jc w:val="both"/>
      </w:pPr>
      <w:r>
        <w:t>The appli</w:t>
      </w:r>
      <w:r w:rsidR="007D2806">
        <w:t xml:space="preserve">cant, additionally, </w:t>
      </w:r>
      <w:r w:rsidR="00144D7A">
        <w:t>made its case</w:t>
      </w:r>
      <w:r w:rsidR="00B97224">
        <w:t xml:space="preserve"> </w:t>
      </w:r>
      <w:r w:rsidR="00FA0B96">
        <w:t>for irregularity of the decision</w:t>
      </w:r>
      <w:r w:rsidR="002B49EB">
        <w:t xml:space="preserve"> to award</w:t>
      </w:r>
      <w:r w:rsidR="00FA0B96">
        <w:t xml:space="preserve"> the tender to the 3</w:t>
      </w:r>
      <w:r w:rsidR="00FA0B96" w:rsidRPr="00FA0B96">
        <w:rPr>
          <w:vertAlign w:val="superscript"/>
        </w:rPr>
        <w:t>rd</w:t>
      </w:r>
      <w:r w:rsidR="00FA0B96">
        <w:t xml:space="preserve"> respondent </w:t>
      </w:r>
      <w:r w:rsidR="00B97224">
        <w:t>in paragraphs 18 to 19 of its founding affidavit (at page 7 of the record</w:t>
      </w:r>
      <w:r w:rsidR="001727A1">
        <w:t>)</w:t>
      </w:r>
      <w:r w:rsidR="00B97224">
        <w:t xml:space="preserve"> </w:t>
      </w:r>
      <w:r w:rsidR="00FA0B96">
        <w:t xml:space="preserve">as follows. </w:t>
      </w:r>
      <w:r w:rsidR="00144D7A">
        <w:t xml:space="preserve"> </w:t>
      </w:r>
    </w:p>
    <w:p w:rsidR="00F959D2" w:rsidRPr="00993D09" w:rsidRDefault="00F959D2" w:rsidP="00CD4D49">
      <w:pPr>
        <w:spacing w:line="360" w:lineRule="auto"/>
        <w:ind w:firstLine="720"/>
        <w:jc w:val="both"/>
        <w:rPr>
          <w:sz w:val="10"/>
          <w:szCs w:val="10"/>
        </w:rPr>
      </w:pPr>
    </w:p>
    <w:p w:rsidR="0059367D" w:rsidRDefault="00E53F18" w:rsidP="002910A9">
      <w:pPr>
        <w:ind w:left="720"/>
        <w:jc w:val="both"/>
        <w:rPr>
          <w:sz w:val="22"/>
          <w:szCs w:val="22"/>
        </w:rPr>
      </w:pPr>
      <w:r w:rsidRPr="00954977">
        <w:rPr>
          <w:sz w:val="22"/>
          <w:szCs w:val="22"/>
        </w:rPr>
        <w:t>“</w:t>
      </w:r>
      <w:r w:rsidR="009D25EF" w:rsidRPr="00954977">
        <w:rPr>
          <w:sz w:val="22"/>
          <w:szCs w:val="22"/>
        </w:rPr>
        <w:t>18. Whilst a challenge was pending as against the tender process, the 1</w:t>
      </w:r>
      <w:r w:rsidR="009D25EF" w:rsidRPr="00954977">
        <w:rPr>
          <w:sz w:val="22"/>
          <w:szCs w:val="22"/>
          <w:vertAlign w:val="superscript"/>
        </w:rPr>
        <w:t>st</w:t>
      </w:r>
      <w:r w:rsidR="009D25EF" w:rsidRPr="00954977">
        <w:rPr>
          <w:sz w:val="22"/>
          <w:szCs w:val="22"/>
        </w:rPr>
        <w:t xml:space="preserve"> respondent proceeded to grant a tender to the 3</w:t>
      </w:r>
      <w:r w:rsidR="009D25EF" w:rsidRPr="00954977">
        <w:rPr>
          <w:sz w:val="22"/>
          <w:szCs w:val="22"/>
          <w:vertAlign w:val="superscript"/>
        </w:rPr>
        <w:t>rd</w:t>
      </w:r>
      <w:r w:rsidR="009D25EF" w:rsidRPr="00954977">
        <w:rPr>
          <w:sz w:val="22"/>
          <w:szCs w:val="22"/>
        </w:rPr>
        <w:t xml:space="preserve"> respondent. </w:t>
      </w:r>
      <w:r w:rsidRPr="00954977">
        <w:rPr>
          <w:sz w:val="22"/>
          <w:szCs w:val="22"/>
        </w:rPr>
        <w:t>This tender was made notwithstanding the pending process before the regulatory authority</w:t>
      </w:r>
      <w:r w:rsidR="00DD6289" w:rsidRPr="00954977">
        <w:rPr>
          <w:sz w:val="22"/>
          <w:szCs w:val="22"/>
        </w:rPr>
        <w:t>, the 2</w:t>
      </w:r>
      <w:r w:rsidR="00DD6289" w:rsidRPr="00954977">
        <w:rPr>
          <w:sz w:val="22"/>
          <w:szCs w:val="22"/>
          <w:vertAlign w:val="superscript"/>
        </w:rPr>
        <w:t>nd</w:t>
      </w:r>
      <w:r w:rsidR="00DD6289" w:rsidRPr="00954977">
        <w:rPr>
          <w:sz w:val="22"/>
          <w:szCs w:val="22"/>
        </w:rPr>
        <w:t xml:space="preserve"> respondent. This was unlawful and is an irregularity </w:t>
      </w:r>
      <w:r w:rsidR="0059367D" w:rsidRPr="00954977">
        <w:rPr>
          <w:sz w:val="22"/>
          <w:szCs w:val="22"/>
        </w:rPr>
        <w:t>that may not stand.</w:t>
      </w:r>
    </w:p>
    <w:p w:rsidR="002910A9" w:rsidRPr="009917E8" w:rsidRDefault="002910A9" w:rsidP="002910A9">
      <w:pPr>
        <w:ind w:left="720"/>
        <w:jc w:val="both"/>
        <w:rPr>
          <w:sz w:val="10"/>
          <w:szCs w:val="10"/>
        </w:rPr>
      </w:pPr>
    </w:p>
    <w:p w:rsidR="002910A9" w:rsidRPr="002910A9" w:rsidRDefault="002910A9" w:rsidP="002910A9">
      <w:pPr>
        <w:ind w:left="720"/>
        <w:jc w:val="both"/>
        <w:rPr>
          <w:sz w:val="22"/>
          <w:szCs w:val="22"/>
        </w:rPr>
      </w:pPr>
      <w:r>
        <w:rPr>
          <w:sz w:val="22"/>
          <w:szCs w:val="22"/>
        </w:rPr>
        <w:t>19. This application thus seeks the setting aside of these two find</w:t>
      </w:r>
      <w:r w:rsidR="00E06FF8">
        <w:rPr>
          <w:sz w:val="22"/>
          <w:szCs w:val="22"/>
        </w:rPr>
        <w:t>ings. First is the finding made by the 2</w:t>
      </w:r>
      <w:r w:rsidR="00E06FF8" w:rsidRPr="00E06FF8">
        <w:rPr>
          <w:sz w:val="22"/>
          <w:szCs w:val="22"/>
          <w:vertAlign w:val="superscript"/>
        </w:rPr>
        <w:t>nd</w:t>
      </w:r>
      <w:r w:rsidR="00E06FF8">
        <w:rPr>
          <w:sz w:val="22"/>
          <w:szCs w:val="22"/>
        </w:rPr>
        <w:t xml:space="preserve"> </w:t>
      </w:r>
      <w:r w:rsidR="008824C1">
        <w:rPr>
          <w:sz w:val="22"/>
          <w:szCs w:val="22"/>
        </w:rPr>
        <w:t xml:space="preserve">respondent on 22 February </w:t>
      </w:r>
      <w:r w:rsidR="00E06FF8">
        <w:rPr>
          <w:sz w:val="22"/>
          <w:szCs w:val="22"/>
        </w:rPr>
        <w:t>2022. Second is the</w:t>
      </w:r>
      <w:r w:rsidR="008824C1">
        <w:rPr>
          <w:sz w:val="22"/>
          <w:szCs w:val="22"/>
        </w:rPr>
        <w:t xml:space="preserve"> setting aside of the decision of the 1</w:t>
      </w:r>
      <w:r w:rsidR="008824C1" w:rsidRPr="008824C1">
        <w:rPr>
          <w:sz w:val="22"/>
          <w:szCs w:val="22"/>
          <w:vertAlign w:val="superscript"/>
        </w:rPr>
        <w:t>st</w:t>
      </w:r>
      <w:r w:rsidR="008824C1">
        <w:rPr>
          <w:sz w:val="22"/>
          <w:szCs w:val="22"/>
        </w:rPr>
        <w:t xml:space="preserve">  respondent to award a tender to the 3</w:t>
      </w:r>
      <w:r w:rsidR="008824C1" w:rsidRPr="008824C1">
        <w:rPr>
          <w:sz w:val="22"/>
          <w:szCs w:val="22"/>
          <w:vertAlign w:val="superscript"/>
        </w:rPr>
        <w:t>rd</w:t>
      </w:r>
      <w:r w:rsidR="008824C1">
        <w:rPr>
          <w:sz w:val="22"/>
          <w:szCs w:val="22"/>
        </w:rPr>
        <w:t xml:space="preserve"> respondent while a challenge was yet to be determined by the regulatory </w:t>
      </w:r>
      <w:r w:rsidR="006E614A">
        <w:rPr>
          <w:sz w:val="22"/>
          <w:szCs w:val="22"/>
        </w:rPr>
        <w:t>authority. The conduct of the 1</w:t>
      </w:r>
      <w:r w:rsidR="006E614A" w:rsidRPr="006E614A">
        <w:rPr>
          <w:sz w:val="22"/>
          <w:szCs w:val="22"/>
          <w:vertAlign w:val="superscript"/>
        </w:rPr>
        <w:t>st</w:t>
      </w:r>
      <w:r w:rsidR="006E614A">
        <w:rPr>
          <w:sz w:val="22"/>
          <w:szCs w:val="22"/>
        </w:rPr>
        <w:t xml:space="preserve"> respondent undermines the functionality of the 2</w:t>
      </w:r>
      <w:r w:rsidR="006E614A" w:rsidRPr="006E614A">
        <w:rPr>
          <w:sz w:val="22"/>
          <w:szCs w:val="22"/>
          <w:vertAlign w:val="superscript"/>
        </w:rPr>
        <w:t>nd</w:t>
      </w:r>
      <w:r w:rsidR="006E614A">
        <w:rPr>
          <w:sz w:val="22"/>
          <w:szCs w:val="22"/>
        </w:rPr>
        <w:t xml:space="preserve"> respondent and is at variance with the law”.</w:t>
      </w:r>
      <w:r w:rsidR="00E06FF8">
        <w:rPr>
          <w:sz w:val="22"/>
          <w:szCs w:val="22"/>
        </w:rPr>
        <w:t xml:space="preserve"> </w:t>
      </w:r>
    </w:p>
    <w:p w:rsidR="00973351" w:rsidRPr="00973351" w:rsidRDefault="00973351" w:rsidP="00973351">
      <w:pPr>
        <w:spacing w:line="360" w:lineRule="auto"/>
        <w:jc w:val="both"/>
        <w:rPr>
          <w:sz w:val="18"/>
          <w:szCs w:val="18"/>
        </w:rPr>
      </w:pPr>
    </w:p>
    <w:p w:rsidR="00A46275" w:rsidRDefault="00012931" w:rsidP="00CD4D49">
      <w:pPr>
        <w:spacing w:line="360" w:lineRule="auto"/>
        <w:ind w:firstLine="720"/>
        <w:jc w:val="both"/>
      </w:pPr>
      <w:r>
        <w:t>On 2 February 2022, t</w:t>
      </w:r>
      <w:r w:rsidR="00112DD4">
        <w:t>he 1</w:t>
      </w:r>
      <w:r w:rsidR="00112DD4" w:rsidRPr="00112DD4">
        <w:rPr>
          <w:vertAlign w:val="superscript"/>
        </w:rPr>
        <w:t>st</w:t>
      </w:r>
      <w:r w:rsidR="00112DD4">
        <w:t xml:space="preserve"> respondent gave a response to the challenge</w:t>
      </w:r>
      <w:r w:rsidR="00B36D46">
        <w:t>.</w:t>
      </w:r>
      <w:r w:rsidR="00A924CC">
        <w:t xml:space="preserve"> </w:t>
      </w:r>
      <w:r w:rsidR="00140B63">
        <w:t xml:space="preserve">It </w:t>
      </w:r>
      <w:r w:rsidR="0006155D">
        <w:t>con</w:t>
      </w:r>
      <w:r w:rsidR="0058139C">
        <w:t>firmed</w:t>
      </w:r>
      <w:r w:rsidR="00F06DCA">
        <w:t xml:space="preserve"> that it had been awarded the tender on 20 Dece</w:t>
      </w:r>
      <w:r w:rsidR="00140B63">
        <w:t>mber 2021,</w:t>
      </w:r>
      <w:r w:rsidR="0047483C">
        <w:t xml:space="preserve"> and raised two points </w:t>
      </w:r>
      <w:r w:rsidR="0047483C" w:rsidRPr="0047483C">
        <w:rPr>
          <w:i/>
        </w:rPr>
        <w:t>in limine</w:t>
      </w:r>
      <w:r w:rsidR="0047483C">
        <w:t>.</w:t>
      </w:r>
      <w:r w:rsidR="00140B63">
        <w:t xml:space="preserve"> </w:t>
      </w:r>
      <w:r w:rsidR="002D4E4F">
        <w:t xml:space="preserve">The first </w:t>
      </w:r>
      <w:r w:rsidR="00165252">
        <w:t xml:space="preserve">contention </w:t>
      </w:r>
      <w:r w:rsidR="002D4E4F">
        <w:t>was that there was no applicati</w:t>
      </w:r>
      <w:r w:rsidR="00452212">
        <w:t>on for review before the panel since the letter dated 16 November 2021 submitted by the applicant does not qualify as an application</w:t>
      </w:r>
      <w:r w:rsidR="007B5173">
        <w:t xml:space="preserve"> in terms of the Public Procurement Regulations (Statutory Instrument </w:t>
      </w:r>
      <w:r w:rsidR="005F3D42">
        <w:t xml:space="preserve">5 of 2018). </w:t>
      </w:r>
      <w:r w:rsidR="00600B09">
        <w:t>Secondly, the 1</w:t>
      </w:r>
      <w:r w:rsidR="00600B09" w:rsidRPr="00600B09">
        <w:rPr>
          <w:vertAlign w:val="superscript"/>
        </w:rPr>
        <w:t>st</w:t>
      </w:r>
      <w:r w:rsidR="00600B09">
        <w:t xml:space="preserve"> respondent</w:t>
      </w:r>
      <w:r w:rsidR="001C3F66">
        <w:t xml:space="preserve"> stated that </w:t>
      </w:r>
      <w:r w:rsidR="00A26DC8">
        <w:t xml:space="preserve">there was no valid </w:t>
      </w:r>
      <w:r w:rsidR="00F7648F">
        <w:t xml:space="preserve">challenge </w:t>
      </w:r>
      <w:r w:rsidR="001C3F66">
        <w:t xml:space="preserve">as </w:t>
      </w:r>
      <w:r w:rsidR="00D944B4">
        <w:t xml:space="preserve">the applicant had not paid security for costs. </w:t>
      </w:r>
      <w:r w:rsidR="00325B0C">
        <w:t>On the merits, the 1</w:t>
      </w:r>
      <w:r w:rsidR="00325B0C" w:rsidRPr="00325B0C">
        <w:rPr>
          <w:vertAlign w:val="superscript"/>
        </w:rPr>
        <w:t>st</w:t>
      </w:r>
      <w:r w:rsidR="00325B0C">
        <w:t xml:space="preserve"> </w:t>
      </w:r>
      <w:r w:rsidR="00931020">
        <w:t>respondent’s submission is that the contract was awarded on 9 December 2021</w:t>
      </w:r>
      <w:r w:rsidR="00CB5A33">
        <w:t xml:space="preserve"> when there was no valid challenge before it. </w:t>
      </w:r>
    </w:p>
    <w:p w:rsidR="00926C40" w:rsidRDefault="00E60184" w:rsidP="00CD4D49">
      <w:pPr>
        <w:spacing w:line="360" w:lineRule="auto"/>
        <w:ind w:firstLine="720"/>
        <w:jc w:val="both"/>
      </w:pPr>
      <w:r>
        <w:t>In the application before me,</w:t>
      </w:r>
      <w:r w:rsidR="00A46275">
        <w:t xml:space="preserve"> in paragraph 20 of the applicant’s founding affidavit (at page 7 of the record), </w:t>
      </w:r>
      <w:r w:rsidR="00846563">
        <w:t xml:space="preserve">it stressed that the decision of 22 February 2022 was made by a review panel </w:t>
      </w:r>
      <w:r w:rsidR="00EE045F">
        <w:t xml:space="preserve">that was not properly constituted, and as such could not pass </w:t>
      </w:r>
      <w:r w:rsidR="005C0034">
        <w:t>a lawful decision on the dispute between the parties.</w:t>
      </w:r>
      <w:r w:rsidR="009965F1">
        <w:t xml:space="preserve"> The applicant, in paragraph 21, proceeded to explain its insistency that the </w:t>
      </w:r>
      <w:r w:rsidR="000D13E9">
        <w:t>review p</w:t>
      </w:r>
      <w:r w:rsidR="00926C40">
        <w:t>anel was not properly constituted, in the following language:</w:t>
      </w:r>
    </w:p>
    <w:p w:rsidR="00926C40" w:rsidRPr="0077000E" w:rsidRDefault="00926C40" w:rsidP="00CD4D49">
      <w:pPr>
        <w:spacing w:line="360" w:lineRule="auto"/>
        <w:ind w:firstLine="720"/>
        <w:jc w:val="both"/>
        <w:rPr>
          <w:sz w:val="10"/>
          <w:szCs w:val="10"/>
        </w:rPr>
      </w:pPr>
    </w:p>
    <w:p w:rsidR="009965F1" w:rsidRPr="0077000E" w:rsidRDefault="00F22FAB" w:rsidP="0077000E">
      <w:pPr>
        <w:ind w:left="720"/>
        <w:jc w:val="both"/>
        <w:rPr>
          <w:sz w:val="22"/>
          <w:szCs w:val="22"/>
        </w:rPr>
      </w:pPr>
      <w:r w:rsidRPr="0077000E">
        <w:rPr>
          <w:sz w:val="22"/>
          <w:szCs w:val="22"/>
        </w:rPr>
        <w:t xml:space="preserve">“Section 75 of the Public Procurement and Disposal of Public Assets Act </w:t>
      </w:r>
      <w:r w:rsidR="00BA7E11" w:rsidRPr="0077000E">
        <w:rPr>
          <w:sz w:val="22"/>
          <w:szCs w:val="22"/>
        </w:rPr>
        <w:t>governs the question of the constitution of a review panel.</w:t>
      </w:r>
      <w:r w:rsidR="00E60184" w:rsidRPr="0077000E">
        <w:rPr>
          <w:sz w:val="22"/>
          <w:szCs w:val="22"/>
        </w:rPr>
        <w:t xml:space="preserve"> </w:t>
      </w:r>
      <w:r w:rsidR="001E4439" w:rsidRPr="0077000E">
        <w:rPr>
          <w:sz w:val="22"/>
          <w:szCs w:val="22"/>
        </w:rPr>
        <w:t>In terms of this provision, the review panel must have an individual who is a legal practitioner in terms of the Legal Practitioners Act</w:t>
      </w:r>
      <w:r w:rsidR="00DE3D39" w:rsidRPr="0077000E">
        <w:rPr>
          <w:sz w:val="22"/>
          <w:szCs w:val="22"/>
        </w:rPr>
        <w:t>,</w:t>
      </w:r>
      <w:r w:rsidR="00363C7C">
        <w:rPr>
          <w:sz w:val="22"/>
          <w:szCs w:val="22"/>
        </w:rPr>
        <w:t xml:space="preserve"> a member of the civil service and a person who has expertise </w:t>
      </w:r>
      <w:r w:rsidR="00E26870">
        <w:rPr>
          <w:sz w:val="22"/>
          <w:szCs w:val="22"/>
        </w:rPr>
        <w:t xml:space="preserve">as regards to the field in which the dispute is rooted. This provision </w:t>
      </w:r>
      <w:r w:rsidR="00012C1A">
        <w:rPr>
          <w:sz w:val="22"/>
          <w:szCs w:val="22"/>
        </w:rPr>
        <w:t xml:space="preserve">also makes provision </w:t>
      </w:r>
      <w:r w:rsidR="00E26870">
        <w:rPr>
          <w:sz w:val="22"/>
          <w:szCs w:val="22"/>
        </w:rPr>
        <w:t xml:space="preserve">for an individual drawn from </w:t>
      </w:r>
      <w:r w:rsidR="0074259A">
        <w:rPr>
          <w:sz w:val="22"/>
          <w:szCs w:val="22"/>
        </w:rPr>
        <w:t xml:space="preserve">the organization(s) representing </w:t>
      </w:r>
      <w:r w:rsidR="0074259A">
        <w:rPr>
          <w:sz w:val="22"/>
          <w:szCs w:val="22"/>
        </w:rPr>
        <w:lastRenderedPageBreak/>
        <w:t>professional associations or bodies or commercial or industrial entities concerned with the dispute.</w:t>
      </w:r>
      <w:r w:rsidR="00DE3D39" w:rsidRPr="0077000E">
        <w:rPr>
          <w:sz w:val="22"/>
          <w:szCs w:val="22"/>
        </w:rPr>
        <w:t xml:space="preserve"> </w:t>
      </w:r>
      <w:r w:rsidR="00012C1A">
        <w:rPr>
          <w:sz w:val="22"/>
          <w:szCs w:val="22"/>
        </w:rPr>
        <w:t>This is provided for in terms of section 75 (2) of the Public Procurement and Disposal of Public Assets Act</w:t>
      </w:r>
      <w:r w:rsidR="007B3EB3">
        <w:rPr>
          <w:sz w:val="22"/>
          <w:szCs w:val="22"/>
        </w:rPr>
        <w:t>”.</w:t>
      </w:r>
    </w:p>
    <w:p w:rsidR="009965F1" w:rsidRDefault="009965F1" w:rsidP="00CD4D49">
      <w:pPr>
        <w:spacing w:line="360" w:lineRule="auto"/>
        <w:ind w:firstLine="720"/>
        <w:jc w:val="both"/>
      </w:pPr>
    </w:p>
    <w:p w:rsidR="005E0B53" w:rsidRDefault="007B3EB3" w:rsidP="00CD4D49">
      <w:pPr>
        <w:spacing w:line="360" w:lineRule="auto"/>
        <w:ind w:firstLine="720"/>
        <w:jc w:val="both"/>
      </w:pPr>
      <w:r>
        <w:t xml:space="preserve">In addressing the averments contained above, </w:t>
      </w:r>
      <w:r w:rsidR="00E60184">
        <w:t>the 1</w:t>
      </w:r>
      <w:r w:rsidR="00E60184" w:rsidRPr="00E60184">
        <w:rPr>
          <w:vertAlign w:val="superscript"/>
        </w:rPr>
        <w:t>st</w:t>
      </w:r>
      <w:r w:rsidR="00E60184">
        <w:t xml:space="preserve"> respo</w:t>
      </w:r>
      <w:r>
        <w:t xml:space="preserve">ndent averred that </w:t>
      </w:r>
      <w:r w:rsidR="002B43D9">
        <w:t xml:space="preserve">during the hearing on 4 February </w:t>
      </w:r>
      <w:r w:rsidR="00A6197C">
        <w:t xml:space="preserve">2022, </w:t>
      </w:r>
      <w:r w:rsidR="00DA2480">
        <w:t>the</w:t>
      </w:r>
      <w:r w:rsidR="00CD4D49">
        <w:t xml:space="preserve"> chairperson </w:t>
      </w:r>
      <w:r w:rsidR="00DA2480">
        <w:t xml:space="preserve">of the review panel </w:t>
      </w:r>
      <w:r w:rsidR="00E01A34">
        <w:t xml:space="preserve">maintained that it had been appointed in terms of section 75 (4) </w:t>
      </w:r>
      <w:r w:rsidR="00F35810">
        <w:t>of the Public Procurement Act.</w:t>
      </w:r>
      <w:r w:rsidR="00B847C1">
        <w:t xml:space="preserve"> When asked </w:t>
      </w:r>
      <w:r w:rsidR="00022EF6">
        <w:t xml:space="preserve">by the applicant </w:t>
      </w:r>
      <w:r w:rsidR="00B847C1">
        <w:t>how each member was appointed,</w:t>
      </w:r>
      <w:r w:rsidR="00022EF6">
        <w:t xml:space="preserve"> the 2</w:t>
      </w:r>
      <w:r w:rsidR="00022EF6" w:rsidRPr="00022EF6">
        <w:rPr>
          <w:vertAlign w:val="superscript"/>
        </w:rPr>
        <w:t>nd</w:t>
      </w:r>
      <w:r w:rsidR="00022EF6">
        <w:t xml:space="preserve"> respondent wrote a letter dated 9 February 2022</w:t>
      </w:r>
      <w:r w:rsidR="00C80EB0">
        <w:t xml:space="preserve"> in the following terms:</w:t>
      </w:r>
    </w:p>
    <w:p w:rsidR="005E0B53" w:rsidRPr="00B93F71" w:rsidRDefault="005E0B53" w:rsidP="00CD4D49">
      <w:pPr>
        <w:spacing w:line="360" w:lineRule="auto"/>
        <w:ind w:firstLine="720"/>
        <w:jc w:val="both"/>
        <w:rPr>
          <w:sz w:val="12"/>
          <w:szCs w:val="12"/>
        </w:rPr>
      </w:pPr>
    </w:p>
    <w:p w:rsidR="005E0B53" w:rsidRPr="00DD1472" w:rsidRDefault="005E0B53" w:rsidP="00CD4D49">
      <w:pPr>
        <w:spacing w:line="360" w:lineRule="auto"/>
        <w:ind w:firstLine="720"/>
        <w:jc w:val="both"/>
        <w:rPr>
          <w:sz w:val="22"/>
          <w:szCs w:val="22"/>
        </w:rPr>
      </w:pPr>
      <w:r w:rsidRPr="00DD1472">
        <w:rPr>
          <w:sz w:val="22"/>
          <w:szCs w:val="22"/>
        </w:rPr>
        <w:t>“Dear Sirs</w:t>
      </w:r>
    </w:p>
    <w:p w:rsidR="00483E55" w:rsidRPr="00DD1472" w:rsidRDefault="005E0B53" w:rsidP="000B3C15">
      <w:pPr>
        <w:ind w:left="720"/>
        <w:jc w:val="both"/>
        <w:rPr>
          <w:b/>
          <w:sz w:val="22"/>
          <w:szCs w:val="22"/>
        </w:rPr>
      </w:pPr>
      <w:r w:rsidRPr="00DD1472">
        <w:rPr>
          <w:b/>
          <w:sz w:val="22"/>
          <w:szCs w:val="22"/>
        </w:rPr>
        <w:t xml:space="preserve">RE: </w:t>
      </w:r>
      <w:r w:rsidR="005B3D28" w:rsidRPr="00DD1472">
        <w:rPr>
          <w:b/>
          <w:sz w:val="22"/>
          <w:szCs w:val="22"/>
        </w:rPr>
        <w:t>CASE No. PRAZ/RP/02/2021 TENDER FRO THE PROVISION OF SAP SOFTWARE SERVICES FOR ZIMDEF</w:t>
      </w:r>
      <w:r w:rsidR="00B847C1" w:rsidRPr="00DD1472">
        <w:rPr>
          <w:b/>
          <w:sz w:val="22"/>
          <w:szCs w:val="22"/>
        </w:rPr>
        <w:t xml:space="preserve"> </w:t>
      </w:r>
    </w:p>
    <w:p w:rsidR="000B3C15" w:rsidRPr="007A25F2" w:rsidRDefault="000B3C15" w:rsidP="000B3C15">
      <w:pPr>
        <w:ind w:left="720"/>
        <w:jc w:val="both"/>
        <w:rPr>
          <w:b/>
          <w:sz w:val="12"/>
          <w:szCs w:val="12"/>
        </w:rPr>
      </w:pPr>
    </w:p>
    <w:p w:rsidR="000B3C15" w:rsidRDefault="00F128EE" w:rsidP="000B3C15">
      <w:pPr>
        <w:ind w:left="720"/>
        <w:jc w:val="both"/>
        <w:rPr>
          <w:sz w:val="22"/>
          <w:szCs w:val="22"/>
        </w:rPr>
      </w:pPr>
      <w:r w:rsidRPr="00DD1472">
        <w:rPr>
          <w:sz w:val="22"/>
          <w:szCs w:val="22"/>
        </w:rPr>
        <w:t>Reference is made to the above matter</w:t>
      </w:r>
      <w:r w:rsidR="00A42ED2" w:rsidRPr="00DD1472">
        <w:rPr>
          <w:sz w:val="22"/>
          <w:szCs w:val="22"/>
        </w:rPr>
        <w:t xml:space="preserve"> and to your letter dated 4 February 2022.</w:t>
      </w:r>
    </w:p>
    <w:p w:rsidR="00980CB3" w:rsidRPr="007A25F2" w:rsidRDefault="00980CB3" w:rsidP="000B3C15">
      <w:pPr>
        <w:ind w:left="720"/>
        <w:jc w:val="both"/>
        <w:rPr>
          <w:sz w:val="12"/>
          <w:szCs w:val="12"/>
        </w:rPr>
      </w:pPr>
    </w:p>
    <w:p w:rsidR="00980CB3" w:rsidRDefault="00637247" w:rsidP="000B3C15">
      <w:pPr>
        <w:ind w:left="720"/>
        <w:jc w:val="both"/>
        <w:rPr>
          <w:sz w:val="22"/>
          <w:szCs w:val="22"/>
        </w:rPr>
      </w:pPr>
      <w:r>
        <w:rPr>
          <w:sz w:val="22"/>
          <w:szCs w:val="22"/>
        </w:rPr>
        <w:t>The s</w:t>
      </w:r>
      <w:r w:rsidR="00980CB3">
        <w:rPr>
          <w:sz w:val="22"/>
          <w:szCs w:val="22"/>
        </w:rPr>
        <w:t xml:space="preserve">ecretariat advises that the review panel hearing for the above mentioned matter is properly constituted in accordance with section </w:t>
      </w:r>
      <w:r w:rsidR="00C17B39">
        <w:rPr>
          <w:sz w:val="22"/>
          <w:szCs w:val="22"/>
        </w:rPr>
        <w:t xml:space="preserve">75 (4) of the Public Procurement and Disposal of Public Assets </w:t>
      </w:r>
      <w:r w:rsidR="00EB3A33">
        <w:rPr>
          <w:sz w:val="22"/>
          <w:szCs w:val="22"/>
        </w:rPr>
        <w:t xml:space="preserve">(PPDPA) </w:t>
      </w:r>
      <w:r w:rsidR="00C17B39">
        <w:rPr>
          <w:sz w:val="22"/>
          <w:szCs w:val="22"/>
        </w:rPr>
        <w:t xml:space="preserve">Act </w:t>
      </w:r>
      <w:r w:rsidR="00EB3A33">
        <w:rPr>
          <w:sz w:val="22"/>
          <w:szCs w:val="22"/>
        </w:rPr>
        <w:t>[Chapter 22:23].</w:t>
      </w:r>
    </w:p>
    <w:p w:rsidR="00EB3A33" w:rsidRPr="007A25F2" w:rsidRDefault="00EB3A33" w:rsidP="000B3C15">
      <w:pPr>
        <w:ind w:left="720"/>
        <w:jc w:val="both"/>
        <w:rPr>
          <w:sz w:val="12"/>
          <w:szCs w:val="12"/>
        </w:rPr>
      </w:pPr>
    </w:p>
    <w:p w:rsidR="00EB3A33" w:rsidRDefault="00EB3A33" w:rsidP="000B3C15">
      <w:pPr>
        <w:ind w:left="720"/>
        <w:jc w:val="both"/>
        <w:rPr>
          <w:sz w:val="22"/>
          <w:szCs w:val="22"/>
        </w:rPr>
      </w:pPr>
      <w:r>
        <w:rPr>
          <w:sz w:val="22"/>
          <w:szCs w:val="22"/>
        </w:rPr>
        <w:t>Mr J Mutizwa, the chair</w:t>
      </w:r>
      <w:r w:rsidR="00637247">
        <w:rPr>
          <w:sz w:val="22"/>
          <w:szCs w:val="22"/>
        </w:rPr>
        <w:t>person of the panel was appoint</w:t>
      </w:r>
      <w:r w:rsidR="00595FF4">
        <w:rPr>
          <w:sz w:val="22"/>
          <w:szCs w:val="22"/>
        </w:rPr>
        <w:t>ed in accordance with section 75 (4) (a) of the PPDPA Act.</w:t>
      </w:r>
    </w:p>
    <w:p w:rsidR="00595FF4" w:rsidRDefault="00595FF4" w:rsidP="000B3C15">
      <w:pPr>
        <w:ind w:left="720"/>
        <w:jc w:val="both"/>
        <w:rPr>
          <w:sz w:val="22"/>
          <w:szCs w:val="22"/>
        </w:rPr>
      </w:pPr>
      <w:r>
        <w:rPr>
          <w:sz w:val="22"/>
          <w:szCs w:val="22"/>
        </w:rPr>
        <w:t xml:space="preserve">Mr J </w:t>
      </w:r>
      <w:r w:rsidR="000571EE">
        <w:rPr>
          <w:sz w:val="22"/>
          <w:szCs w:val="22"/>
        </w:rPr>
        <w:t>Mambara was duly appointed as a member of the panel in line with section 75 (4) (b) of the PPDPA Act.</w:t>
      </w:r>
    </w:p>
    <w:p w:rsidR="000571EE" w:rsidRDefault="004F1E2F" w:rsidP="000B3C15">
      <w:pPr>
        <w:ind w:left="720"/>
        <w:jc w:val="both"/>
        <w:rPr>
          <w:sz w:val="22"/>
          <w:szCs w:val="22"/>
        </w:rPr>
      </w:pPr>
      <w:r>
        <w:rPr>
          <w:sz w:val="22"/>
          <w:szCs w:val="22"/>
        </w:rPr>
        <w:t>Mr M Nkomo was appointed as a member of the panel in accordance with section 75 (4) (c) of the PPDPA Act.</w:t>
      </w:r>
    </w:p>
    <w:p w:rsidR="004F1E2F" w:rsidRPr="007A25F2" w:rsidRDefault="004F1E2F" w:rsidP="000B3C15">
      <w:pPr>
        <w:ind w:left="720"/>
        <w:jc w:val="both"/>
        <w:rPr>
          <w:sz w:val="12"/>
          <w:szCs w:val="12"/>
        </w:rPr>
      </w:pPr>
    </w:p>
    <w:p w:rsidR="004F1E2F" w:rsidRDefault="004F1E2F" w:rsidP="000B3C15">
      <w:pPr>
        <w:ind w:left="720"/>
        <w:jc w:val="both"/>
        <w:rPr>
          <w:sz w:val="22"/>
          <w:szCs w:val="22"/>
        </w:rPr>
      </w:pPr>
      <w:r>
        <w:rPr>
          <w:sz w:val="22"/>
          <w:szCs w:val="22"/>
        </w:rPr>
        <w:t>Please be guided accordingly.</w:t>
      </w:r>
    </w:p>
    <w:p w:rsidR="004F1E2F" w:rsidRPr="007A25F2" w:rsidRDefault="004F1E2F" w:rsidP="000B3C15">
      <w:pPr>
        <w:ind w:left="720"/>
        <w:jc w:val="both"/>
        <w:rPr>
          <w:sz w:val="12"/>
          <w:szCs w:val="12"/>
        </w:rPr>
      </w:pPr>
    </w:p>
    <w:p w:rsidR="004F1E2F" w:rsidRDefault="004F1E2F" w:rsidP="000B3C15">
      <w:pPr>
        <w:ind w:left="720"/>
        <w:jc w:val="both"/>
        <w:rPr>
          <w:sz w:val="22"/>
          <w:szCs w:val="22"/>
        </w:rPr>
      </w:pPr>
      <w:r>
        <w:rPr>
          <w:sz w:val="22"/>
          <w:szCs w:val="22"/>
        </w:rPr>
        <w:t>Yours sincerely</w:t>
      </w:r>
    </w:p>
    <w:p w:rsidR="004F1E2F" w:rsidRDefault="004F1E2F" w:rsidP="000B3C15">
      <w:pPr>
        <w:ind w:left="720"/>
        <w:jc w:val="both"/>
        <w:rPr>
          <w:sz w:val="22"/>
          <w:szCs w:val="22"/>
        </w:rPr>
      </w:pPr>
    </w:p>
    <w:p w:rsidR="004F1E2F" w:rsidRDefault="004F1E2F" w:rsidP="000B3C15">
      <w:pPr>
        <w:ind w:left="720"/>
        <w:jc w:val="both"/>
        <w:rPr>
          <w:sz w:val="22"/>
          <w:szCs w:val="22"/>
        </w:rPr>
      </w:pPr>
      <w:r>
        <w:rPr>
          <w:sz w:val="22"/>
          <w:szCs w:val="22"/>
        </w:rPr>
        <w:t>C Ruswa</w:t>
      </w:r>
    </w:p>
    <w:p w:rsidR="004F1E2F" w:rsidRPr="00D943DE" w:rsidRDefault="004F1E2F" w:rsidP="000B3C15">
      <w:pPr>
        <w:ind w:left="720"/>
        <w:jc w:val="both"/>
        <w:rPr>
          <w:sz w:val="22"/>
          <w:szCs w:val="22"/>
          <w:u w:val="single"/>
        </w:rPr>
      </w:pPr>
      <w:r w:rsidRPr="00D943DE">
        <w:rPr>
          <w:sz w:val="22"/>
          <w:szCs w:val="22"/>
          <w:u w:val="single"/>
        </w:rPr>
        <w:t>Chief Executive Officer</w:t>
      </w:r>
    </w:p>
    <w:p w:rsidR="00D943DE" w:rsidRPr="00D943DE" w:rsidRDefault="00D943DE" w:rsidP="000B3C15">
      <w:pPr>
        <w:ind w:left="720"/>
        <w:jc w:val="both"/>
        <w:rPr>
          <w:b/>
          <w:sz w:val="22"/>
          <w:szCs w:val="22"/>
        </w:rPr>
      </w:pPr>
      <w:r w:rsidRPr="00D943DE">
        <w:rPr>
          <w:b/>
          <w:sz w:val="22"/>
          <w:szCs w:val="22"/>
        </w:rPr>
        <w:t>PROCUREMENT REGULATORY AUTHORITY OF ZIMBABWE</w:t>
      </w:r>
      <w:r w:rsidR="003D299C">
        <w:rPr>
          <w:b/>
          <w:sz w:val="22"/>
          <w:szCs w:val="22"/>
        </w:rPr>
        <w:t>”</w:t>
      </w:r>
    </w:p>
    <w:p w:rsidR="00EB3A33" w:rsidRDefault="00EB3A33" w:rsidP="000B3C15">
      <w:pPr>
        <w:ind w:left="720"/>
        <w:jc w:val="both"/>
        <w:rPr>
          <w:sz w:val="22"/>
          <w:szCs w:val="22"/>
        </w:rPr>
      </w:pPr>
    </w:p>
    <w:p w:rsidR="00A42ED2" w:rsidRDefault="00A24D2B" w:rsidP="00AB2952">
      <w:pPr>
        <w:spacing w:line="360" w:lineRule="auto"/>
        <w:jc w:val="both"/>
      </w:pPr>
      <w:r w:rsidRPr="00A24D2B">
        <w:t xml:space="preserve">In </w:t>
      </w:r>
      <w:r>
        <w:t>fact, in paragraph 6.1 of the 1</w:t>
      </w:r>
      <w:r w:rsidRPr="00A24D2B">
        <w:rPr>
          <w:vertAlign w:val="superscript"/>
        </w:rPr>
        <w:t>st</w:t>
      </w:r>
      <w:r>
        <w:t xml:space="preserve"> respondent’s opposing affidavit, </w:t>
      </w:r>
      <w:r w:rsidR="00AB2952">
        <w:t xml:space="preserve">which appears at page 236 of the </w:t>
      </w:r>
      <w:r w:rsidR="00D63916">
        <w:t xml:space="preserve">record, the </w:t>
      </w:r>
      <w:r w:rsidR="00DA0930">
        <w:t>1</w:t>
      </w:r>
      <w:r w:rsidR="00DA0930" w:rsidRPr="00DA0930">
        <w:rPr>
          <w:vertAlign w:val="superscript"/>
        </w:rPr>
        <w:t>st</w:t>
      </w:r>
      <w:r w:rsidR="00DA0930">
        <w:t xml:space="preserve"> respondent reiterates what is contained in the above letter.</w:t>
      </w:r>
      <w:r w:rsidR="003A7D71">
        <w:t xml:space="preserve"> It says the following:</w:t>
      </w:r>
    </w:p>
    <w:p w:rsidR="003A7D71" w:rsidRDefault="003A7D71" w:rsidP="00AB2952">
      <w:pPr>
        <w:spacing w:line="360" w:lineRule="auto"/>
        <w:jc w:val="both"/>
      </w:pPr>
    </w:p>
    <w:p w:rsidR="003A7D71" w:rsidRDefault="003A7D71" w:rsidP="00C06227">
      <w:pPr>
        <w:ind w:left="720"/>
        <w:jc w:val="both"/>
        <w:rPr>
          <w:sz w:val="22"/>
          <w:szCs w:val="22"/>
        </w:rPr>
      </w:pPr>
      <w:r w:rsidRPr="00C06227">
        <w:rPr>
          <w:sz w:val="22"/>
          <w:szCs w:val="22"/>
        </w:rPr>
        <w:t xml:space="preserve">“The applicant cannot be allowed to merely assume, it has placed nothing before this honourable </w:t>
      </w:r>
      <w:r w:rsidR="008E5F4B" w:rsidRPr="00C06227">
        <w:rPr>
          <w:sz w:val="22"/>
          <w:szCs w:val="22"/>
        </w:rPr>
        <w:t xml:space="preserve">court to show how </w:t>
      </w:r>
      <w:r w:rsidR="00255D8B" w:rsidRPr="00C06227">
        <w:rPr>
          <w:sz w:val="22"/>
          <w:szCs w:val="22"/>
        </w:rPr>
        <w:t xml:space="preserve">the members of the review panel are not in compliance with the provisions of the Act. Annexure “C” attached above clearly shows how each member of the panel was appointed in full compliance </w:t>
      </w:r>
      <w:r w:rsidR="00C06227" w:rsidRPr="00C06227">
        <w:rPr>
          <w:sz w:val="22"/>
          <w:szCs w:val="22"/>
        </w:rPr>
        <w:t>with the provisions of the Act”.</w:t>
      </w:r>
    </w:p>
    <w:p w:rsidR="00A22475" w:rsidRDefault="00A22475" w:rsidP="00A22475">
      <w:pPr>
        <w:jc w:val="both"/>
        <w:rPr>
          <w:sz w:val="22"/>
          <w:szCs w:val="22"/>
        </w:rPr>
      </w:pPr>
    </w:p>
    <w:p w:rsidR="00A22475" w:rsidRDefault="00A22475" w:rsidP="00A22475">
      <w:pPr>
        <w:jc w:val="both"/>
        <w:rPr>
          <w:sz w:val="22"/>
          <w:szCs w:val="22"/>
        </w:rPr>
      </w:pPr>
    </w:p>
    <w:p w:rsidR="00A22475" w:rsidRDefault="00A22475" w:rsidP="00A22475">
      <w:pPr>
        <w:jc w:val="both"/>
        <w:rPr>
          <w:sz w:val="22"/>
          <w:szCs w:val="22"/>
        </w:rPr>
      </w:pPr>
    </w:p>
    <w:p w:rsidR="00A22475" w:rsidRDefault="00A22475" w:rsidP="00A22475">
      <w:pPr>
        <w:spacing w:line="360" w:lineRule="auto"/>
        <w:jc w:val="both"/>
      </w:pPr>
      <w:r w:rsidRPr="00A22475">
        <w:lastRenderedPageBreak/>
        <w:tab/>
        <w:t xml:space="preserve">At the hearing before me, the parties </w:t>
      </w:r>
      <w:r>
        <w:t xml:space="preserve">agreed to adopt a rolled up approached which entailed arguing the points </w:t>
      </w:r>
      <w:r w:rsidRPr="001372B8">
        <w:rPr>
          <w:i/>
        </w:rPr>
        <w:t>in limine</w:t>
      </w:r>
      <w:r>
        <w:t xml:space="preserve"> at the same time as the </w:t>
      </w:r>
      <w:r w:rsidR="001372B8">
        <w:t>merits, then leaving it to the court to render a judgment on everything at the end of the hearing.</w:t>
      </w:r>
      <w:r w:rsidR="00EB28E5">
        <w:t xml:space="preserve"> </w:t>
      </w:r>
      <w:r w:rsidR="00EB28E5" w:rsidRPr="009060BD">
        <w:rPr>
          <w:i/>
        </w:rPr>
        <w:t>Ms M R Zvimba</w:t>
      </w:r>
      <w:r w:rsidR="00EB28E5">
        <w:t>, despite her client (the 2</w:t>
      </w:r>
      <w:r w:rsidR="00EB28E5" w:rsidRPr="00EB28E5">
        <w:rPr>
          <w:vertAlign w:val="superscript"/>
        </w:rPr>
        <w:t>nd</w:t>
      </w:r>
      <w:r w:rsidR="00EB28E5">
        <w:t xml:space="preserve"> respondent) </w:t>
      </w:r>
      <w:r w:rsidR="009060BD">
        <w:t>being barred for</w:t>
      </w:r>
      <w:r w:rsidR="00B553DF">
        <w:t xml:space="preserve"> failure to file heads of argument</w:t>
      </w:r>
      <w:r w:rsidR="009060BD">
        <w:t xml:space="preserve">, </w:t>
      </w:r>
      <w:r w:rsidR="00353742">
        <w:t>merely made a brief appearance to advise that the court that the 2</w:t>
      </w:r>
      <w:r w:rsidR="00353742" w:rsidRPr="00353742">
        <w:rPr>
          <w:vertAlign w:val="superscript"/>
        </w:rPr>
        <w:t>nd</w:t>
      </w:r>
      <w:r w:rsidR="00353742">
        <w:t xml:space="preserve"> respondent had no intention to argue the matter and would abi</w:t>
      </w:r>
      <w:r w:rsidR="00D109F3">
        <w:t xml:space="preserve">de by the </w:t>
      </w:r>
      <w:r w:rsidR="001236A4">
        <w:t xml:space="preserve">court’s decision </w:t>
      </w:r>
      <w:r w:rsidR="00D109F3">
        <w:t xml:space="preserve">and was excused </w:t>
      </w:r>
      <w:r w:rsidR="00184EF8">
        <w:t xml:space="preserve">from </w:t>
      </w:r>
      <w:r w:rsidR="001236A4">
        <w:t>p</w:t>
      </w:r>
      <w:r w:rsidR="00184EF8">
        <w:t>articipating</w:t>
      </w:r>
      <w:r w:rsidR="001236A4">
        <w:t xml:space="preserve"> in the proceedings.</w:t>
      </w:r>
      <w:r w:rsidR="008D38FE">
        <w:t xml:space="preserve"> </w:t>
      </w:r>
    </w:p>
    <w:p w:rsidR="008D38FE" w:rsidRDefault="008D38FE" w:rsidP="00A22475">
      <w:pPr>
        <w:spacing w:line="360" w:lineRule="auto"/>
        <w:jc w:val="both"/>
      </w:pPr>
    </w:p>
    <w:p w:rsidR="008D38FE" w:rsidRPr="008D38FE" w:rsidRDefault="008D38FE" w:rsidP="00A22475">
      <w:pPr>
        <w:spacing w:line="360" w:lineRule="auto"/>
        <w:jc w:val="both"/>
        <w:rPr>
          <w:b/>
        </w:rPr>
      </w:pPr>
      <w:r w:rsidRPr="008D38FE">
        <w:rPr>
          <w:b/>
        </w:rPr>
        <w:t>Analysis of the case</w:t>
      </w:r>
    </w:p>
    <w:p w:rsidR="00D109F3" w:rsidRDefault="00D109F3" w:rsidP="00A22475">
      <w:pPr>
        <w:spacing w:line="360" w:lineRule="auto"/>
        <w:jc w:val="both"/>
      </w:pPr>
      <w:r>
        <w:tab/>
      </w:r>
      <w:r w:rsidRPr="0067556E">
        <w:rPr>
          <w:i/>
        </w:rPr>
        <w:t xml:space="preserve">Adv </w:t>
      </w:r>
      <w:r w:rsidR="00184EF8" w:rsidRPr="0067556E">
        <w:rPr>
          <w:i/>
        </w:rPr>
        <w:t>Ndlovu</w:t>
      </w:r>
      <w:r w:rsidR="0067556E">
        <w:t xml:space="preserve"> for the applicant,</w:t>
      </w:r>
      <w:r w:rsidR="00184EF8">
        <w:t xml:space="preserve"> raised </w:t>
      </w:r>
      <w:r w:rsidR="008A69F5">
        <w:t>the preliminary point that the review panel was not properly constituted in the manner set out in its founding affidavit.</w:t>
      </w:r>
      <w:r w:rsidR="0067556E">
        <w:t xml:space="preserve"> I have already related to this.</w:t>
      </w:r>
      <w:r w:rsidR="00D91C42">
        <w:t xml:space="preserve"> He argued that the review pa</w:t>
      </w:r>
      <w:r w:rsidR="00C41056">
        <w:t>nel comprised</w:t>
      </w:r>
      <w:r w:rsidR="00D91C42">
        <w:t xml:space="preserve"> of </w:t>
      </w:r>
      <w:r w:rsidR="00C41056">
        <w:t>members who were all legal practitioners, and that such composition was not in accordance with section 75 (4) of the Public Procurement Act.</w:t>
      </w:r>
      <w:r w:rsidR="0090588D">
        <w:t xml:space="preserve"> Counsel argued that, while there was compliance with section 75 (4) (a)</w:t>
      </w:r>
      <w:r w:rsidR="00CC7B33">
        <w:t>, the appointment did not comply with section 75 (4) (b) and (c).</w:t>
      </w:r>
      <w:r w:rsidR="00AC615E">
        <w:t xml:space="preserve"> Accordingly</w:t>
      </w:r>
      <w:r w:rsidR="005A3BE9">
        <w:t xml:space="preserve">, it was argued that the exercise of the review power by the review panel was not authorized by statute. </w:t>
      </w:r>
      <w:r w:rsidR="00B43502">
        <w:t xml:space="preserve">In this regard, he concluded by submitting that </w:t>
      </w:r>
      <w:r w:rsidR="00F8757D">
        <w:t xml:space="preserve">as the panel was improperly composed as the appointment was not in accordance with section 75 (4) of the Public Procurement Act, </w:t>
      </w:r>
      <w:r w:rsidR="00B14A67">
        <w:t xml:space="preserve">its decision made on 22 February 2022 was a nullity. </w:t>
      </w:r>
      <w:r w:rsidR="002D54DA">
        <w:t xml:space="preserve">For this proposition of law, the case of </w:t>
      </w:r>
      <w:r w:rsidR="002D54DA" w:rsidRPr="00014BFA">
        <w:rPr>
          <w:i/>
        </w:rPr>
        <w:t>Muchakata v Netherburn Mine</w:t>
      </w:r>
      <w:r w:rsidR="002D54DA">
        <w:t xml:space="preserve"> 1996 (1) ZLR 153 (S) was cited.</w:t>
      </w:r>
    </w:p>
    <w:p w:rsidR="004B5752" w:rsidRDefault="004B5752" w:rsidP="00A22475">
      <w:pPr>
        <w:spacing w:line="360" w:lineRule="auto"/>
        <w:jc w:val="both"/>
      </w:pPr>
      <w:r>
        <w:tab/>
        <w:t xml:space="preserve">Additionally, the applicant submitted </w:t>
      </w:r>
      <w:r w:rsidR="00E37368">
        <w:t>that the 2</w:t>
      </w:r>
      <w:r w:rsidR="00E37368" w:rsidRPr="00E37368">
        <w:rPr>
          <w:vertAlign w:val="superscript"/>
        </w:rPr>
        <w:t>nd</w:t>
      </w:r>
      <w:r w:rsidR="00E37368">
        <w:t xml:space="preserve"> respondent failed to comply with section 75 (2) (b) of the Public Procurement Act, which </w:t>
      </w:r>
      <w:r w:rsidR="00B2733D">
        <w:t>provides that:</w:t>
      </w:r>
    </w:p>
    <w:p w:rsidR="00C03223" w:rsidRPr="007C2965" w:rsidRDefault="00C03223" w:rsidP="00A22475">
      <w:pPr>
        <w:spacing w:line="360" w:lineRule="auto"/>
        <w:jc w:val="both"/>
        <w:rPr>
          <w:sz w:val="16"/>
          <w:szCs w:val="16"/>
        </w:rPr>
      </w:pPr>
    </w:p>
    <w:p w:rsidR="00C03223" w:rsidRPr="007C2965" w:rsidRDefault="004879AE" w:rsidP="007C2965">
      <w:pPr>
        <w:ind w:left="720"/>
        <w:jc w:val="both"/>
        <w:rPr>
          <w:sz w:val="22"/>
          <w:szCs w:val="22"/>
        </w:rPr>
      </w:pPr>
      <w:r w:rsidRPr="007C2965">
        <w:rPr>
          <w:sz w:val="22"/>
          <w:szCs w:val="22"/>
        </w:rPr>
        <w:t>“The Authority shall select persons for inclusion on a list of panellists by- (a) requesting- (i) the Law Society of Zimbabwe; and (ii) the Civil Service Commission; and (iii) organisations representing professional associations or bodies or commercial and industrial entities; and (iv) other organisations which, in the opinion of the Board, have or represent persons who have expertise in fields relating to procurement; to nominate persons for inclusion on the list</w:t>
      </w:r>
      <w:r w:rsidR="00647D6A">
        <w:rPr>
          <w:sz w:val="22"/>
          <w:szCs w:val="22"/>
        </w:rPr>
        <w:t>, and</w:t>
      </w:r>
      <w:r w:rsidR="00647D6A" w:rsidRPr="00647D6A">
        <w:t xml:space="preserve"> </w:t>
      </w:r>
      <w:r w:rsidR="00647D6A">
        <w:t>(b) publishing advertisements in newspapers circulating in Zimbabwe, calling on persons to apply for inclusion on the list;</w:t>
      </w:r>
      <w:r w:rsidRPr="007C2965">
        <w:rPr>
          <w:sz w:val="22"/>
          <w:szCs w:val="22"/>
        </w:rPr>
        <w:t>”.</w:t>
      </w:r>
    </w:p>
    <w:p w:rsidR="00A42ED2" w:rsidRPr="00F128EE" w:rsidRDefault="00A42ED2" w:rsidP="000B3C15">
      <w:pPr>
        <w:ind w:left="720"/>
        <w:jc w:val="both"/>
      </w:pPr>
    </w:p>
    <w:p w:rsidR="000B3C15" w:rsidRPr="0039064A" w:rsidRDefault="000B3C15" w:rsidP="000B3C15">
      <w:pPr>
        <w:ind w:left="720"/>
        <w:jc w:val="both"/>
        <w:rPr>
          <w:b/>
          <w:sz w:val="10"/>
          <w:szCs w:val="10"/>
        </w:rPr>
      </w:pPr>
    </w:p>
    <w:p w:rsidR="000B3C15" w:rsidRDefault="00B85EB3" w:rsidP="00B17B13">
      <w:pPr>
        <w:spacing w:line="360" w:lineRule="auto"/>
        <w:jc w:val="both"/>
      </w:pPr>
      <w:r>
        <w:t>Having referred to this provision, the applicant contended that</w:t>
      </w:r>
      <w:r w:rsidR="00B53516">
        <w:t>,</w:t>
      </w:r>
      <w:r>
        <w:t xml:space="preserve"> </w:t>
      </w:r>
      <w:r w:rsidR="00911648">
        <w:t>when the 2</w:t>
      </w:r>
      <w:r w:rsidR="00911648" w:rsidRPr="00911648">
        <w:rPr>
          <w:vertAlign w:val="superscript"/>
        </w:rPr>
        <w:t>nd</w:t>
      </w:r>
      <w:r w:rsidR="00911648">
        <w:t xml:space="preserve"> respondent constituted the review panel, </w:t>
      </w:r>
      <w:r>
        <w:t>there was no advertisement done contrary</w:t>
      </w:r>
      <w:r w:rsidR="00B17B13">
        <w:t xml:space="preserve"> t</w:t>
      </w:r>
      <w:r w:rsidR="00911648">
        <w:t>o its mandatory requirements.</w:t>
      </w:r>
      <w:r>
        <w:t xml:space="preserve"> </w:t>
      </w:r>
      <w:r w:rsidR="00463FA9">
        <w:t xml:space="preserve">It added that such an advertisement was not attached to the opposing papers. </w:t>
      </w:r>
    </w:p>
    <w:p w:rsidR="00EB45F4" w:rsidRDefault="00EB45F4" w:rsidP="00B17B13">
      <w:pPr>
        <w:spacing w:line="360" w:lineRule="auto"/>
        <w:jc w:val="both"/>
      </w:pPr>
    </w:p>
    <w:p w:rsidR="00EB45F4" w:rsidRDefault="00723C95" w:rsidP="00B17B13">
      <w:pPr>
        <w:spacing w:line="360" w:lineRule="auto"/>
        <w:jc w:val="both"/>
      </w:pPr>
      <w:r>
        <w:lastRenderedPageBreak/>
        <w:t>On the merits,</w:t>
      </w:r>
      <w:r w:rsidR="00EB45F4">
        <w:t xml:space="preserve"> the applicant </w:t>
      </w:r>
      <w:r>
        <w:t>submits</w:t>
      </w:r>
      <w:r w:rsidR="00D6417B">
        <w:t xml:space="preserve"> the award was made despite the challenge to the tender process.</w:t>
      </w:r>
      <w:r>
        <w:t xml:space="preserve"> Because of this, it was argued that the </w:t>
      </w:r>
      <w:r w:rsidR="00092756">
        <w:t>challenge should have been dealt with and a decision given on it before results of the tender were announced.</w:t>
      </w:r>
      <w:r w:rsidR="003A4E75">
        <w:t xml:space="preserve"> The challenge, so contends the applicant, was lodged in terms of section 73 (1) of the </w:t>
      </w:r>
      <w:r w:rsidR="00FE7701">
        <w:t>Public Procurement Act, which provides that:</w:t>
      </w:r>
    </w:p>
    <w:p w:rsidR="00FE7701" w:rsidRPr="0013411B" w:rsidRDefault="00FE7701" w:rsidP="00B17B13">
      <w:pPr>
        <w:spacing w:line="360" w:lineRule="auto"/>
        <w:jc w:val="both"/>
        <w:rPr>
          <w:sz w:val="6"/>
          <w:szCs w:val="6"/>
        </w:rPr>
      </w:pPr>
    </w:p>
    <w:p w:rsidR="00FE7701" w:rsidRPr="00C02F98" w:rsidRDefault="00C02F98" w:rsidP="00C02F98">
      <w:pPr>
        <w:ind w:left="720"/>
        <w:jc w:val="both"/>
        <w:rPr>
          <w:sz w:val="22"/>
          <w:szCs w:val="22"/>
        </w:rPr>
      </w:pPr>
      <w:r w:rsidRPr="00C02F98">
        <w:rPr>
          <w:sz w:val="22"/>
          <w:szCs w:val="22"/>
        </w:rPr>
        <w:t>“A potential or actual bidder in procurement proceedings who claims to have suffered, or to be likely to suffer, loss or injury due to a breach of a duty imposed on a procuring entity by or under this Act, may challenge the procurement proceedings by lodging a written notice with the procuring entity in accordance with this section”.</w:t>
      </w:r>
    </w:p>
    <w:p w:rsidR="00483E55" w:rsidRPr="00483E55" w:rsidRDefault="00483E55" w:rsidP="0078604C">
      <w:pPr>
        <w:spacing w:line="360" w:lineRule="auto"/>
        <w:jc w:val="both"/>
        <w:rPr>
          <w:sz w:val="18"/>
          <w:szCs w:val="18"/>
        </w:rPr>
      </w:pPr>
    </w:p>
    <w:p w:rsidR="00483E55" w:rsidRDefault="00462817" w:rsidP="0078604C">
      <w:pPr>
        <w:spacing w:line="360" w:lineRule="auto"/>
        <w:jc w:val="both"/>
      </w:pPr>
      <w:r>
        <w:t xml:space="preserve">I </w:t>
      </w:r>
      <w:r w:rsidR="00873DF1">
        <w:t xml:space="preserve">make the observation that section 73 of the Public Procurement Act does not say what should happen once </w:t>
      </w:r>
      <w:r w:rsidR="00EC7085">
        <w:t>a challenge has been made and is awaiting determination. The applicant argues that</w:t>
      </w:r>
      <w:r w:rsidR="001D7347">
        <w:t>, the purpose of such a challenge is to ensure that the tender is no</w:t>
      </w:r>
      <w:r w:rsidR="00A623F9">
        <w:t xml:space="preserve">t awarded to a competing bidder until it is decided, otherwise its objective is not achieved. </w:t>
      </w:r>
      <w:r w:rsidR="00C67A3F">
        <w:t>Accordingly, it was submitted for the applicant that a purposive approach must be taken</w:t>
      </w:r>
      <w:r w:rsidR="001052E7">
        <w:t xml:space="preserve"> in order to obviate an absurdity occurring. </w:t>
      </w:r>
      <w:r w:rsidR="007F5164">
        <w:t xml:space="preserve">I was </w:t>
      </w:r>
      <w:r w:rsidR="002576CB">
        <w:t xml:space="preserve">referred to </w:t>
      </w:r>
      <w:r w:rsidR="002576CB" w:rsidRPr="00C61F58">
        <w:rPr>
          <w:i/>
        </w:rPr>
        <w:t>Zambezi Gas Zimbabwe (Pvt) Ltd v N R Barber (Pvt) Ltd</w:t>
      </w:r>
      <w:r w:rsidR="002576CB">
        <w:t xml:space="preserve"> SC 3-20, and </w:t>
      </w:r>
      <w:r w:rsidR="007F5164">
        <w:t xml:space="preserve">urged to adopt a purposive approach </w:t>
      </w:r>
      <w:r w:rsidR="00A646E5">
        <w:t>when interpreting section 73 aforesaid.</w:t>
      </w:r>
      <w:r w:rsidR="00A623F9">
        <w:t xml:space="preserve"> </w:t>
      </w:r>
      <w:r w:rsidR="00312C4F">
        <w:t xml:space="preserve">Counsel for the applicant submitted that logic dictates that the must be determined before a decision is made </w:t>
      </w:r>
      <w:r w:rsidR="00FF03AA">
        <w:t>on the tender.</w:t>
      </w:r>
    </w:p>
    <w:p w:rsidR="00221641" w:rsidRPr="006E6695" w:rsidRDefault="00221641" w:rsidP="0078604C">
      <w:pPr>
        <w:spacing w:line="360" w:lineRule="auto"/>
        <w:jc w:val="both"/>
      </w:pPr>
      <w:r>
        <w:tab/>
        <w:t>The applicant als</w:t>
      </w:r>
      <w:r w:rsidR="00C46CEA">
        <w:t xml:space="preserve">o argued that in </w:t>
      </w:r>
      <w:r w:rsidR="006858FC">
        <w:t xml:space="preserve">Twenty Third Century Systems </w:t>
      </w:r>
      <w:r w:rsidR="007124FB">
        <w:t xml:space="preserve">(Pvt) Ltd v Zimbabwe Manpower Development Fund and Ors </w:t>
      </w:r>
      <w:r w:rsidR="00C363DD">
        <w:t xml:space="preserve">HH 110-22, TAGU J had made a finding that had not complied with the law </w:t>
      </w:r>
      <w:r w:rsidR="00C527EF">
        <w:t xml:space="preserve">by its failure to place advertisements calling for nominations of panel members. </w:t>
      </w:r>
      <w:r w:rsidR="007E3576">
        <w:t xml:space="preserve">It was therefore contended that the matter was </w:t>
      </w:r>
      <w:r w:rsidR="007E3576" w:rsidRPr="001441E3">
        <w:rPr>
          <w:i/>
        </w:rPr>
        <w:t>res judicata</w:t>
      </w:r>
      <w:r w:rsidR="007E3576">
        <w:t xml:space="preserve"> on that finding. </w:t>
      </w:r>
      <w:r w:rsidR="00C527EF">
        <w:t>This is a requirement under section 75 (2) (</w:t>
      </w:r>
      <w:r w:rsidR="004F5CFC">
        <w:t>b) of the Public Procurement Act, which I will address later in this judgment.</w:t>
      </w:r>
      <w:r w:rsidR="000A2D44">
        <w:t xml:space="preserve"> I have had a look at that judgement, which was interlocutory</w:t>
      </w:r>
      <w:r w:rsidR="001441E3">
        <w:t xml:space="preserve"> interdict pending the hearing of this application</w:t>
      </w:r>
      <w:r w:rsidR="000A2D44">
        <w:t xml:space="preserve">, and can find nothing which justifies a conclusion of </w:t>
      </w:r>
      <w:r w:rsidR="000A2D44" w:rsidRPr="000A2D44">
        <w:rPr>
          <w:i/>
        </w:rPr>
        <w:t>res judicata.</w:t>
      </w:r>
      <w:r w:rsidR="006E6695">
        <w:t xml:space="preserve"> I agree with Counsel for the 1</w:t>
      </w:r>
      <w:r w:rsidR="006E6695" w:rsidRPr="006E6695">
        <w:rPr>
          <w:vertAlign w:val="superscript"/>
        </w:rPr>
        <w:t>st</w:t>
      </w:r>
      <w:r w:rsidR="006E6695">
        <w:t xml:space="preserve"> respondent that the finding was made in the course of examining whether or n</w:t>
      </w:r>
      <w:r w:rsidR="005E2192">
        <w:t>ot prospects of success existed, and was not deciding a live issue before the court. Accordingly, I dismiss that preliminary point for lack of merit.</w:t>
      </w:r>
    </w:p>
    <w:p w:rsidR="008676DE" w:rsidRDefault="00FF03AA" w:rsidP="00944BCD">
      <w:pPr>
        <w:spacing w:line="360" w:lineRule="auto"/>
        <w:ind w:firstLine="720"/>
        <w:jc w:val="both"/>
      </w:pPr>
      <w:r>
        <w:t xml:space="preserve">In his response, </w:t>
      </w:r>
      <w:r w:rsidR="00E8221E" w:rsidRPr="00E8221E">
        <w:rPr>
          <w:i/>
        </w:rPr>
        <w:t>Adv Uriri</w:t>
      </w:r>
      <w:r>
        <w:t xml:space="preserve"> for the 1</w:t>
      </w:r>
      <w:r w:rsidRPr="00FF03AA">
        <w:rPr>
          <w:vertAlign w:val="superscript"/>
        </w:rPr>
        <w:t>st</w:t>
      </w:r>
      <w:r w:rsidR="00E8221E">
        <w:t xml:space="preserve"> respondent </w:t>
      </w:r>
      <w:r w:rsidR="00684658">
        <w:t xml:space="preserve">submitted that the </w:t>
      </w:r>
      <w:r>
        <w:t>preliminary point</w:t>
      </w:r>
      <w:r w:rsidR="00CA5853">
        <w:t>s</w:t>
      </w:r>
      <w:r>
        <w:t xml:space="preserve"> taken by the applicant </w:t>
      </w:r>
      <w:r w:rsidR="00CA5853">
        <w:t xml:space="preserve">had no </w:t>
      </w:r>
      <w:r w:rsidR="00684658">
        <w:t xml:space="preserve">merit and should be dismissed. </w:t>
      </w:r>
      <w:r w:rsidR="00B57BE2">
        <w:t xml:space="preserve">He began by </w:t>
      </w:r>
      <w:r w:rsidR="008676DE">
        <w:t xml:space="preserve">referring to Rule 62 of the High Court Rules which requires the chairman of </w:t>
      </w:r>
      <w:r w:rsidR="00877EB4">
        <w:t>the review panel to be served with</w:t>
      </w:r>
      <w:r w:rsidR="008676DE">
        <w:t xml:space="preserve"> an application </w:t>
      </w:r>
      <w:r w:rsidR="00EE0F93">
        <w:t>for review of his or her decision.</w:t>
      </w:r>
      <w:r w:rsidR="00C94602">
        <w:t xml:space="preserve"> The failure to join the chairman, so the submission continued, </w:t>
      </w:r>
      <w:r w:rsidR="00C94602">
        <w:lastRenderedPageBreak/>
        <w:t>meant that there was no application before this court.</w:t>
      </w:r>
      <w:r w:rsidR="00877EB4">
        <w:t xml:space="preserve"> He asked the court to st</w:t>
      </w:r>
      <w:r w:rsidR="00FC1BDB">
        <w:t>rike off this application from the roll.</w:t>
      </w:r>
      <w:r w:rsidR="000357E9">
        <w:t xml:space="preserve"> </w:t>
      </w:r>
      <w:r w:rsidR="000357E9" w:rsidRPr="008B3568">
        <w:rPr>
          <w:i/>
        </w:rPr>
        <w:t>Mr Muzondiwa</w:t>
      </w:r>
      <w:r w:rsidR="000357E9">
        <w:t xml:space="preserve"> for the 3</w:t>
      </w:r>
      <w:r w:rsidR="000357E9" w:rsidRPr="000357E9">
        <w:rPr>
          <w:vertAlign w:val="superscript"/>
        </w:rPr>
        <w:t>rd</w:t>
      </w:r>
      <w:r w:rsidR="000357E9">
        <w:t xml:space="preserve"> respondent, associated himself with this submission.</w:t>
      </w:r>
      <w:r w:rsidR="00877EB4">
        <w:t xml:space="preserve"> </w:t>
      </w:r>
      <w:r w:rsidR="005A2453">
        <w:t>In addressing this issue, the applicant relied on Rule 32 (11) of the High Court Rules which provides that no cause or matter shall be defeated by r</w:t>
      </w:r>
      <w:r w:rsidR="002742EF">
        <w:t xml:space="preserve">eason of non-joinder of a party, and the court may determine the issues in dispute so far as they relate to </w:t>
      </w:r>
      <w:r w:rsidR="00101A59">
        <w:t xml:space="preserve">parties in dispute. </w:t>
      </w:r>
      <w:r w:rsidR="00251ECE">
        <w:t xml:space="preserve">Reliance was placed on </w:t>
      </w:r>
      <w:r w:rsidR="00251ECE" w:rsidRPr="003860C5">
        <w:rPr>
          <w:i/>
        </w:rPr>
        <w:t>Wakatama and Ors v Madamombe</w:t>
      </w:r>
      <w:r w:rsidR="00251ECE">
        <w:t xml:space="preserve"> 2011 (1) ZLR 18</w:t>
      </w:r>
      <w:r w:rsidR="003860C5">
        <w:t xml:space="preserve">. In this connection, I recall that in my judgment in </w:t>
      </w:r>
      <w:r w:rsidR="003860C5" w:rsidRPr="006D3B87">
        <w:rPr>
          <w:i/>
        </w:rPr>
        <w:t xml:space="preserve">Delta Beverages </w:t>
      </w:r>
      <w:r w:rsidR="00551279" w:rsidRPr="006D3B87">
        <w:rPr>
          <w:i/>
        </w:rPr>
        <w:t>(Pvt) Ltd v Blackey</w:t>
      </w:r>
      <w:r w:rsidR="001A1CAF">
        <w:rPr>
          <w:i/>
        </w:rPr>
        <w:t xml:space="preserve"> Invest</w:t>
      </w:r>
      <w:r w:rsidR="00393C3C">
        <w:rPr>
          <w:i/>
        </w:rPr>
        <w:t>ments</w:t>
      </w:r>
      <w:r w:rsidR="00551279" w:rsidRPr="006D3B87">
        <w:rPr>
          <w:i/>
        </w:rPr>
        <w:t xml:space="preserve"> (Pty) Ltd</w:t>
      </w:r>
      <w:r w:rsidR="006D3B87">
        <w:t xml:space="preserve"> HH 778-20, the applicant in that case sought argue that the failure to join the arbitrators was fatal to the </w:t>
      </w:r>
      <w:r w:rsidR="000B5E2D">
        <w:t>proceedings before me.</w:t>
      </w:r>
      <w:r w:rsidR="00304C44">
        <w:t xml:space="preserve"> This is what I said in disposing of that argument:</w:t>
      </w:r>
    </w:p>
    <w:p w:rsidR="00304C44" w:rsidRDefault="00304C44" w:rsidP="00944BCD">
      <w:pPr>
        <w:spacing w:line="360" w:lineRule="auto"/>
        <w:ind w:firstLine="720"/>
        <w:jc w:val="both"/>
      </w:pPr>
    </w:p>
    <w:p w:rsidR="00304C44" w:rsidRDefault="00304C44" w:rsidP="00304C44">
      <w:pPr>
        <w:ind w:left="720"/>
        <w:jc w:val="both"/>
        <w:rPr>
          <w:sz w:val="22"/>
          <w:szCs w:val="22"/>
        </w:rPr>
      </w:pPr>
      <w:r w:rsidRPr="00304C44">
        <w:rPr>
          <w:sz w:val="22"/>
          <w:szCs w:val="22"/>
        </w:rPr>
        <w:t xml:space="preserve">“Equally, I am not persuaded that the arbitrators in South Africa should be brought into the present proceedings as parties. Their role is to act as impartial arbiters in trying to resolve the dispute between the parties. They cannot, in my view, have a direct and substantial </w:t>
      </w:r>
      <w:r w:rsidR="006B33A0">
        <w:rPr>
          <w:sz w:val="22"/>
          <w:szCs w:val="22"/>
        </w:rPr>
        <w:t xml:space="preserve">interest </w:t>
      </w:r>
      <w:r w:rsidRPr="00304C44">
        <w:rPr>
          <w:sz w:val="22"/>
          <w:szCs w:val="22"/>
        </w:rPr>
        <w:t xml:space="preserve">in the subject matter of application before this court and its outcome one way or the other. Whether or not the relief sought is granted does not affect any interest of the arbitrators </w:t>
      </w:r>
      <w:r w:rsidRPr="00304C44">
        <w:rPr>
          <w:i/>
          <w:sz w:val="22"/>
          <w:szCs w:val="22"/>
        </w:rPr>
        <w:t xml:space="preserve">qua </w:t>
      </w:r>
      <w:r w:rsidRPr="00304C44">
        <w:rPr>
          <w:sz w:val="22"/>
          <w:szCs w:val="22"/>
        </w:rPr>
        <w:t xml:space="preserve">arbitrators. In fact, it is common cause that no relief is sought against them. It becomes apparent, therefore, that the submission that the failure to cite either Ms Malaba or the arbitrators in South Africa is a material non-joinder finds no support in law. If anything, to sanction such a joinder would amount to a misjoinder of parties who do not in any way assist </w:t>
      </w:r>
      <w:r w:rsidR="00436CD4">
        <w:rPr>
          <w:sz w:val="22"/>
          <w:szCs w:val="22"/>
        </w:rPr>
        <w:t xml:space="preserve">in </w:t>
      </w:r>
      <w:r w:rsidRPr="00304C44">
        <w:rPr>
          <w:sz w:val="22"/>
          <w:szCs w:val="22"/>
        </w:rPr>
        <w:t>the dispositon of the issues before the court”.</w:t>
      </w:r>
    </w:p>
    <w:p w:rsidR="00304C44" w:rsidRPr="007729AE" w:rsidRDefault="00304C44" w:rsidP="00304C44">
      <w:pPr>
        <w:jc w:val="both"/>
      </w:pPr>
    </w:p>
    <w:p w:rsidR="00304C44" w:rsidRDefault="00304C44" w:rsidP="007729AE">
      <w:pPr>
        <w:spacing w:line="360" w:lineRule="auto"/>
        <w:jc w:val="both"/>
      </w:pPr>
      <w:r w:rsidRPr="007729AE">
        <w:t>My sentiments in that case equally apply to the present case, and I endorse them.</w:t>
      </w:r>
      <w:r w:rsidR="007729AE">
        <w:t xml:space="preserve"> Let me add that my judgment </w:t>
      </w:r>
      <w:r w:rsidR="00B22850">
        <w:t xml:space="preserve">was upheld by the Supreme Court </w:t>
      </w:r>
      <w:r w:rsidR="00393E70">
        <w:t xml:space="preserve">appeal judgment in </w:t>
      </w:r>
      <w:r w:rsidR="00393E70" w:rsidRPr="006D3B87">
        <w:rPr>
          <w:i/>
        </w:rPr>
        <w:t>Delta Beverages (Pvt) Ltd v Blackey</w:t>
      </w:r>
      <w:r w:rsidR="00393E70">
        <w:rPr>
          <w:i/>
        </w:rPr>
        <w:t xml:space="preserve"> Investments</w:t>
      </w:r>
      <w:r w:rsidR="00393E70" w:rsidRPr="006D3B87">
        <w:rPr>
          <w:i/>
        </w:rPr>
        <w:t xml:space="preserve"> (Pty) Ltd</w:t>
      </w:r>
      <w:r w:rsidR="00393E70">
        <w:t xml:space="preserve"> SC 59-22.</w:t>
      </w:r>
      <w:r w:rsidR="00351C59">
        <w:t xml:space="preserve"> As a result, I dismiss the said point in</w:t>
      </w:r>
      <w:r w:rsidR="00351C59" w:rsidRPr="00351C59">
        <w:rPr>
          <w:i/>
        </w:rPr>
        <w:t xml:space="preserve"> limine</w:t>
      </w:r>
      <w:r w:rsidR="00351C59">
        <w:t>.</w:t>
      </w:r>
    </w:p>
    <w:p w:rsidR="007729AE" w:rsidRPr="007729AE" w:rsidRDefault="007729AE" w:rsidP="00304C44">
      <w:pPr>
        <w:jc w:val="both"/>
      </w:pPr>
    </w:p>
    <w:p w:rsidR="00EF1459" w:rsidRDefault="00B57BE2" w:rsidP="00944BCD">
      <w:pPr>
        <w:spacing w:line="360" w:lineRule="auto"/>
        <w:ind w:firstLine="720"/>
        <w:jc w:val="both"/>
      </w:pPr>
      <w:r>
        <w:t xml:space="preserve">referring to </w:t>
      </w:r>
      <w:r w:rsidR="00641461">
        <w:t>section 7 of the Administrative Justice Act</w:t>
      </w:r>
      <w:r>
        <w:t xml:space="preserve">, </w:t>
      </w:r>
      <w:r w:rsidR="00B23EC6">
        <w:t>and argued that this court has no jurisdiction to hear the applicatio</w:t>
      </w:r>
      <w:r w:rsidR="008C085A">
        <w:t>n as the said section 7</w:t>
      </w:r>
      <w:r w:rsidR="00B23EC6">
        <w:t xml:space="preserve"> required the applicant to </w:t>
      </w:r>
      <w:r w:rsidR="00D60692">
        <w:t xml:space="preserve">first </w:t>
      </w:r>
      <w:r w:rsidR="00B23EC6">
        <w:t xml:space="preserve">exhaust domestic remedies. </w:t>
      </w:r>
      <w:r w:rsidR="005B09C7">
        <w:t xml:space="preserve">Let me refer to </w:t>
      </w:r>
      <w:r w:rsidR="002344AF">
        <w:t xml:space="preserve">this provision which provides </w:t>
      </w:r>
      <w:r w:rsidR="00EF1459">
        <w:t>as follows:</w:t>
      </w:r>
    </w:p>
    <w:p w:rsidR="00944BCD" w:rsidRPr="00944BCD" w:rsidRDefault="00944BCD" w:rsidP="00944BCD">
      <w:pPr>
        <w:spacing w:line="360" w:lineRule="auto"/>
        <w:ind w:firstLine="720"/>
        <w:jc w:val="both"/>
        <w:rPr>
          <w:sz w:val="12"/>
          <w:szCs w:val="12"/>
        </w:rPr>
      </w:pPr>
    </w:p>
    <w:p w:rsidR="0027320D" w:rsidRDefault="00EF1459" w:rsidP="003F0CFB">
      <w:pPr>
        <w:pStyle w:val="lrsection"/>
        <w:spacing w:line="240" w:lineRule="auto"/>
        <w:ind w:left="369" w:right="142" w:firstLine="0"/>
      </w:pPr>
      <w:r w:rsidRPr="00EF1459">
        <w:rPr>
          <w:szCs w:val="22"/>
        </w:rPr>
        <w:t>“</w:t>
      </w:r>
      <w:r w:rsidR="0027320D">
        <w:t xml:space="preserve">Without limitation to its discretion, </w:t>
      </w:r>
      <w:r w:rsidR="0027320D" w:rsidRPr="0090436C">
        <w:rPr>
          <w:u w:val="single"/>
        </w:rPr>
        <w:t>the High Court may decline</w:t>
      </w:r>
      <w:r w:rsidR="0027320D">
        <w:t xml:space="preserve"> to entertain an application made under section</w:t>
      </w:r>
      <w:r w:rsidR="0027320D">
        <w:rPr>
          <w:i/>
        </w:rPr>
        <w:t xml:space="preserve"> four, </w:t>
      </w:r>
      <w:r w:rsidR="0027320D">
        <w:t>if the applicant is entitled to seek relief under any other law, whether by way of appeal or review or otherwise, and the High Court considers that any such remedy should first be exhausted”.</w:t>
      </w:r>
      <w:r w:rsidR="0090436C" w:rsidRPr="0090436C">
        <w:rPr>
          <w:b/>
        </w:rPr>
        <w:t xml:space="preserve"> [My own emphasis]</w:t>
      </w:r>
    </w:p>
    <w:p w:rsidR="00EF1459" w:rsidRDefault="00EF1459" w:rsidP="005542E0">
      <w:pPr>
        <w:ind w:left="720"/>
        <w:jc w:val="both"/>
        <w:rPr>
          <w:sz w:val="22"/>
          <w:szCs w:val="22"/>
        </w:rPr>
      </w:pPr>
      <w:r w:rsidRPr="00EF1459">
        <w:rPr>
          <w:sz w:val="22"/>
          <w:szCs w:val="22"/>
        </w:rPr>
        <w:t xml:space="preserve"> </w:t>
      </w:r>
    </w:p>
    <w:p w:rsidR="009E3E8E" w:rsidRDefault="005D0CAE" w:rsidP="00C127F7">
      <w:pPr>
        <w:spacing w:line="360" w:lineRule="auto"/>
        <w:jc w:val="both"/>
      </w:pPr>
      <w:r>
        <w:t xml:space="preserve">The argument was that there was an obligation </w:t>
      </w:r>
      <w:r w:rsidR="00C127F7">
        <w:t xml:space="preserve">to exhaust domestic remedies </w:t>
      </w:r>
      <w:r>
        <w:t>plac</w:t>
      </w:r>
      <w:r w:rsidR="00C127F7">
        <w:t xml:space="preserve">ed on the applicant by law. </w:t>
      </w:r>
      <w:r w:rsidR="007E13E5" w:rsidRPr="007E13E5">
        <w:t>I will return to address this argument.</w:t>
      </w:r>
      <w:r w:rsidR="00991923">
        <w:t xml:space="preserve"> Although accepting that </w:t>
      </w:r>
      <w:r w:rsidR="006F02DE">
        <w:t xml:space="preserve">section 7 of the </w:t>
      </w:r>
      <w:r w:rsidR="00540006">
        <w:t xml:space="preserve">AJA was not couched in peremptory language, Counsel submitted that </w:t>
      </w:r>
      <w:r w:rsidR="00DF38FD">
        <w:t>the applicant had not specifically pleaded that the domestic remedies contemplated by section were inadequate.</w:t>
      </w:r>
    </w:p>
    <w:p w:rsidR="00E951B7" w:rsidRDefault="009E3E8E" w:rsidP="00F93239">
      <w:pPr>
        <w:spacing w:line="360" w:lineRule="auto"/>
        <w:ind w:firstLine="720"/>
        <w:jc w:val="both"/>
      </w:pPr>
      <w:r>
        <w:lastRenderedPageBreak/>
        <w:t xml:space="preserve">In dealing with the argument that the tender was awarded </w:t>
      </w:r>
      <w:r w:rsidR="00A93B26">
        <w:t xml:space="preserve">while a challenge was pending determination, </w:t>
      </w:r>
      <w:r w:rsidR="00A93B26" w:rsidRPr="005B7838">
        <w:rPr>
          <w:i/>
        </w:rPr>
        <w:t>Adv Uriri</w:t>
      </w:r>
      <w:r w:rsidR="00A93B26">
        <w:t xml:space="preserve"> asked the court to note that </w:t>
      </w:r>
      <w:r w:rsidR="003A0F95">
        <w:t xml:space="preserve">the statutory regime under section 73 of the Public Procurement Act did not provide for suspension </w:t>
      </w:r>
      <w:r w:rsidR="00112A55">
        <w:t>of the tender process pending a decision on the challenge.</w:t>
      </w:r>
      <w:r w:rsidR="005B7838">
        <w:t xml:space="preserve"> He went on to argue that section</w:t>
      </w:r>
      <w:r w:rsidR="00196FF9">
        <w:t>s</w:t>
      </w:r>
      <w:r w:rsidR="005B7838">
        <w:t xml:space="preserve"> </w:t>
      </w:r>
      <w:r w:rsidR="00196FF9">
        <w:t xml:space="preserve">77 (1) and </w:t>
      </w:r>
      <w:r w:rsidR="005B7838">
        <w:t>77</w:t>
      </w:r>
      <w:r w:rsidR="00752038">
        <w:t xml:space="preserve"> (2)</w:t>
      </w:r>
      <w:r w:rsidR="005B7838">
        <w:t xml:space="preserve"> of the Public</w:t>
      </w:r>
      <w:r w:rsidR="00196FF9">
        <w:t xml:space="preserve"> Procurement Act provide</w:t>
      </w:r>
      <w:r w:rsidR="005B7838">
        <w:t xml:space="preserve"> adequate remedies </w:t>
      </w:r>
      <w:r w:rsidR="00523588">
        <w:t xml:space="preserve">to an aggrieved bid participant. </w:t>
      </w:r>
      <w:r w:rsidR="00752038">
        <w:t>The said provision reads:</w:t>
      </w:r>
    </w:p>
    <w:p w:rsidR="00E951B7" w:rsidRPr="002349BB" w:rsidRDefault="00E951B7" w:rsidP="002349BB">
      <w:pPr>
        <w:ind w:firstLine="720"/>
        <w:jc w:val="both"/>
        <w:rPr>
          <w:sz w:val="18"/>
          <w:szCs w:val="18"/>
        </w:rPr>
      </w:pPr>
    </w:p>
    <w:p w:rsidR="009E3E8E" w:rsidRPr="002349BB" w:rsidRDefault="00E951B7" w:rsidP="002349BB">
      <w:pPr>
        <w:ind w:left="720"/>
        <w:jc w:val="both"/>
        <w:rPr>
          <w:sz w:val="22"/>
          <w:szCs w:val="22"/>
        </w:rPr>
      </w:pPr>
      <w:r w:rsidRPr="002349BB">
        <w:rPr>
          <w:sz w:val="22"/>
          <w:szCs w:val="22"/>
        </w:rPr>
        <w:t xml:space="preserve">“A bidder or a procuring entity aggrieved by a decision of a review panel </w:t>
      </w:r>
      <w:r w:rsidRPr="005E7591">
        <w:rPr>
          <w:sz w:val="22"/>
          <w:szCs w:val="22"/>
          <w:u w:val="single"/>
        </w:rPr>
        <w:t xml:space="preserve">may appeal against the decision to the Administrative Court </w:t>
      </w:r>
      <w:r w:rsidRPr="002349BB">
        <w:rPr>
          <w:sz w:val="22"/>
          <w:szCs w:val="22"/>
        </w:rPr>
        <w:t>within twenty days after the panel's decision was notified to the party concerned. (2) In an appeal the Administrative Court shall not set aside the decision of the review panel but may award fair and adequate compensation to</w:t>
      </w:r>
      <w:r w:rsidR="005B7838" w:rsidRPr="002349BB">
        <w:rPr>
          <w:sz w:val="22"/>
          <w:szCs w:val="22"/>
        </w:rPr>
        <w:t xml:space="preserve"> </w:t>
      </w:r>
      <w:r w:rsidR="002349BB" w:rsidRPr="002349BB">
        <w:rPr>
          <w:sz w:val="22"/>
          <w:szCs w:val="22"/>
        </w:rPr>
        <w:t>the appellant for any patrimonial loss or damage the appellant may have suffered”.</w:t>
      </w:r>
      <w:r w:rsidR="005E7591">
        <w:rPr>
          <w:sz w:val="22"/>
          <w:szCs w:val="22"/>
        </w:rPr>
        <w:t xml:space="preserve"> </w:t>
      </w:r>
      <w:r w:rsidR="005E7591" w:rsidRPr="005E7591">
        <w:rPr>
          <w:b/>
          <w:sz w:val="22"/>
          <w:szCs w:val="22"/>
        </w:rPr>
        <w:t>[My own emphasis]</w:t>
      </w:r>
    </w:p>
    <w:p w:rsidR="005542E0" w:rsidRDefault="005542E0" w:rsidP="005542E0">
      <w:pPr>
        <w:jc w:val="both"/>
        <w:rPr>
          <w:sz w:val="10"/>
          <w:szCs w:val="10"/>
        </w:rPr>
      </w:pPr>
    </w:p>
    <w:p w:rsidR="00E27CD3" w:rsidRPr="00BE09C2" w:rsidRDefault="00E27CD3" w:rsidP="005542E0">
      <w:pPr>
        <w:jc w:val="both"/>
        <w:rPr>
          <w:sz w:val="16"/>
          <w:szCs w:val="16"/>
          <w:vertAlign w:val="subscript"/>
        </w:rPr>
      </w:pPr>
    </w:p>
    <w:p w:rsidR="007F70FB" w:rsidRDefault="00E27CD3" w:rsidP="007E16B7">
      <w:pPr>
        <w:spacing w:line="360" w:lineRule="auto"/>
        <w:jc w:val="both"/>
      </w:pPr>
      <w:r>
        <w:t>Counsel for the 1</w:t>
      </w:r>
      <w:r w:rsidRPr="00E27CD3">
        <w:rPr>
          <w:vertAlign w:val="superscript"/>
        </w:rPr>
        <w:t>st</w:t>
      </w:r>
      <w:r>
        <w:t xml:space="preserve"> respondent’</w:t>
      </w:r>
      <w:r w:rsidR="00D50DAF">
        <w:t xml:space="preserve">s argument was that, the domestic remedy afforded to </w:t>
      </w:r>
      <w:r w:rsidR="007E16B7">
        <w:t>a disgruntled party was to appeal to the Administrative Court.</w:t>
      </w:r>
      <w:r w:rsidR="008E672A">
        <w:t xml:space="preserve"> I have looked at the above provision and notice that </w:t>
      </w:r>
      <w:r w:rsidR="003870B1">
        <w:t xml:space="preserve">section 77 (1) is couched in elective </w:t>
      </w:r>
      <w:r w:rsidR="005D6135">
        <w:t xml:space="preserve">as opposed to peremptory </w:t>
      </w:r>
      <w:r w:rsidR="003870B1">
        <w:t>language</w:t>
      </w:r>
      <w:r w:rsidR="005D6135">
        <w:t xml:space="preserve">. My understanding is that an aggrieved person may </w:t>
      </w:r>
      <w:r w:rsidR="007C2BA0">
        <w:t xml:space="preserve">choose whether or not to go to the Administrative Court. There is seems to me to be nothing apparent from </w:t>
      </w:r>
      <w:r w:rsidR="00A15916">
        <w:t xml:space="preserve">the architecture of section 77 (1) that precludes the jurisdiction of this court. In fact, if read together with section 7 of the AJA, which is also in </w:t>
      </w:r>
      <w:r w:rsidR="00BF2C88">
        <w:t xml:space="preserve">elective terms, it becomes evident that </w:t>
      </w:r>
      <w:r w:rsidR="005E3235">
        <w:t xml:space="preserve">the jurisdiction of the High Court is not ousted by </w:t>
      </w:r>
      <w:r w:rsidR="0003406E">
        <w:t xml:space="preserve">that provision. </w:t>
      </w:r>
      <w:r w:rsidR="00800949">
        <w:t xml:space="preserve">At any rate, </w:t>
      </w:r>
      <w:r w:rsidR="00151177">
        <w:t xml:space="preserve">I agree with the applicant that the existence of a domestic or alternative remedy does not take away the </w:t>
      </w:r>
      <w:r w:rsidR="00D556C9">
        <w:t>right to approach this court by way of judicial review.</w:t>
      </w:r>
      <w:r w:rsidR="00701491">
        <w:t xml:space="preserve"> </w:t>
      </w:r>
      <w:r w:rsidR="00010CCE">
        <w:t xml:space="preserve">See </w:t>
      </w:r>
      <w:r w:rsidR="00010CCE" w:rsidRPr="003D33AB">
        <w:rPr>
          <w:i/>
        </w:rPr>
        <w:t xml:space="preserve">Gwaradzimba N O v Gurta </w:t>
      </w:r>
      <w:r w:rsidR="00010CCE">
        <w:t>AG SC 10-15.</w:t>
      </w:r>
      <w:r w:rsidR="003870B1">
        <w:t xml:space="preserve"> </w:t>
      </w:r>
      <w:r w:rsidR="00325661">
        <w:t>I take the view that there is no</w:t>
      </w:r>
      <w:r w:rsidR="00483834">
        <w:t xml:space="preserve">thing which prevents </w:t>
      </w:r>
      <w:r w:rsidR="00325661">
        <w:t>an applicant who perceives dom</w:t>
      </w:r>
      <w:r w:rsidR="00483834">
        <w:t>estic remedies to be inadequate from coming</w:t>
      </w:r>
      <w:r w:rsidR="008E44D8">
        <w:t xml:space="preserve"> to the High Court as the applicant has done. </w:t>
      </w:r>
      <w:r w:rsidR="00D84A2B">
        <w:t xml:space="preserve">In </w:t>
      </w:r>
      <w:r w:rsidR="00D84A2B" w:rsidRPr="00C5303B">
        <w:rPr>
          <w:i/>
        </w:rPr>
        <w:t>Tribac (Pvt) Ltd v Tobacco Marketing Board</w:t>
      </w:r>
      <w:r w:rsidR="00D84A2B">
        <w:t xml:space="preserve"> 1996 (2) ZLR 56 (SC), the </w:t>
      </w:r>
      <w:r w:rsidR="008A6B97">
        <w:t xml:space="preserve">Supreme Court defined what constitutes an adequate remedy. </w:t>
      </w:r>
      <w:r w:rsidR="008E44D8">
        <w:t>The 1</w:t>
      </w:r>
      <w:r w:rsidR="008E44D8" w:rsidRPr="008E44D8">
        <w:rPr>
          <w:vertAlign w:val="superscript"/>
        </w:rPr>
        <w:t>st</w:t>
      </w:r>
      <w:r w:rsidR="008E44D8">
        <w:t xml:space="preserve"> respondent has not shown the court </w:t>
      </w:r>
      <w:r w:rsidR="004D4177">
        <w:t xml:space="preserve">any statutory or judicial authority for the proposition that, if domestic remedies are available, a party must plead their inadequacy before approaching the High </w:t>
      </w:r>
      <w:r w:rsidR="005E2AFC">
        <w:t xml:space="preserve">Court. </w:t>
      </w:r>
      <w:r w:rsidR="0057621F">
        <w:t xml:space="preserve">When one looks at section 77 (2) of the Public Procurement and Disposal of Assets Act, </w:t>
      </w:r>
      <w:r w:rsidR="00B706B3">
        <w:t xml:space="preserve">the following conclusions are inescapable. </w:t>
      </w:r>
      <w:r w:rsidR="00441319">
        <w:t xml:space="preserve">Firstly, the Administrative Court </w:t>
      </w:r>
      <w:r w:rsidR="0052055B">
        <w:t xml:space="preserve">cannot set aside the review panel’s decision, and this a mandatory direction of the legislature. </w:t>
      </w:r>
      <w:r w:rsidR="000520AD">
        <w:t xml:space="preserve">Secondly, that court may award fair and adequate compensation </w:t>
      </w:r>
      <w:r w:rsidR="00736395">
        <w:t>to the appellant for patrimonial loss or damages suffered.</w:t>
      </w:r>
    </w:p>
    <w:p w:rsidR="00E27CD3" w:rsidRDefault="00736395" w:rsidP="007E16B7">
      <w:pPr>
        <w:spacing w:line="360" w:lineRule="auto"/>
        <w:jc w:val="both"/>
      </w:pPr>
      <w:r>
        <w:t xml:space="preserve"> </w:t>
      </w:r>
      <w:r w:rsidR="007F70FB">
        <w:tab/>
      </w:r>
      <w:r w:rsidR="00F7406A">
        <w:t xml:space="preserve">It is my view that, a litigant who desires the setting aside of a decision made without jurisdiction or irregularly arrived should not be prevented from </w:t>
      </w:r>
      <w:r w:rsidR="00392EFF">
        <w:t xml:space="preserve">getting redress in the High Court </w:t>
      </w:r>
      <w:r w:rsidR="00624145">
        <w:lastRenderedPageBreak/>
        <w:t>by way of review. This</w:t>
      </w:r>
      <w:r w:rsidR="00203795">
        <w:t xml:space="preserve"> is apparent from section 77 (2</w:t>
      </w:r>
      <w:r w:rsidR="00392EFF">
        <w:t>) of the Public Procurement Ac</w:t>
      </w:r>
      <w:r w:rsidR="00203795">
        <w:t xml:space="preserve">t, which starts with the words: </w:t>
      </w:r>
      <w:r w:rsidR="00203795" w:rsidRPr="007207E3">
        <w:rPr>
          <w:i/>
        </w:rPr>
        <w:t>“In an appeal the Administrative Court</w:t>
      </w:r>
      <w:r w:rsidR="00392EFF" w:rsidRPr="007207E3">
        <w:rPr>
          <w:i/>
        </w:rPr>
        <w:t xml:space="preserve"> </w:t>
      </w:r>
      <w:r w:rsidR="00203795" w:rsidRPr="007207E3">
        <w:rPr>
          <w:i/>
        </w:rPr>
        <w:t>shall not….”</w:t>
      </w:r>
      <w:r w:rsidR="007207E3">
        <w:rPr>
          <w:i/>
        </w:rPr>
        <w:t xml:space="preserve"> </w:t>
      </w:r>
      <w:r w:rsidR="007207E3">
        <w:t xml:space="preserve">Undoubtedly, this is a clear indication that the remedy of compensation </w:t>
      </w:r>
      <w:r w:rsidR="008E5E64">
        <w:t>by way of damages arises only in the context of an appeal.</w:t>
      </w:r>
      <w:r w:rsidR="00BA0AC5">
        <w:t xml:space="preserve"> </w:t>
      </w:r>
      <w:r w:rsidR="00DF665B">
        <w:t xml:space="preserve">It must be borne in mid that the Administrative Court does not have </w:t>
      </w:r>
      <w:r w:rsidR="005033BA">
        <w:t xml:space="preserve">jurisdiction to hear applications for judicial review. That power is vested in the High Court. </w:t>
      </w:r>
      <w:r w:rsidR="00BA0AC5">
        <w:t xml:space="preserve">This reality </w:t>
      </w:r>
      <w:r w:rsidR="000E4CF4">
        <w:t xml:space="preserve">further </w:t>
      </w:r>
      <w:r w:rsidR="00BA0AC5">
        <w:t>undermines the 1</w:t>
      </w:r>
      <w:r w:rsidR="00BA0AC5" w:rsidRPr="00BA0AC5">
        <w:rPr>
          <w:vertAlign w:val="superscript"/>
        </w:rPr>
        <w:t>st</w:t>
      </w:r>
      <w:r w:rsidR="00BA0AC5">
        <w:t xml:space="preserve"> respondent’s argument that this court has no jurisdiction by virtue of section 7 of the AJA.</w:t>
      </w:r>
      <w:r w:rsidR="0008712A">
        <w:t xml:space="preserve"> In light of this, I find the contention that this court lacks jurisdiction without merit and proceed to dismiss it.</w:t>
      </w:r>
    </w:p>
    <w:p w:rsidR="00844A18" w:rsidRDefault="00844A18" w:rsidP="007E16B7">
      <w:pPr>
        <w:spacing w:line="360" w:lineRule="auto"/>
        <w:jc w:val="both"/>
      </w:pPr>
      <w:r>
        <w:tab/>
        <w:t>The 1</w:t>
      </w:r>
      <w:r w:rsidRPr="00844A18">
        <w:rPr>
          <w:vertAlign w:val="superscript"/>
        </w:rPr>
        <w:t>st</w:t>
      </w:r>
      <w:r>
        <w:t xml:space="preserve"> respondent also submitted that the 1</w:t>
      </w:r>
      <w:r w:rsidRPr="00844A18">
        <w:rPr>
          <w:vertAlign w:val="superscript"/>
        </w:rPr>
        <w:t>st</w:t>
      </w:r>
      <w:r>
        <w:t xml:space="preserve"> respondent was improperly cited as it was not a </w:t>
      </w:r>
      <w:r w:rsidRPr="0061557E">
        <w:rPr>
          <w:i/>
        </w:rPr>
        <w:t>legal persona</w:t>
      </w:r>
      <w:r>
        <w:t>.</w:t>
      </w:r>
      <w:r w:rsidR="0061557E">
        <w:t xml:space="preserve"> Reliance was placed on section 47 (1) of the Manpower Planning and Development Act [Chapter 28:02], which provides:</w:t>
      </w:r>
    </w:p>
    <w:p w:rsidR="00E25B6C" w:rsidRPr="008F01F6" w:rsidRDefault="00E25B6C" w:rsidP="008F01F6">
      <w:pPr>
        <w:jc w:val="both"/>
        <w:rPr>
          <w:sz w:val="18"/>
          <w:szCs w:val="18"/>
        </w:rPr>
      </w:pPr>
    </w:p>
    <w:p w:rsidR="00A32859" w:rsidRPr="00A32859" w:rsidRDefault="00747E92" w:rsidP="008F01F6">
      <w:pPr>
        <w:ind w:left="720"/>
        <w:jc w:val="both"/>
        <w:rPr>
          <w:sz w:val="22"/>
          <w:szCs w:val="22"/>
        </w:rPr>
      </w:pPr>
      <w:r w:rsidRPr="00A32859">
        <w:rPr>
          <w:sz w:val="22"/>
          <w:szCs w:val="22"/>
        </w:rPr>
        <w:t xml:space="preserve">“The </w:t>
      </w:r>
      <w:r w:rsidR="00F65E3B" w:rsidRPr="00A32859">
        <w:rPr>
          <w:sz w:val="22"/>
          <w:szCs w:val="22"/>
        </w:rPr>
        <w:t xml:space="preserve">Zimbabwe </w:t>
      </w:r>
      <w:r w:rsidRPr="00A32859">
        <w:rPr>
          <w:sz w:val="22"/>
          <w:szCs w:val="22"/>
        </w:rPr>
        <w:t>Manpower Development Fund</w:t>
      </w:r>
      <w:r w:rsidR="00F65E3B" w:rsidRPr="00A32859">
        <w:rPr>
          <w:sz w:val="22"/>
          <w:szCs w:val="22"/>
        </w:rPr>
        <w:t>, established by section 23 of the Manpower</w:t>
      </w:r>
      <w:r w:rsidR="00A32859" w:rsidRPr="00A32859">
        <w:rPr>
          <w:sz w:val="22"/>
          <w:szCs w:val="22"/>
        </w:rPr>
        <w:t xml:space="preserve"> Planning and Development Act 1984 (No 36 of 1984), shall continue in existence under this Act”</w:t>
      </w:r>
    </w:p>
    <w:p w:rsidR="008F01F6" w:rsidRPr="0080163F" w:rsidRDefault="008F01F6" w:rsidP="008F01F6">
      <w:pPr>
        <w:spacing w:line="360" w:lineRule="auto"/>
        <w:jc w:val="both"/>
        <w:rPr>
          <w:sz w:val="20"/>
          <w:szCs w:val="20"/>
        </w:rPr>
      </w:pPr>
    </w:p>
    <w:p w:rsidR="002D06AD" w:rsidRDefault="008F01F6" w:rsidP="002D06AD">
      <w:pPr>
        <w:spacing w:line="360" w:lineRule="auto"/>
        <w:jc w:val="both"/>
      </w:pPr>
      <w:r>
        <w:t xml:space="preserve">The argument continued that </w:t>
      </w:r>
      <w:r w:rsidR="00D30BC4">
        <w:t xml:space="preserve">section 23 of the now repealed Manpower Planning and Development Act 1984, </w:t>
      </w:r>
      <w:r w:rsidR="005F6130">
        <w:t>established a fund and not the legal status of the 1</w:t>
      </w:r>
      <w:r w:rsidR="005F6130" w:rsidRPr="005F6130">
        <w:rPr>
          <w:vertAlign w:val="superscript"/>
        </w:rPr>
        <w:t>st</w:t>
      </w:r>
      <w:r w:rsidR="005F6130">
        <w:t xml:space="preserve"> respondent.</w:t>
      </w:r>
      <w:r w:rsidR="001D142F">
        <w:t xml:space="preserve"> It was the 1</w:t>
      </w:r>
      <w:r w:rsidR="001D142F" w:rsidRPr="001D142F">
        <w:rPr>
          <w:vertAlign w:val="superscript"/>
        </w:rPr>
        <w:t>st</w:t>
      </w:r>
      <w:r w:rsidR="001D142F">
        <w:t xml:space="preserve"> respondent’</w:t>
      </w:r>
      <w:r w:rsidR="00BD6B87">
        <w:t xml:space="preserve">s submission that, in terms of section 47 (4) of the Manpower Development and Planning Act, </w:t>
      </w:r>
      <w:r w:rsidR="001D142F">
        <w:t xml:space="preserve">the said fund vests </w:t>
      </w:r>
      <w:r w:rsidR="00FF1928">
        <w:t>in the Minister as a trustee, and is administered</w:t>
      </w:r>
      <w:r w:rsidR="00EF7D2F">
        <w:t xml:space="preserve"> by the Chief Executive. </w:t>
      </w:r>
      <w:r w:rsidR="00CD4A0B">
        <w:t>Thus, the 1</w:t>
      </w:r>
      <w:r w:rsidR="00CD4A0B" w:rsidRPr="00CD4A0B">
        <w:rPr>
          <w:vertAlign w:val="superscript"/>
        </w:rPr>
        <w:t>st</w:t>
      </w:r>
      <w:r w:rsidR="00CD4A0B">
        <w:t xml:space="preserve"> respondent contended that the 1</w:t>
      </w:r>
      <w:r w:rsidR="00CD4A0B" w:rsidRPr="00CD4A0B">
        <w:rPr>
          <w:vertAlign w:val="superscript"/>
        </w:rPr>
        <w:t>st</w:t>
      </w:r>
      <w:r w:rsidR="00CD4A0B">
        <w:t xml:space="preserve"> respondent was trustee and, consequent</w:t>
      </w:r>
      <w:r w:rsidR="004D51E2">
        <w:t xml:space="preserve">ly, had no </w:t>
      </w:r>
      <w:r w:rsidR="004D51E2" w:rsidRPr="004D51E2">
        <w:rPr>
          <w:i/>
        </w:rPr>
        <w:t>locus standi</w:t>
      </w:r>
      <w:r w:rsidR="004D51E2">
        <w:t xml:space="preserve"> to sue or be sued. The court was referred to </w:t>
      </w:r>
      <w:r w:rsidR="004D51E2" w:rsidRPr="00433221">
        <w:rPr>
          <w:i/>
        </w:rPr>
        <w:t xml:space="preserve">Commissioner for Inland Revenue </w:t>
      </w:r>
      <w:r w:rsidR="00F233CB" w:rsidRPr="00433221">
        <w:rPr>
          <w:i/>
        </w:rPr>
        <w:t xml:space="preserve">v McNeillie’s Estate </w:t>
      </w:r>
      <w:r w:rsidR="00F233CB">
        <w:t xml:space="preserve">1961 (3) SA 833 (A) at </w:t>
      </w:r>
      <w:r w:rsidR="003A0179">
        <w:t xml:space="preserve">840E as well as </w:t>
      </w:r>
      <w:r w:rsidR="003A0179" w:rsidRPr="00433221">
        <w:rPr>
          <w:i/>
        </w:rPr>
        <w:t>Crundall Brothers (Pvt) Ltd v Lazarus N O and Anor</w:t>
      </w:r>
      <w:r w:rsidR="00433221">
        <w:t>: 1991 (3) SA 812 (ZH).</w:t>
      </w:r>
      <w:r w:rsidR="00F233CB">
        <w:t xml:space="preserve"> </w:t>
      </w:r>
      <w:r w:rsidR="004B1110" w:rsidRPr="006C134A">
        <w:rPr>
          <w:i/>
        </w:rPr>
        <w:t>Adv Ndlovu</w:t>
      </w:r>
      <w:r w:rsidR="006C134A">
        <w:t>,</w:t>
      </w:r>
      <w:r w:rsidR="004B1110">
        <w:t xml:space="preserve"> in confronting this argument submitted that the 1</w:t>
      </w:r>
      <w:r w:rsidR="004B1110" w:rsidRPr="004B1110">
        <w:rPr>
          <w:vertAlign w:val="superscript"/>
        </w:rPr>
        <w:t>st</w:t>
      </w:r>
      <w:r w:rsidR="004B1110">
        <w:t xml:space="preserve"> respondent can be sued, and referred me to the case of </w:t>
      </w:r>
      <w:r w:rsidR="005C2042" w:rsidRPr="005C2042">
        <w:rPr>
          <w:i/>
        </w:rPr>
        <w:t>Tamanikwa</w:t>
      </w:r>
      <w:r w:rsidR="00AF44E1">
        <w:rPr>
          <w:i/>
        </w:rPr>
        <w:t xml:space="preserve"> and Ors</w:t>
      </w:r>
      <w:r w:rsidR="005C2042" w:rsidRPr="005C2042">
        <w:rPr>
          <w:i/>
        </w:rPr>
        <w:t xml:space="preserve"> v </w:t>
      </w:r>
      <w:r w:rsidR="00AF44E1">
        <w:rPr>
          <w:i/>
        </w:rPr>
        <w:t xml:space="preserve">Zimbabwe </w:t>
      </w:r>
      <w:r w:rsidR="005C2042" w:rsidRPr="005C2042">
        <w:rPr>
          <w:i/>
        </w:rPr>
        <w:t xml:space="preserve">Manpower Development Fund </w:t>
      </w:r>
      <w:r w:rsidR="005C2042">
        <w:t>SC 53-13.</w:t>
      </w:r>
      <w:r w:rsidR="004D51E2">
        <w:t xml:space="preserve"> </w:t>
      </w:r>
      <w:r w:rsidR="006C134A">
        <w:t xml:space="preserve">The response by </w:t>
      </w:r>
      <w:r w:rsidR="006C134A" w:rsidRPr="008E2267">
        <w:rPr>
          <w:i/>
        </w:rPr>
        <w:t>Adv Uriri</w:t>
      </w:r>
      <w:r w:rsidR="005A773A">
        <w:t xml:space="preserve"> was that the</w:t>
      </w:r>
      <w:r w:rsidR="006C134A">
        <w:t xml:space="preserve"> issue </w:t>
      </w:r>
      <w:r w:rsidR="005A773A">
        <w:t>of the 1</w:t>
      </w:r>
      <w:r w:rsidR="005A773A" w:rsidRPr="005A773A">
        <w:rPr>
          <w:vertAlign w:val="superscript"/>
        </w:rPr>
        <w:t>st</w:t>
      </w:r>
      <w:r w:rsidR="005A773A">
        <w:t xml:space="preserve"> respondent’s </w:t>
      </w:r>
      <w:r w:rsidR="005A773A" w:rsidRPr="005A773A">
        <w:rPr>
          <w:i/>
        </w:rPr>
        <w:t>locus standi</w:t>
      </w:r>
      <w:r w:rsidR="005A773A">
        <w:t xml:space="preserve"> </w:t>
      </w:r>
      <w:r w:rsidR="006C134A">
        <w:t xml:space="preserve">did not arise in the </w:t>
      </w:r>
      <w:r w:rsidR="006C134A" w:rsidRPr="00402A05">
        <w:rPr>
          <w:i/>
        </w:rPr>
        <w:t>Tamanikwa case</w:t>
      </w:r>
      <w:r w:rsidR="006C134A">
        <w:t xml:space="preserve"> and was, therefore, not decided.</w:t>
      </w:r>
      <w:r w:rsidR="008B4D31">
        <w:t xml:space="preserve"> In that case, GOWORA JA (as she then was) just described the Zimbabwe Manpower Development Fund as a statutory body created in terms of section 47 (1) of the </w:t>
      </w:r>
      <w:r w:rsidR="008363DA">
        <w:t xml:space="preserve">Manpower Development and Planning Act. It appears to me, though, to be significant </w:t>
      </w:r>
      <w:r w:rsidR="00442D09">
        <w:t xml:space="preserve">that the Zimbabwe </w:t>
      </w:r>
      <w:r w:rsidR="00C824D0">
        <w:t>Manpower Development Fund was recognized by the Supreme Court judgment as a statutory body. I t</w:t>
      </w:r>
      <w:r w:rsidR="00465861">
        <w:t>ake the view</w:t>
      </w:r>
      <w:r w:rsidR="00C824D0">
        <w:t xml:space="preserve"> that </w:t>
      </w:r>
      <w:r w:rsidR="00465861">
        <w:t>nothing precludes the 1</w:t>
      </w:r>
      <w:r w:rsidR="00465861" w:rsidRPr="00465861">
        <w:rPr>
          <w:vertAlign w:val="superscript"/>
        </w:rPr>
        <w:t>st</w:t>
      </w:r>
      <w:r w:rsidR="00465861">
        <w:t xml:space="preserve"> respondent from suing</w:t>
      </w:r>
      <w:r w:rsidR="00B75093">
        <w:t xml:space="preserve"> and be</w:t>
      </w:r>
      <w:r w:rsidR="00465861">
        <w:t>ing</w:t>
      </w:r>
      <w:r w:rsidR="00B75093">
        <w:t xml:space="preserve"> sued in its name. For that reason, I dismiss the point in </w:t>
      </w:r>
      <w:r w:rsidR="00B75093" w:rsidRPr="00B75093">
        <w:rPr>
          <w:i/>
        </w:rPr>
        <w:t>limine</w:t>
      </w:r>
      <w:r w:rsidR="00B75093">
        <w:t>.</w:t>
      </w:r>
    </w:p>
    <w:p w:rsidR="00653AEA" w:rsidRDefault="00ED26DD" w:rsidP="00427CD2">
      <w:pPr>
        <w:spacing w:line="360" w:lineRule="auto"/>
        <w:ind w:firstLine="720"/>
        <w:jc w:val="both"/>
      </w:pPr>
      <w:r>
        <w:lastRenderedPageBreak/>
        <w:t>I now exa</w:t>
      </w:r>
      <w:r w:rsidR="00CD4716">
        <w:t xml:space="preserve">mine the </w:t>
      </w:r>
      <w:r w:rsidR="00783003">
        <w:t xml:space="preserve">jurisdictional </w:t>
      </w:r>
      <w:r w:rsidR="00CD4716">
        <w:t xml:space="preserve">point in </w:t>
      </w:r>
      <w:r w:rsidR="00CD4716" w:rsidRPr="00CD4716">
        <w:rPr>
          <w:i/>
        </w:rPr>
        <w:t>limine</w:t>
      </w:r>
      <w:r w:rsidR="00CD4716">
        <w:t xml:space="preserve"> raised by the applicant.</w:t>
      </w:r>
      <w:r w:rsidR="0039064A">
        <w:t xml:space="preserve"> The</w:t>
      </w:r>
      <w:r w:rsidR="00257F99">
        <w:t xml:space="preserve"> pleadings before me reveal that the</w:t>
      </w:r>
      <w:r w:rsidR="0039064A">
        <w:t xml:space="preserve"> issue of the impropriety of the composition of the </w:t>
      </w:r>
      <w:r w:rsidR="001762BA">
        <w:t>review panel was persistently raised by the applicant.</w:t>
      </w:r>
      <w:r w:rsidR="007D6B1C">
        <w:t xml:space="preserve"> </w:t>
      </w:r>
      <w:r w:rsidR="003C1DC3">
        <w:t xml:space="preserve">The </w:t>
      </w:r>
      <w:r w:rsidR="00332514">
        <w:t xml:space="preserve">applicant challenged the </w:t>
      </w:r>
      <w:r w:rsidR="003C1DC3">
        <w:t>2</w:t>
      </w:r>
      <w:r w:rsidR="003C1DC3" w:rsidRPr="003C1DC3">
        <w:rPr>
          <w:vertAlign w:val="superscript"/>
        </w:rPr>
        <w:t>nd</w:t>
      </w:r>
      <w:r w:rsidR="003C1DC3">
        <w:t xml:space="preserve"> res</w:t>
      </w:r>
      <w:r w:rsidR="00332514">
        <w:t>pondent on</w:t>
      </w:r>
      <w:r w:rsidR="00DC1994">
        <w:t xml:space="preserve"> the appointment of the panel members </w:t>
      </w:r>
      <w:r w:rsidR="00332514">
        <w:t>which he vehemently asserted to be</w:t>
      </w:r>
      <w:r w:rsidR="00DC1994">
        <w:t xml:space="preserve"> contrary to the requirements of section 75 (4)</w:t>
      </w:r>
      <w:r w:rsidR="00F06042">
        <w:t xml:space="preserve"> of the Public Procurement Act</w:t>
      </w:r>
      <w:r w:rsidR="00DC1994">
        <w:t xml:space="preserve">. </w:t>
      </w:r>
      <w:r w:rsidR="00C55E3B">
        <w:t xml:space="preserve">To put the issue in context, </w:t>
      </w:r>
      <w:r w:rsidR="00C6788C">
        <w:t xml:space="preserve">it is necessary to look at </w:t>
      </w:r>
      <w:r w:rsidR="008612F1">
        <w:t xml:space="preserve">what this provision says. </w:t>
      </w:r>
      <w:r w:rsidR="00897BCA">
        <w:t>Sect</w:t>
      </w:r>
      <w:r w:rsidR="00427CD2">
        <w:t>ion 75 (4) provides as follows:</w:t>
      </w:r>
    </w:p>
    <w:p w:rsidR="00427CD2" w:rsidRPr="00427CD2" w:rsidRDefault="00427CD2" w:rsidP="00427CD2">
      <w:pPr>
        <w:spacing w:line="360" w:lineRule="auto"/>
        <w:ind w:firstLine="720"/>
        <w:jc w:val="both"/>
        <w:rPr>
          <w:sz w:val="16"/>
          <w:szCs w:val="16"/>
        </w:rPr>
      </w:pPr>
    </w:p>
    <w:p w:rsidR="00A2421C" w:rsidRPr="00E0104F" w:rsidRDefault="00653AEA" w:rsidP="00E0104F">
      <w:pPr>
        <w:ind w:left="720"/>
        <w:jc w:val="both"/>
        <w:rPr>
          <w:sz w:val="22"/>
          <w:szCs w:val="22"/>
        </w:rPr>
      </w:pPr>
      <w:r w:rsidRPr="00E0104F">
        <w:rPr>
          <w:sz w:val="22"/>
          <w:szCs w:val="22"/>
        </w:rPr>
        <w:t xml:space="preserve"> </w:t>
      </w:r>
      <w:r w:rsidR="00A2421C" w:rsidRPr="00E0104F">
        <w:rPr>
          <w:sz w:val="22"/>
          <w:szCs w:val="22"/>
        </w:rPr>
        <w:t>“A review panel for any challenge shall consist of at least three me</w:t>
      </w:r>
      <w:r w:rsidR="00427CD2">
        <w:rPr>
          <w:sz w:val="22"/>
          <w:szCs w:val="22"/>
        </w:rPr>
        <w:t>mbers appointed by the authority</w:t>
      </w:r>
      <w:r w:rsidR="00A2421C" w:rsidRPr="00E0104F">
        <w:rPr>
          <w:sz w:val="22"/>
          <w:szCs w:val="22"/>
        </w:rPr>
        <w:t xml:space="preserve"> from a list of</w:t>
      </w:r>
      <w:r w:rsidR="00427CD2">
        <w:rPr>
          <w:sz w:val="22"/>
          <w:szCs w:val="22"/>
        </w:rPr>
        <w:t xml:space="preserve"> </w:t>
      </w:r>
      <w:r w:rsidR="007B1F62">
        <w:rPr>
          <w:sz w:val="22"/>
          <w:szCs w:val="22"/>
        </w:rPr>
        <w:t>panel</w:t>
      </w:r>
      <w:r w:rsidR="009C653E">
        <w:rPr>
          <w:sz w:val="22"/>
          <w:szCs w:val="22"/>
        </w:rPr>
        <w:t>ists, of whom -</w:t>
      </w:r>
      <w:r w:rsidR="00A2421C" w:rsidRPr="00E0104F">
        <w:rPr>
          <w:sz w:val="22"/>
          <w:szCs w:val="22"/>
        </w:rPr>
        <w:t xml:space="preserve"> (a) one shall be a registered legal practitioner or former legal practitioner or a member or former member of the judiciary; and (b) one shall be a former member of the Civil Service with experience in procurement; and (c) one shall be </w:t>
      </w:r>
      <w:r w:rsidR="000F50B4">
        <w:rPr>
          <w:sz w:val="22"/>
          <w:szCs w:val="22"/>
        </w:rPr>
        <w:t>a person nominated by an organiz</w:t>
      </w:r>
      <w:r w:rsidR="00A2421C" w:rsidRPr="00E0104F">
        <w:rPr>
          <w:sz w:val="22"/>
          <w:szCs w:val="22"/>
        </w:rPr>
        <w:t>ation referred to in subsection (2)(a)</w:t>
      </w:r>
      <w:r w:rsidR="00AD2684" w:rsidRPr="00E0104F">
        <w:rPr>
          <w:sz w:val="22"/>
          <w:szCs w:val="22"/>
        </w:rPr>
        <w:t>”</w:t>
      </w:r>
      <w:r w:rsidR="00A2421C" w:rsidRPr="00E0104F">
        <w:rPr>
          <w:sz w:val="22"/>
          <w:szCs w:val="22"/>
        </w:rPr>
        <w:t>.</w:t>
      </w:r>
    </w:p>
    <w:p w:rsidR="00897BCA" w:rsidRPr="002300F9" w:rsidRDefault="00897BCA" w:rsidP="002D06AD">
      <w:pPr>
        <w:spacing w:line="360" w:lineRule="auto"/>
        <w:ind w:firstLine="720"/>
        <w:jc w:val="both"/>
        <w:rPr>
          <w:sz w:val="22"/>
          <w:szCs w:val="22"/>
        </w:rPr>
      </w:pPr>
    </w:p>
    <w:p w:rsidR="00ED26DD" w:rsidRDefault="007A07DB" w:rsidP="002550CE">
      <w:pPr>
        <w:spacing w:line="360" w:lineRule="auto"/>
        <w:jc w:val="both"/>
      </w:pPr>
      <w:r>
        <w:t xml:space="preserve">That challenge </w:t>
      </w:r>
      <w:r w:rsidR="00F25D82">
        <w:t xml:space="preserve">necessarily </w:t>
      </w:r>
      <w:r>
        <w:t>required the 2</w:t>
      </w:r>
      <w:r w:rsidRPr="007A07DB">
        <w:rPr>
          <w:vertAlign w:val="superscript"/>
        </w:rPr>
        <w:t>nd</w:t>
      </w:r>
      <w:r>
        <w:t xml:space="preserve"> respondent to demonstrate how each member of the panel satisfied the criteria established by the legislation. </w:t>
      </w:r>
      <w:r w:rsidR="000863D9">
        <w:t>I observe that, instead, the 2</w:t>
      </w:r>
      <w:r w:rsidR="000863D9" w:rsidRPr="000863D9">
        <w:rPr>
          <w:vertAlign w:val="superscript"/>
        </w:rPr>
        <w:t>nd</w:t>
      </w:r>
      <w:r w:rsidR="000863D9">
        <w:t xml:space="preserve"> respondent merely stated that the panel members were appointed in terms of </w:t>
      </w:r>
      <w:r w:rsidR="00584013">
        <w:t>section 75 (4)</w:t>
      </w:r>
      <w:r w:rsidR="00186CF8">
        <w:t xml:space="preserve">. </w:t>
      </w:r>
      <w:r w:rsidR="00CA322A">
        <w:t>In this context, it bears mentioning that i</w:t>
      </w:r>
      <w:r w:rsidR="00155DC8">
        <w:t xml:space="preserve">n </w:t>
      </w:r>
      <w:r w:rsidR="005D06D2">
        <w:t>paragraph 21 of his</w:t>
      </w:r>
      <w:r w:rsidR="0013664C">
        <w:t xml:space="preserve"> founding affidavit</w:t>
      </w:r>
      <w:r w:rsidR="005D06D2">
        <w:t>, the applicant stated the requisit</w:t>
      </w:r>
      <w:r w:rsidR="000941C4">
        <w:t xml:space="preserve">e criteria for panel membership, and demonstrated in what way </w:t>
      </w:r>
      <w:r w:rsidR="00C85734">
        <w:t>the composition was not non-compliant with what section 75 (4) envisaged.</w:t>
      </w:r>
      <w:r w:rsidR="007403C2">
        <w:t xml:space="preserve"> My observation is that t</w:t>
      </w:r>
      <w:r w:rsidR="00A64666">
        <w:t>he 1</w:t>
      </w:r>
      <w:r w:rsidR="00A64666" w:rsidRPr="00A64666">
        <w:rPr>
          <w:vertAlign w:val="superscript"/>
        </w:rPr>
        <w:t>st</w:t>
      </w:r>
      <w:r w:rsidR="00A64666">
        <w:t xml:space="preserve"> respondent’</w:t>
      </w:r>
      <w:r w:rsidR="00092481">
        <w:t>s response as it appears in the le</w:t>
      </w:r>
      <w:r w:rsidR="009904ED">
        <w:t xml:space="preserve">tter on record and in its founding affidavit </w:t>
      </w:r>
      <w:r w:rsidR="00CD5543">
        <w:t xml:space="preserve">woefully falls short of </w:t>
      </w:r>
      <w:r w:rsidR="009904ED">
        <w:t xml:space="preserve"> </w:t>
      </w:r>
      <w:r w:rsidR="00CD5543">
        <w:t>illuminating how each panel member qualifies</w:t>
      </w:r>
      <w:r w:rsidR="00304588">
        <w:t xml:space="preserve"> </w:t>
      </w:r>
      <w:r w:rsidR="00F0084D">
        <w:t xml:space="preserve">for appointment </w:t>
      </w:r>
      <w:r w:rsidR="00304588">
        <w:t>under section 75 (4).</w:t>
      </w:r>
      <w:r w:rsidR="000F4A99">
        <w:t xml:space="preserve"> </w:t>
      </w:r>
      <w:r w:rsidR="00307F4D">
        <w:t>To be precise,</w:t>
      </w:r>
      <w:r w:rsidR="00D36C5A">
        <w:t xml:space="preserve"> </w:t>
      </w:r>
      <w:r w:rsidR="00307F4D">
        <w:t>the answer</w:t>
      </w:r>
      <w:r w:rsidR="00D36C5A">
        <w:t xml:space="preserve"> only states that section 75 (4) was complied with.</w:t>
      </w:r>
      <w:r w:rsidR="00CA2648">
        <w:t xml:space="preserve"> Because the applicant had </w:t>
      </w:r>
      <w:r w:rsidR="00677E31">
        <w:t>fully set out his reason for the</w:t>
      </w:r>
      <w:r w:rsidR="00CA2648">
        <w:t xml:space="preserve"> view that the </w:t>
      </w:r>
      <w:r w:rsidR="00186CF8">
        <w:t>law</w:t>
      </w:r>
      <w:r w:rsidR="004A6B81">
        <w:t xml:space="preserve"> had been flouted</w:t>
      </w:r>
      <w:r w:rsidR="0083793C">
        <w:t>, the answer should have gone on</w:t>
      </w:r>
      <w:r w:rsidR="006E5525">
        <w:t xml:space="preserve"> </w:t>
      </w:r>
      <w:r w:rsidR="0083793C">
        <w:t xml:space="preserve">to explain how the selected </w:t>
      </w:r>
      <w:r w:rsidR="006E5525">
        <w:t>member</w:t>
      </w:r>
      <w:r w:rsidR="0083793C">
        <w:t>s</w:t>
      </w:r>
      <w:r w:rsidR="006E5525">
        <w:t xml:space="preserve"> met the provisions of section 75 (4) (a) to (c). </w:t>
      </w:r>
      <w:r w:rsidR="001643F1">
        <w:t>For example, the 2</w:t>
      </w:r>
      <w:r w:rsidR="001643F1" w:rsidRPr="001643F1">
        <w:rPr>
          <w:vertAlign w:val="superscript"/>
        </w:rPr>
        <w:t>nd</w:t>
      </w:r>
      <w:r w:rsidR="001643F1">
        <w:t xml:space="preserve"> respondent ought to have said, in the case of Mr Mutizwa, is </w:t>
      </w:r>
      <w:r w:rsidR="00787B0E">
        <w:t>a current registered legal practitioner;</w:t>
      </w:r>
      <w:r w:rsidR="00D93514">
        <w:t xml:space="preserve"> Mr Mambara is either a former member of the civil service </w:t>
      </w:r>
      <w:r w:rsidR="00243120">
        <w:t>[</w:t>
      </w:r>
      <w:r w:rsidR="00D93514">
        <w:t>having worked in such and such capacity</w:t>
      </w:r>
      <w:r w:rsidR="005A2D0F">
        <w:t xml:space="preserve">], and has experience in procurement </w:t>
      </w:r>
      <w:r w:rsidR="00EA0C06">
        <w:t>[with reasons being given to back this up.</w:t>
      </w:r>
      <w:r w:rsidR="0040286C">
        <w:t xml:space="preserve"> Finally, in the case of Mr </w:t>
      </w:r>
      <w:r w:rsidR="006805BA">
        <w:t xml:space="preserve">Nkomo, </w:t>
      </w:r>
      <w:r w:rsidR="00A008BB">
        <w:t>the 2</w:t>
      </w:r>
      <w:r w:rsidR="00A008BB" w:rsidRPr="00A008BB">
        <w:rPr>
          <w:vertAlign w:val="superscript"/>
        </w:rPr>
        <w:t>nd</w:t>
      </w:r>
      <w:r w:rsidR="00A008BB">
        <w:t xml:space="preserve"> respondent </w:t>
      </w:r>
      <w:r w:rsidR="00564199">
        <w:t xml:space="preserve">ought to have stated </w:t>
      </w:r>
      <w:r w:rsidR="00AE4AD6">
        <w:t>that he is a person nominated by any of</w:t>
      </w:r>
      <w:r w:rsidR="00B20D01">
        <w:t xml:space="preserve"> the organizations named in section 75 </w:t>
      </w:r>
      <w:r w:rsidR="00BF3595">
        <w:t xml:space="preserve">(2) </w:t>
      </w:r>
      <w:r w:rsidR="00B20D01">
        <w:t>(a).</w:t>
      </w:r>
      <w:r w:rsidR="00EA0C06">
        <w:t xml:space="preserve"> </w:t>
      </w:r>
      <w:r w:rsidR="008C16F3">
        <w:t xml:space="preserve">I will deal with this provision later in my judgment. </w:t>
      </w:r>
      <w:r w:rsidR="00BF3595">
        <w:t>None of that was done. The question of whether or not a</w:t>
      </w:r>
      <w:r w:rsidR="00E66B93">
        <w:t>n appointee meets the stipulated</w:t>
      </w:r>
      <w:r w:rsidR="00BF3595">
        <w:t xml:space="preserve"> statutory criteria cannot be left to conjecture. </w:t>
      </w:r>
      <w:r w:rsidR="00354EB8">
        <w:t>T</w:t>
      </w:r>
      <w:r w:rsidR="00782D5B">
        <w:t xml:space="preserve">he papers </w:t>
      </w:r>
      <w:r w:rsidR="00354EB8">
        <w:t xml:space="preserve">on record do not demonstrate </w:t>
      </w:r>
      <w:r w:rsidR="00F8101B">
        <w:t xml:space="preserve">that </w:t>
      </w:r>
      <w:r w:rsidR="009846E5">
        <w:t xml:space="preserve">the panel members complied with </w:t>
      </w:r>
      <w:r w:rsidR="00F8101B">
        <w:t>s</w:t>
      </w:r>
      <w:r w:rsidR="009846E5">
        <w:t xml:space="preserve">ection </w:t>
      </w:r>
      <w:r w:rsidR="00673D3A">
        <w:t xml:space="preserve">75 (4). </w:t>
      </w:r>
    </w:p>
    <w:p w:rsidR="00CF3ED4" w:rsidRDefault="00F77CA1" w:rsidP="00CF3ED4">
      <w:pPr>
        <w:spacing w:line="360" w:lineRule="auto"/>
        <w:jc w:val="both"/>
        <w:rPr>
          <w:iCs/>
        </w:rPr>
      </w:pPr>
      <w:r>
        <w:lastRenderedPageBreak/>
        <w:tab/>
        <w:t xml:space="preserve">In addition, the applicant </w:t>
      </w:r>
      <w:r w:rsidR="00F63D1E">
        <w:t xml:space="preserve">drew </w:t>
      </w:r>
      <w:r>
        <w:t>the attention of this court to section 75 (2) of the Public Procurement Act.</w:t>
      </w:r>
      <w:r w:rsidR="00CA111B">
        <w:t xml:space="preserve"> The specific averment was that the 2</w:t>
      </w:r>
      <w:r w:rsidR="00CA111B" w:rsidRPr="00CA111B">
        <w:rPr>
          <w:vertAlign w:val="superscript"/>
        </w:rPr>
        <w:t>nd</w:t>
      </w:r>
      <w:r w:rsidR="00CA111B">
        <w:t xml:space="preserve"> respondent did not place advertisements </w:t>
      </w:r>
      <w:r w:rsidR="00A87511">
        <w:t xml:space="preserve">asking eligible persons to be included on the list of prospective </w:t>
      </w:r>
      <w:r w:rsidR="004D0172">
        <w:t>panelists, in spite of this being a mandatory requirement.</w:t>
      </w:r>
      <w:r w:rsidR="009E066C">
        <w:t xml:space="preserve"> </w:t>
      </w:r>
      <w:r w:rsidR="00631AFD">
        <w:t>The 2</w:t>
      </w:r>
      <w:r w:rsidR="00631AFD" w:rsidRPr="00631AFD">
        <w:rPr>
          <w:vertAlign w:val="superscript"/>
        </w:rPr>
        <w:t>nd</w:t>
      </w:r>
      <w:r w:rsidR="00631AFD">
        <w:t xml:space="preserve"> respondent did not dispute that no advertisement envisaged by </w:t>
      </w:r>
      <w:r w:rsidR="00922FBB">
        <w:t xml:space="preserve">section 75 (2) was made and, in fact, no such advertisement was produced before this court. </w:t>
      </w:r>
      <w:r w:rsidR="006948BC">
        <w:t>I am therefore unable to disagree with the submission by the applicant that the review panel was not properly constituted</w:t>
      </w:r>
      <w:r w:rsidR="00A70062">
        <w:t>, thereby making its decision of 22 February 2022 a nullity.</w:t>
      </w:r>
      <w:r w:rsidR="00CF3ED4">
        <w:t xml:space="preserve"> In this respect, t</w:t>
      </w:r>
      <w:r w:rsidR="00CF3ED4" w:rsidRPr="00A20B70">
        <w:t>he effect of an order granted in the absence of jurisdiction was spelt out</w:t>
      </w:r>
      <w:r w:rsidR="00CF3ED4">
        <w:t xml:space="preserve"> by Supreme Court</w:t>
      </w:r>
      <w:r w:rsidR="00CF3ED4" w:rsidRPr="00A20B70">
        <w:t xml:space="preserve"> in</w:t>
      </w:r>
      <w:r w:rsidR="00CF3ED4">
        <w:t xml:space="preserve"> </w:t>
      </w:r>
      <w:r w:rsidR="00CF3ED4" w:rsidRPr="00A20B70">
        <w:rPr>
          <w:i/>
        </w:rPr>
        <w:t xml:space="preserve">Muchakata </w:t>
      </w:r>
      <w:r w:rsidR="00CF3ED4" w:rsidRPr="00BD45B8">
        <w:t>v</w:t>
      </w:r>
      <w:r w:rsidR="003A502D">
        <w:rPr>
          <w:i/>
        </w:rPr>
        <w:t xml:space="preserve"> Netherburn Mine supra,</w:t>
      </w:r>
      <w:r w:rsidR="00CF3ED4" w:rsidRPr="009D3E83">
        <w:t xml:space="preserve"> at 157B-C</w:t>
      </w:r>
      <w:r w:rsidR="00CF3ED4">
        <w:t xml:space="preserve">, where </w:t>
      </w:r>
      <w:r w:rsidR="00CF3ED4" w:rsidRPr="00BD45B8">
        <w:rPr>
          <w:smallCaps/>
        </w:rPr>
        <w:t>Korsah</w:t>
      </w:r>
      <w:r w:rsidR="00CF3ED4">
        <w:t xml:space="preserve"> JA</w:t>
      </w:r>
      <w:r w:rsidR="00CF3ED4">
        <w:rPr>
          <w:iCs/>
        </w:rPr>
        <w:t xml:space="preserve"> accepted the following:</w:t>
      </w:r>
    </w:p>
    <w:p w:rsidR="003B47EA" w:rsidRPr="00CF3ED4" w:rsidRDefault="003B47EA" w:rsidP="00CF3ED4">
      <w:pPr>
        <w:spacing w:line="360" w:lineRule="auto"/>
        <w:jc w:val="both"/>
        <w:rPr>
          <w:sz w:val="18"/>
          <w:szCs w:val="18"/>
          <w:vertAlign w:val="subscript"/>
        </w:rPr>
      </w:pPr>
    </w:p>
    <w:p w:rsidR="00CF3ED4" w:rsidRPr="00E02639" w:rsidRDefault="00CF3ED4" w:rsidP="00CF3ED4">
      <w:pPr>
        <w:pStyle w:val="heading"/>
        <w:ind w:left="720"/>
        <w:jc w:val="both"/>
        <w:rPr>
          <w:rFonts w:ascii="Andalus" w:hAnsi="Andalus" w:cs="Andalus"/>
          <w:b w:val="0"/>
          <w:i/>
          <w:iCs/>
          <w:color w:val="auto"/>
          <w:sz w:val="24"/>
          <w:szCs w:val="24"/>
        </w:rPr>
      </w:pPr>
      <w:r w:rsidRPr="000D56ED">
        <w:rPr>
          <w:rFonts w:ascii="Andalus" w:hAnsi="Andalus" w:cs="Andalus"/>
          <w:b w:val="0"/>
          <w:iCs/>
          <w:color w:val="auto"/>
          <w:sz w:val="24"/>
          <w:szCs w:val="24"/>
        </w:rPr>
        <w:t>“</w:t>
      </w:r>
      <w:r w:rsidRPr="00BD45B8">
        <w:rPr>
          <w:b w:val="0"/>
          <w:iCs/>
          <w:color w:val="auto"/>
          <w:sz w:val="22"/>
          <w:szCs w:val="22"/>
        </w:rPr>
        <w:t xml:space="preserve">If the order was void </w:t>
      </w:r>
      <w:r w:rsidRPr="002C2170">
        <w:rPr>
          <w:b w:val="0"/>
          <w:i/>
          <w:iCs/>
          <w:color w:val="auto"/>
          <w:sz w:val="22"/>
          <w:szCs w:val="22"/>
        </w:rPr>
        <w:t>ab initio</w:t>
      </w:r>
      <w:r w:rsidRPr="00BD45B8">
        <w:rPr>
          <w:b w:val="0"/>
          <w:iCs/>
          <w:color w:val="auto"/>
          <w:sz w:val="22"/>
          <w:szCs w:val="22"/>
        </w:rPr>
        <w:t xml:space="preserve"> it was void at all times and for all purposes. It does not matter when and by whom the issue of its validity is raised; nothing can depend on it. As Lord Denning MR so exquisitely put it in</w:t>
      </w:r>
      <w:r w:rsidRPr="00BD45B8">
        <w:rPr>
          <w:b w:val="0"/>
          <w:i/>
          <w:iCs/>
          <w:color w:val="auto"/>
          <w:sz w:val="22"/>
          <w:szCs w:val="22"/>
        </w:rPr>
        <w:t xml:space="preserve"> MacFoy </w:t>
      </w:r>
      <w:r w:rsidRPr="00BD45B8">
        <w:rPr>
          <w:b w:val="0"/>
          <w:iCs/>
          <w:color w:val="auto"/>
          <w:sz w:val="22"/>
          <w:szCs w:val="22"/>
        </w:rPr>
        <w:t>v</w:t>
      </w:r>
      <w:r w:rsidRPr="00BD45B8">
        <w:rPr>
          <w:b w:val="0"/>
          <w:i/>
          <w:iCs/>
          <w:color w:val="auto"/>
          <w:sz w:val="22"/>
          <w:szCs w:val="22"/>
        </w:rPr>
        <w:t xml:space="preserve"> United Africa Co Ltd</w:t>
      </w:r>
      <w:r w:rsidRPr="00BD45B8">
        <w:rPr>
          <w:i/>
          <w:iCs/>
          <w:color w:val="auto"/>
          <w:sz w:val="22"/>
          <w:szCs w:val="22"/>
        </w:rPr>
        <w:t xml:space="preserve"> </w:t>
      </w:r>
      <w:r w:rsidRPr="00BD45B8">
        <w:rPr>
          <w:b w:val="0"/>
          <w:iCs/>
          <w:color w:val="auto"/>
          <w:sz w:val="22"/>
          <w:szCs w:val="22"/>
        </w:rPr>
        <w:t>[1961] 3 All ER 1169 at 1172I</w:t>
      </w:r>
      <w:r w:rsidRPr="00E02639">
        <w:rPr>
          <w:rFonts w:ascii="Andalus" w:hAnsi="Andalus" w:cs="Andalus"/>
          <w:b w:val="0"/>
          <w:i/>
          <w:iCs/>
          <w:color w:val="auto"/>
          <w:sz w:val="24"/>
          <w:szCs w:val="24"/>
        </w:rPr>
        <w:t>:</w:t>
      </w:r>
    </w:p>
    <w:p w:rsidR="00CF3ED4" w:rsidRDefault="00CF3ED4" w:rsidP="00CF3ED4">
      <w:pPr>
        <w:pStyle w:val="heading"/>
        <w:spacing w:after="0"/>
        <w:ind w:left="1440"/>
        <w:jc w:val="both"/>
        <w:rPr>
          <w:rFonts w:ascii="Andalus" w:hAnsi="Andalus" w:cs="Andalus"/>
          <w:b w:val="0"/>
          <w:iCs/>
          <w:color w:val="auto"/>
          <w:sz w:val="24"/>
          <w:szCs w:val="24"/>
        </w:rPr>
      </w:pPr>
      <w:r>
        <w:rPr>
          <w:b w:val="0"/>
          <w:iCs/>
          <w:color w:val="auto"/>
          <w:sz w:val="22"/>
          <w:szCs w:val="22"/>
        </w:rPr>
        <w:t>‘</w:t>
      </w:r>
      <w:r w:rsidRPr="00BD45B8">
        <w:rPr>
          <w:b w:val="0"/>
          <w:iCs/>
          <w:color w:val="auto"/>
          <w:sz w:val="22"/>
          <w:szCs w:val="22"/>
        </w:rPr>
        <w:t>If an act is void, then it is in law a nullity. It is not only bad, but incurably bad ... And every proceeding which is founded on it is also bad and incurably bad. You cannot put something on nothing and expect it to stay there. It will collapse</w:t>
      </w:r>
      <w:r w:rsidRPr="000D56ED">
        <w:rPr>
          <w:rFonts w:ascii="Andalus" w:hAnsi="Andalus" w:cs="Andalus"/>
          <w:b w:val="0"/>
          <w:iCs/>
          <w:color w:val="auto"/>
          <w:sz w:val="24"/>
          <w:szCs w:val="24"/>
        </w:rPr>
        <w:t>.</w:t>
      </w:r>
      <w:r>
        <w:rPr>
          <w:rFonts w:ascii="Andalus" w:hAnsi="Andalus" w:cs="Andalus"/>
          <w:b w:val="0"/>
          <w:iCs/>
          <w:color w:val="auto"/>
          <w:sz w:val="24"/>
          <w:szCs w:val="24"/>
        </w:rPr>
        <w:t>’</w:t>
      </w:r>
      <w:r w:rsidRPr="000D56ED">
        <w:rPr>
          <w:rFonts w:ascii="Andalus" w:hAnsi="Andalus" w:cs="Andalus"/>
          <w:b w:val="0"/>
          <w:iCs/>
          <w:color w:val="auto"/>
          <w:sz w:val="24"/>
          <w:szCs w:val="24"/>
        </w:rPr>
        <w:t>"</w:t>
      </w:r>
    </w:p>
    <w:p w:rsidR="00062A1C" w:rsidRDefault="00062A1C" w:rsidP="00062A1C">
      <w:pPr>
        <w:pStyle w:val="heading"/>
        <w:spacing w:after="0"/>
        <w:jc w:val="both"/>
        <w:rPr>
          <w:rFonts w:ascii="Andalus" w:hAnsi="Andalus" w:cs="Andalus"/>
          <w:b w:val="0"/>
          <w:iCs/>
          <w:color w:val="auto"/>
          <w:sz w:val="24"/>
          <w:szCs w:val="24"/>
        </w:rPr>
      </w:pPr>
    </w:p>
    <w:p w:rsidR="00062A1C" w:rsidRDefault="00062A1C" w:rsidP="00062A1C">
      <w:pPr>
        <w:pStyle w:val="heading"/>
        <w:spacing w:after="0" w:line="360" w:lineRule="auto"/>
        <w:ind w:firstLine="720"/>
        <w:jc w:val="both"/>
        <w:rPr>
          <w:rFonts w:ascii="Andalus" w:hAnsi="Andalus" w:cs="Andalus"/>
          <w:b w:val="0"/>
          <w:iCs/>
          <w:color w:val="auto"/>
          <w:sz w:val="24"/>
          <w:szCs w:val="24"/>
        </w:rPr>
      </w:pPr>
      <w:r>
        <w:rPr>
          <w:rFonts w:ascii="Andalus" w:hAnsi="Andalus" w:cs="Andalus"/>
          <w:b w:val="0"/>
          <w:iCs/>
          <w:color w:val="auto"/>
          <w:sz w:val="24"/>
          <w:szCs w:val="24"/>
        </w:rPr>
        <w:t>In fact, there is support for the position that t</w:t>
      </w:r>
      <w:r w:rsidR="002B19E4">
        <w:rPr>
          <w:rFonts w:ascii="Andalus" w:hAnsi="Andalus" w:cs="Andalus"/>
          <w:b w:val="0"/>
          <w:iCs/>
          <w:color w:val="auto"/>
          <w:sz w:val="24"/>
          <w:szCs w:val="24"/>
        </w:rPr>
        <w:t>his court can set aside</w:t>
      </w:r>
      <w:r>
        <w:rPr>
          <w:rFonts w:ascii="Andalus" w:hAnsi="Andalus" w:cs="Andalus"/>
          <w:b w:val="0"/>
          <w:iCs/>
          <w:color w:val="auto"/>
          <w:sz w:val="24"/>
          <w:szCs w:val="24"/>
        </w:rPr>
        <w:t xml:space="preserve"> an irregularly granted order invalid without the need for any particular procedure to be followed. It is interesting to note that in </w:t>
      </w:r>
      <w:r w:rsidRPr="0098747C">
        <w:rPr>
          <w:rFonts w:ascii="Andalus" w:hAnsi="Andalus" w:cs="Andalus"/>
          <w:b w:val="0"/>
          <w:i/>
          <w:iCs/>
          <w:color w:val="auto"/>
          <w:sz w:val="24"/>
          <w:szCs w:val="24"/>
        </w:rPr>
        <w:t>Folly</w:t>
      </w:r>
      <w:r>
        <w:rPr>
          <w:rFonts w:ascii="Andalus" w:hAnsi="Andalus" w:cs="Andalus"/>
          <w:b w:val="0"/>
          <w:iCs/>
          <w:color w:val="auto"/>
          <w:sz w:val="24"/>
          <w:szCs w:val="24"/>
        </w:rPr>
        <w:t xml:space="preserve"> </w:t>
      </w:r>
      <w:r w:rsidRPr="0098747C">
        <w:rPr>
          <w:rFonts w:ascii="Andalus" w:hAnsi="Andalus" w:cs="Andalus"/>
          <w:b w:val="0"/>
          <w:i/>
          <w:iCs/>
          <w:color w:val="auto"/>
          <w:sz w:val="24"/>
          <w:szCs w:val="24"/>
        </w:rPr>
        <w:t xml:space="preserve">Cornishe &amp; Anor </w:t>
      </w:r>
      <w:r w:rsidRPr="007275FA">
        <w:rPr>
          <w:rFonts w:ascii="Andalus" w:hAnsi="Andalus" w:cs="Andalus"/>
          <w:b w:val="0"/>
          <w:iCs/>
          <w:color w:val="auto"/>
          <w:sz w:val="24"/>
          <w:szCs w:val="24"/>
        </w:rPr>
        <w:t xml:space="preserve">v </w:t>
      </w:r>
      <w:r w:rsidRPr="0098747C">
        <w:rPr>
          <w:rFonts w:ascii="Andalus" w:hAnsi="Andalus" w:cs="Andalus"/>
          <w:b w:val="0"/>
          <w:i/>
          <w:iCs/>
          <w:color w:val="auto"/>
          <w:sz w:val="24"/>
          <w:szCs w:val="24"/>
        </w:rPr>
        <w:t>Topwamwa NO &amp; Ors</w:t>
      </w:r>
      <w:r>
        <w:rPr>
          <w:rFonts w:ascii="Andalus" w:hAnsi="Andalus" w:cs="Andalus"/>
          <w:b w:val="0"/>
          <w:iCs/>
          <w:color w:val="auto"/>
          <w:sz w:val="24"/>
          <w:szCs w:val="24"/>
        </w:rPr>
        <w:t xml:space="preserve"> SC 26/14, </w:t>
      </w:r>
      <w:r w:rsidRPr="007275FA">
        <w:rPr>
          <w:rFonts w:ascii="Andalus" w:hAnsi="Andalus" w:cs="Andalus"/>
          <w:b w:val="0"/>
          <w:iCs/>
          <w:smallCaps/>
          <w:color w:val="auto"/>
          <w:sz w:val="24"/>
          <w:szCs w:val="24"/>
        </w:rPr>
        <w:t>Garwe</w:t>
      </w:r>
      <w:r>
        <w:rPr>
          <w:rFonts w:ascii="Andalus" w:hAnsi="Andalus" w:cs="Andalus"/>
          <w:b w:val="0"/>
          <w:iCs/>
          <w:color w:val="auto"/>
          <w:sz w:val="24"/>
          <w:szCs w:val="24"/>
        </w:rPr>
        <w:t xml:space="preserve"> JA referring to </w:t>
      </w:r>
      <w:r w:rsidRPr="00EC680C">
        <w:rPr>
          <w:rFonts w:ascii="Andalus" w:hAnsi="Andalus" w:cs="Andalus"/>
          <w:b w:val="0"/>
          <w:i/>
          <w:iCs/>
          <w:color w:val="auto"/>
          <w:sz w:val="24"/>
          <w:szCs w:val="24"/>
        </w:rPr>
        <w:t xml:space="preserve">Muchakata </w:t>
      </w:r>
      <w:r w:rsidRPr="007275FA">
        <w:rPr>
          <w:rFonts w:ascii="Andalus" w:hAnsi="Andalus" w:cs="Andalus"/>
          <w:b w:val="0"/>
          <w:iCs/>
          <w:color w:val="auto"/>
          <w:sz w:val="24"/>
          <w:szCs w:val="24"/>
        </w:rPr>
        <w:t xml:space="preserve">v </w:t>
      </w:r>
      <w:r w:rsidRPr="00EC680C">
        <w:rPr>
          <w:rFonts w:ascii="Andalus" w:hAnsi="Andalus" w:cs="Andalus"/>
          <w:b w:val="0"/>
          <w:i/>
          <w:iCs/>
          <w:color w:val="auto"/>
          <w:sz w:val="24"/>
          <w:szCs w:val="24"/>
        </w:rPr>
        <w:t>Netherburn supra</w:t>
      </w:r>
      <w:r>
        <w:rPr>
          <w:rFonts w:ascii="Andalus" w:hAnsi="Andalus" w:cs="Andalus"/>
          <w:b w:val="0"/>
          <w:iCs/>
          <w:color w:val="auto"/>
          <w:sz w:val="24"/>
          <w:szCs w:val="24"/>
        </w:rPr>
        <w:t xml:space="preserve"> made the following germane observation:</w:t>
      </w:r>
    </w:p>
    <w:p w:rsidR="00543B4A" w:rsidRPr="00543B4A" w:rsidRDefault="00543B4A" w:rsidP="00543B4A">
      <w:pPr>
        <w:pStyle w:val="heading"/>
        <w:spacing w:after="240"/>
        <w:ind w:left="720"/>
        <w:contextualSpacing/>
        <w:jc w:val="both"/>
        <w:rPr>
          <w:b w:val="0"/>
          <w:color w:val="auto"/>
          <w:sz w:val="16"/>
          <w:szCs w:val="16"/>
        </w:rPr>
      </w:pPr>
    </w:p>
    <w:p w:rsidR="00062A1C" w:rsidRPr="00926845" w:rsidRDefault="00062A1C" w:rsidP="00543B4A">
      <w:pPr>
        <w:pStyle w:val="heading"/>
        <w:spacing w:after="240"/>
        <w:ind w:left="720"/>
        <w:contextualSpacing/>
        <w:jc w:val="both"/>
        <w:rPr>
          <w:b w:val="0"/>
          <w:color w:val="auto"/>
          <w:sz w:val="24"/>
          <w:szCs w:val="24"/>
        </w:rPr>
      </w:pPr>
      <w:r w:rsidRPr="00926845">
        <w:rPr>
          <w:b w:val="0"/>
          <w:color w:val="auto"/>
          <w:sz w:val="24"/>
          <w:szCs w:val="24"/>
        </w:rPr>
        <w:t>“</w:t>
      </w:r>
      <w:r w:rsidRPr="00926845">
        <w:rPr>
          <w:b w:val="0"/>
          <w:color w:val="auto"/>
          <w:sz w:val="22"/>
          <w:szCs w:val="22"/>
        </w:rPr>
        <w:t xml:space="preserve">To the above remarks by KORSAH JA that it does not matter when and by whom the issue of validity is raised, </w:t>
      </w:r>
      <w:r w:rsidRPr="00926845">
        <w:rPr>
          <w:b w:val="0"/>
          <w:color w:val="auto"/>
          <w:sz w:val="22"/>
          <w:szCs w:val="22"/>
          <w:u w:val="single"/>
        </w:rPr>
        <w:t xml:space="preserve">I would add that it matters not how the issue is raised or what procedure is adopted. If it is clear upon a consideration of all the circumstances, that an act is void, then everything </w:t>
      </w:r>
      <w:r w:rsidRPr="00926845">
        <w:rPr>
          <w:b w:val="0"/>
          <w:color w:val="auto"/>
          <w:sz w:val="22"/>
          <w:szCs w:val="22"/>
        </w:rPr>
        <w:t>that is predicated on that act would be equally void</w:t>
      </w:r>
      <w:r w:rsidRPr="00926845">
        <w:rPr>
          <w:b w:val="0"/>
          <w:color w:val="auto"/>
          <w:sz w:val="24"/>
          <w:szCs w:val="24"/>
        </w:rPr>
        <w:t>”.</w:t>
      </w:r>
    </w:p>
    <w:p w:rsidR="00062A1C" w:rsidRDefault="00062A1C" w:rsidP="00062A1C">
      <w:pPr>
        <w:pStyle w:val="heading"/>
        <w:ind w:left="720"/>
        <w:contextualSpacing/>
        <w:jc w:val="both"/>
        <w:rPr>
          <w:color w:val="auto"/>
          <w:sz w:val="24"/>
          <w:szCs w:val="24"/>
        </w:rPr>
      </w:pPr>
      <w:r w:rsidRPr="00B52140">
        <w:rPr>
          <w:color w:val="auto"/>
          <w:sz w:val="24"/>
          <w:szCs w:val="24"/>
        </w:rPr>
        <w:t>[My own emphasis]</w:t>
      </w:r>
    </w:p>
    <w:p w:rsidR="00062A1C" w:rsidRPr="00154FBF" w:rsidRDefault="00062A1C" w:rsidP="00062A1C">
      <w:pPr>
        <w:pStyle w:val="heading"/>
        <w:ind w:left="720"/>
        <w:contextualSpacing/>
        <w:jc w:val="both"/>
        <w:rPr>
          <w:rFonts w:ascii="Andalus" w:hAnsi="Andalus" w:cs="Andalus"/>
          <w:iCs/>
          <w:color w:val="auto"/>
          <w:sz w:val="16"/>
          <w:szCs w:val="16"/>
          <w:vertAlign w:val="subscript"/>
        </w:rPr>
      </w:pPr>
    </w:p>
    <w:p w:rsidR="00062A1C" w:rsidRDefault="00062A1C" w:rsidP="00062A1C">
      <w:pPr>
        <w:spacing w:line="360" w:lineRule="auto"/>
        <w:ind w:firstLine="720"/>
        <w:jc w:val="both"/>
      </w:pPr>
      <w:r>
        <w:t xml:space="preserve">At any rate, </w:t>
      </w:r>
      <w:r w:rsidR="00926845">
        <w:t xml:space="preserve">I would add that </w:t>
      </w:r>
      <w:r>
        <w:t xml:space="preserve">on the authority of </w:t>
      </w:r>
      <w:r w:rsidRPr="005F3632">
        <w:rPr>
          <w:i/>
        </w:rPr>
        <w:t xml:space="preserve">Manning </w:t>
      </w:r>
      <w:r w:rsidRPr="007275FA">
        <w:t>v</w:t>
      </w:r>
      <w:r w:rsidRPr="005F3632">
        <w:rPr>
          <w:i/>
        </w:rPr>
        <w:t xml:space="preserve"> Manning</w:t>
      </w:r>
      <w:r>
        <w:t xml:space="preserve"> 1986 (2) ZLR 1 (SC) at 3G-4A, the Supreme </w:t>
      </w:r>
      <w:r w:rsidR="00580A8B">
        <w:t xml:space="preserve">Court has determined </w:t>
      </w:r>
      <w:r>
        <w:t xml:space="preserve">a declaration of invalidity to be unnecessary. </w:t>
      </w:r>
      <w:r w:rsidRPr="007275FA">
        <w:rPr>
          <w:smallCaps/>
        </w:rPr>
        <w:t>McNally</w:t>
      </w:r>
      <w:r>
        <w:t xml:space="preserve"> JA had the following to say:</w:t>
      </w:r>
    </w:p>
    <w:p w:rsidR="00062A1C" w:rsidRPr="00F34C74" w:rsidRDefault="00062A1C" w:rsidP="00062A1C">
      <w:pPr>
        <w:spacing w:line="360" w:lineRule="auto"/>
        <w:jc w:val="both"/>
        <w:rPr>
          <w:sz w:val="8"/>
          <w:szCs w:val="8"/>
        </w:rPr>
      </w:pPr>
    </w:p>
    <w:p w:rsidR="00062A1C" w:rsidRDefault="00062A1C" w:rsidP="00062A1C">
      <w:pPr>
        <w:ind w:left="720"/>
        <w:jc w:val="both"/>
      </w:pPr>
      <w:r w:rsidRPr="007275FA">
        <w:t xml:space="preserve">“..judicial decisions will ordinarily stand until set aside by way of appeal or review, but to that rule there are certain exceptions, one of them being that, where a decision is given without jurisdiction, it may be disregarded without the necessity of a formal order setting it aside – per </w:t>
      </w:r>
      <w:r w:rsidRPr="007275FA">
        <w:rPr>
          <w:smallCaps/>
        </w:rPr>
        <w:t>Fannin</w:t>
      </w:r>
      <w:r w:rsidRPr="007275FA">
        <w:t xml:space="preserve"> J in </w:t>
      </w:r>
      <w:r w:rsidRPr="007275FA">
        <w:rPr>
          <w:i/>
        </w:rPr>
        <w:t>Mkhize</w:t>
      </w:r>
      <w:r w:rsidRPr="007275FA">
        <w:t xml:space="preserve"> v </w:t>
      </w:r>
      <w:r w:rsidRPr="007275FA">
        <w:rPr>
          <w:i/>
        </w:rPr>
        <w:t>Swemmer &amp; Ors</w:t>
      </w:r>
      <w:r w:rsidRPr="007275FA">
        <w:t xml:space="preserve"> 1967 (1) SA 186 (D) at 197C-D</w:t>
      </w:r>
      <w:r>
        <w:t xml:space="preserve">”. </w:t>
      </w:r>
    </w:p>
    <w:p w:rsidR="00062A1C" w:rsidRDefault="00062A1C" w:rsidP="00062A1C">
      <w:pPr>
        <w:ind w:left="720"/>
        <w:jc w:val="both"/>
      </w:pPr>
    </w:p>
    <w:p w:rsidR="00F77CA1" w:rsidRPr="007207E3" w:rsidRDefault="00062A1C" w:rsidP="007E16B7">
      <w:pPr>
        <w:spacing w:line="360" w:lineRule="auto"/>
        <w:jc w:val="both"/>
      </w:pPr>
      <w:r>
        <w:lastRenderedPageBreak/>
        <w:t>On t</w:t>
      </w:r>
      <w:r w:rsidR="00A45679">
        <w:t>he above authorities, there is undisputed legal p</w:t>
      </w:r>
      <w:r w:rsidR="004558E5">
        <w:t>e</w:t>
      </w:r>
      <w:r w:rsidR="00A45679">
        <w:t>rcent</w:t>
      </w:r>
      <w:r>
        <w:t xml:space="preserve"> for </w:t>
      </w:r>
      <w:r w:rsidR="00EB7B71">
        <w:t>me to conclude that</w:t>
      </w:r>
      <w:r w:rsidR="00A45679">
        <w:t xml:space="preserve"> the decision of the </w:t>
      </w:r>
      <w:r w:rsidR="00B34F20">
        <w:t xml:space="preserve">review panel </w:t>
      </w:r>
      <w:r w:rsidR="00A07E61">
        <w:t xml:space="preserve">is a nullity </w:t>
      </w:r>
      <w:r w:rsidR="00B34F20">
        <w:t>on the ground of lack of jurisdiction by reason of its improper constitution.</w:t>
      </w:r>
      <w:r w:rsidR="00EB7B71">
        <w:t xml:space="preserve"> Accordingly, I proceed to </w:t>
      </w:r>
      <w:r w:rsidR="00BC7AAF">
        <w:t xml:space="preserve">uphold the point </w:t>
      </w:r>
      <w:r w:rsidR="00BC7AAF" w:rsidRPr="00BC7AAF">
        <w:rPr>
          <w:i/>
        </w:rPr>
        <w:t>in limine</w:t>
      </w:r>
      <w:r w:rsidR="003663EA">
        <w:t xml:space="preserve">. </w:t>
      </w:r>
      <w:r w:rsidR="00BC7AAF">
        <w:t>Having made my decision based on this</w:t>
      </w:r>
      <w:r w:rsidR="006C0DE6">
        <w:t xml:space="preserve"> preliminary point, I do not find it necessary to delve into the merits or otherwise of the application.</w:t>
      </w:r>
      <w:r w:rsidR="00646055">
        <w:t xml:space="preserve"> On costs, I see no reason from departing from the traditional rul</w:t>
      </w:r>
      <w:r w:rsidR="000D2E23">
        <w:t xml:space="preserve">e that costs follow the result, which </w:t>
      </w:r>
      <w:r w:rsidR="006D6009">
        <w:t>I will award on</w:t>
      </w:r>
      <w:r w:rsidR="000D2E23">
        <w:t xml:space="preserve"> the scale requested by the applicant.</w:t>
      </w:r>
    </w:p>
    <w:p w:rsidR="00CE37B8" w:rsidRPr="00CE37B8" w:rsidRDefault="00CE37B8" w:rsidP="0078604C">
      <w:pPr>
        <w:spacing w:line="360" w:lineRule="auto"/>
        <w:jc w:val="both"/>
        <w:rPr>
          <w:sz w:val="16"/>
          <w:szCs w:val="16"/>
        </w:rPr>
      </w:pPr>
    </w:p>
    <w:p w:rsidR="00310D38" w:rsidRPr="00310D38" w:rsidRDefault="00CE37B8" w:rsidP="00310D38">
      <w:pPr>
        <w:spacing w:line="360" w:lineRule="auto"/>
        <w:jc w:val="both"/>
        <w:rPr>
          <w:b/>
        </w:rPr>
      </w:pPr>
      <w:r w:rsidRPr="00CE37B8">
        <w:rPr>
          <w:b/>
        </w:rPr>
        <w:t>Disposition</w:t>
      </w:r>
    </w:p>
    <w:p w:rsidR="00096FDB" w:rsidRDefault="00096FDB" w:rsidP="00096FDB">
      <w:pPr>
        <w:spacing w:line="360" w:lineRule="auto"/>
        <w:jc w:val="both"/>
      </w:pPr>
      <w:r>
        <w:t>Accordingly, I make the following order:</w:t>
      </w:r>
    </w:p>
    <w:p w:rsidR="00096FDB" w:rsidRPr="00E2024D" w:rsidRDefault="00096FDB" w:rsidP="00096FDB">
      <w:pPr>
        <w:spacing w:line="360" w:lineRule="auto"/>
        <w:jc w:val="both"/>
        <w:rPr>
          <w:sz w:val="16"/>
          <w:szCs w:val="16"/>
        </w:rPr>
      </w:pPr>
    </w:p>
    <w:p w:rsidR="007A43BD" w:rsidRDefault="00CE37B8" w:rsidP="00096FDB">
      <w:pPr>
        <w:pStyle w:val="ListParagraph"/>
        <w:numPr>
          <w:ilvl w:val="0"/>
          <w:numId w:val="18"/>
        </w:numPr>
        <w:spacing w:line="360" w:lineRule="auto"/>
        <w:jc w:val="both"/>
      </w:pPr>
      <w:r>
        <w:t xml:space="preserve">The </w:t>
      </w:r>
      <w:r w:rsidR="00096FDB">
        <w:t>decision of the Review Panel of the 2</w:t>
      </w:r>
      <w:r w:rsidR="00096FDB" w:rsidRPr="00096FDB">
        <w:rPr>
          <w:vertAlign w:val="superscript"/>
        </w:rPr>
        <w:t>nd</w:t>
      </w:r>
      <w:r w:rsidR="00096FDB">
        <w:t xml:space="preserve"> Respondent </w:t>
      </w:r>
      <w:r w:rsidR="007A43BD">
        <w:t>dated the 22</w:t>
      </w:r>
      <w:r w:rsidR="007A43BD" w:rsidRPr="007A43BD">
        <w:rPr>
          <w:vertAlign w:val="superscript"/>
        </w:rPr>
        <w:t>nd</w:t>
      </w:r>
      <w:r w:rsidR="007A43BD">
        <w:t xml:space="preserve"> February 2022 dismissing the application made by the applicant be and is hereby set aside.</w:t>
      </w:r>
    </w:p>
    <w:p w:rsidR="001661E7" w:rsidRDefault="007A43BD" w:rsidP="00096FDB">
      <w:pPr>
        <w:pStyle w:val="ListParagraph"/>
        <w:numPr>
          <w:ilvl w:val="0"/>
          <w:numId w:val="18"/>
        </w:numPr>
        <w:spacing w:line="360" w:lineRule="auto"/>
        <w:jc w:val="both"/>
      </w:pPr>
      <w:r>
        <w:t>The decision to award the 3</w:t>
      </w:r>
      <w:r w:rsidRPr="007A43BD">
        <w:rPr>
          <w:vertAlign w:val="superscript"/>
        </w:rPr>
        <w:t>rd</w:t>
      </w:r>
      <w:r>
        <w:t xml:space="preserve"> respondent a contract by tender for the provision of software services to </w:t>
      </w:r>
      <w:r w:rsidR="001661E7">
        <w:t>the 1</w:t>
      </w:r>
      <w:r w:rsidR="001661E7" w:rsidRPr="001661E7">
        <w:rPr>
          <w:vertAlign w:val="superscript"/>
        </w:rPr>
        <w:t>st</w:t>
      </w:r>
      <w:r w:rsidR="001661E7">
        <w:t xml:space="preserve"> respondent dated 9 December 2021 be and is hereby set aside.</w:t>
      </w:r>
    </w:p>
    <w:p w:rsidR="00664246" w:rsidRDefault="001661E7" w:rsidP="00096FDB">
      <w:pPr>
        <w:pStyle w:val="ListParagraph"/>
        <w:numPr>
          <w:ilvl w:val="0"/>
          <w:numId w:val="18"/>
        </w:numPr>
        <w:spacing w:line="360" w:lineRule="auto"/>
        <w:jc w:val="both"/>
      </w:pPr>
      <w:r>
        <w:t xml:space="preserve">The </w:t>
      </w:r>
      <w:r w:rsidR="009D731D">
        <w:t>1</w:t>
      </w:r>
      <w:r w:rsidR="009D731D" w:rsidRPr="009D731D">
        <w:rPr>
          <w:vertAlign w:val="superscript"/>
        </w:rPr>
        <w:t>st</w:t>
      </w:r>
      <w:r w:rsidR="009D731D">
        <w:t xml:space="preserve"> and 3</w:t>
      </w:r>
      <w:r w:rsidR="009D731D" w:rsidRPr="009D731D">
        <w:rPr>
          <w:vertAlign w:val="superscript"/>
        </w:rPr>
        <w:t>rd</w:t>
      </w:r>
      <w:r w:rsidR="009D731D">
        <w:t xml:space="preserve"> respondents shall bear the costs of this application.</w:t>
      </w:r>
      <w:r w:rsidR="00CA68DA">
        <w:t xml:space="preserve"> </w:t>
      </w:r>
      <w:r w:rsidR="00664246">
        <w:t xml:space="preserve">  </w:t>
      </w:r>
    </w:p>
    <w:p w:rsidR="0078604C" w:rsidRDefault="0078604C" w:rsidP="0078604C">
      <w:pPr>
        <w:spacing w:line="360" w:lineRule="auto"/>
        <w:jc w:val="both"/>
      </w:pPr>
    </w:p>
    <w:p w:rsidR="006B33A0" w:rsidRDefault="006B33A0" w:rsidP="0078604C">
      <w:pPr>
        <w:spacing w:line="360" w:lineRule="auto"/>
        <w:jc w:val="both"/>
      </w:pPr>
    </w:p>
    <w:p w:rsidR="006B33A0" w:rsidRPr="00093F27" w:rsidRDefault="006B33A0" w:rsidP="0078604C">
      <w:pPr>
        <w:spacing w:line="360" w:lineRule="auto"/>
        <w:jc w:val="both"/>
      </w:pPr>
    </w:p>
    <w:p w:rsidR="0078604C" w:rsidRPr="00093F27" w:rsidRDefault="002B014D" w:rsidP="0078604C">
      <w:pPr>
        <w:jc w:val="both"/>
      </w:pPr>
      <w:r>
        <w:rPr>
          <w:i/>
        </w:rPr>
        <w:t xml:space="preserve">Dube Manikai </w:t>
      </w:r>
      <w:r w:rsidR="00FD7537">
        <w:rPr>
          <w:i/>
        </w:rPr>
        <w:t>&amp; Hwacha</w:t>
      </w:r>
      <w:r w:rsidR="005D37E8">
        <w:t>, applicant’s</w:t>
      </w:r>
      <w:r w:rsidR="000F1D04">
        <w:t xml:space="preserve"> legal p</w:t>
      </w:r>
      <w:r w:rsidR="0078604C" w:rsidRPr="00093F27">
        <w:t>ractitioners</w:t>
      </w:r>
    </w:p>
    <w:p w:rsidR="0078604C" w:rsidRPr="007C7786" w:rsidRDefault="00D80646" w:rsidP="00D952FF">
      <w:pPr>
        <w:jc w:val="both"/>
      </w:pPr>
      <w:r>
        <w:rPr>
          <w:i/>
        </w:rPr>
        <w:t>Dube Tachiona &amp; Tsvangirai</w:t>
      </w:r>
      <w:r w:rsidR="0078604C" w:rsidRPr="00093F27">
        <w:t>, 1</w:t>
      </w:r>
      <w:r w:rsidR="0078604C" w:rsidRPr="00093F27">
        <w:rPr>
          <w:vertAlign w:val="superscript"/>
        </w:rPr>
        <w:t>st</w:t>
      </w:r>
      <w:r w:rsidR="00955404">
        <w:t xml:space="preserve"> respondent’s</w:t>
      </w:r>
      <w:r w:rsidR="0078604C" w:rsidRPr="00093F27">
        <w:t xml:space="preserve"> legal practitioners</w:t>
      </w:r>
    </w:p>
    <w:p w:rsidR="00D17074" w:rsidRPr="005A4D7A" w:rsidRDefault="00D17074" w:rsidP="00B01F42">
      <w:pPr>
        <w:spacing w:line="360" w:lineRule="auto"/>
        <w:jc w:val="both"/>
      </w:pPr>
      <w:r>
        <w:tab/>
      </w:r>
    </w:p>
    <w:sectPr w:rsidR="00D17074" w:rsidRPr="005A4D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7A7" w:rsidRDefault="00BD57A7" w:rsidP="005A4D7A">
      <w:r>
        <w:separator/>
      </w:r>
    </w:p>
  </w:endnote>
  <w:endnote w:type="continuationSeparator" w:id="0">
    <w:p w:rsidR="00BD57A7" w:rsidRDefault="00BD57A7" w:rsidP="005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ndalus">
    <w:altName w:val="Times New Roman"/>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7A7" w:rsidRDefault="00BD57A7" w:rsidP="005A4D7A">
      <w:r>
        <w:separator/>
      </w:r>
    </w:p>
  </w:footnote>
  <w:footnote w:type="continuationSeparator" w:id="0">
    <w:p w:rsidR="00BD57A7" w:rsidRDefault="00BD57A7" w:rsidP="005A4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29875"/>
      <w:docPartObj>
        <w:docPartGallery w:val="Page Numbers (Top of Page)"/>
        <w:docPartUnique/>
      </w:docPartObj>
    </w:sdtPr>
    <w:sdtEndPr>
      <w:rPr>
        <w:noProof/>
      </w:rPr>
    </w:sdtEndPr>
    <w:sdtContent>
      <w:p w:rsidR="005A4D7A" w:rsidRDefault="005A4D7A" w:rsidP="00D27A4B">
        <w:pPr>
          <w:pStyle w:val="Header"/>
          <w:jc w:val="right"/>
          <w:rPr>
            <w:noProof/>
          </w:rPr>
        </w:pPr>
        <w:r>
          <w:fldChar w:fldCharType="begin"/>
        </w:r>
        <w:r>
          <w:instrText xml:space="preserve"> PAGE   \* MERGEFORMAT </w:instrText>
        </w:r>
        <w:r>
          <w:fldChar w:fldCharType="separate"/>
        </w:r>
        <w:r w:rsidR="00280492">
          <w:rPr>
            <w:noProof/>
          </w:rPr>
          <w:t>1</w:t>
        </w:r>
        <w:r>
          <w:rPr>
            <w:noProof/>
          </w:rPr>
          <w:fldChar w:fldCharType="end"/>
        </w:r>
      </w:p>
      <w:p w:rsidR="00B1216B" w:rsidRDefault="003F702F" w:rsidP="00D27A4B">
        <w:pPr>
          <w:pStyle w:val="Header"/>
          <w:jc w:val="right"/>
          <w:rPr>
            <w:noProof/>
          </w:rPr>
        </w:pPr>
        <w:r>
          <w:rPr>
            <w:noProof/>
          </w:rPr>
          <w:t>HH</w:t>
        </w:r>
        <w:r w:rsidR="006B33A0">
          <w:rPr>
            <w:noProof/>
          </w:rPr>
          <w:t xml:space="preserve"> 506-22</w:t>
        </w:r>
      </w:p>
      <w:p w:rsidR="005A4D7A" w:rsidRDefault="000D4705" w:rsidP="00602A43">
        <w:pPr>
          <w:pStyle w:val="Header"/>
          <w:jc w:val="right"/>
          <w:rPr>
            <w:noProof/>
          </w:rPr>
        </w:pPr>
        <w:r>
          <w:rPr>
            <w:noProof/>
          </w:rPr>
          <w:t>HC 1737/22</w:t>
        </w:r>
      </w:p>
    </w:sdtContent>
  </w:sdt>
  <w:p w:rsidR="005A4D7A" w:rsidRDefault="005A4D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DFA"/>
    <w:multiLevelType w:val="hybridMultilevel"/>
    <w:tmpl w:val="1A160BE4"/>
    <w:lvl w:ilvl="0" w:tplc="AAECC5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451B24"/>
    <w:multiLevelType w:val="hybridMultilevel"/>
    <w:tmpl w:val="C45A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402EF"/>
    <w:multiLevelType w:val="hybridMultilevel"/>
    <w:tmpl w:val="9848A3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B566D01"/>
    <w:multiLevelType w:val="hybridMultilevel"/>
    <w:tmpl w:val="A9D0178A"/>
    <w:lvl w:ilvl="0" w:tplc="1194D9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45F0DA7"/>
    <w:multiLevelType w:val="hybridMultilevel"/>
    <w:tmpl w:val="027CBE7C"/>
    <w:lvl w:ilvl="0" w:tplc="C7B022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2FE6911"/>
    <w:multiLevelType w:val="hybridMultilevel"/>
    <w:tmpl w:val="223E0B8C"/>
    <w:lvl w:ilvl="0" w:tplc="638A22BE">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73A7594"/>
    <w:multiLevelType w:val="hybridMultilevel"/>
    <w:tmpl w:val="24F40968"/>
    <w:lvl w:ilvl="0" w:tplc="ACE8E2C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44F53390"/>
    <w:multiLevelType w:val="hybridMultilevel"/>
    <w:tmpl w:val="EEA282F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4F94F51"/>
    <w:multiLevelType w:val="hybridMultilevel"/>
    <w:tmpl w:val="3E0E0702"/>
    <w:lvl w:ilvl="0" w:tplc="C58621CE">
      <w:start w:val="1"/>
      <w:numFmt w:val="bullet"/>
      <w:lvlText w:val=""/>
      <w:lvlJc w:val="left"/>
      <w:pPr>
        <w:ind w:left="1800" w:hanging="360"/>
      </w:pPr>
      <w:rPr>
        <w:rFonts w:ascii="Symbol" w:eastAsiaTheme="minorHAnsi" w:hAnsi="Symbol"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9" w15:restartNumberingAfterBreak="0">
    <w:nsid w:val="46D10756"/>
    <w:multiLevelType w:val="hybridMultilevel"/>
    <w:tmpl w:val="3986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5D6C38"/>
    <w:multiLevelType w:val="hybridMultilevel"/>
    <w:tmpl w:val="3432CC9A"/>
    <w:lvl w:ilvl="0" w:tplc="CC4050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51E6236B"/>
    <w:multiLevelType w:val="hybridMultilevel"/>
    <w:tmpl w:val="D2603F36"/>
    <w:lvl w:ilvl="0" w:tplc="AC7461B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2" w15:restartNumberingAfterBreak="0">
    <w:nsid w:val="54366E14"/>
    <w:multiLevelType w:val="hybridMultilevel"/>
    <w:tmpl w:val="7390EA22"/>
    <w:lvl w:ilvl="0" w:tplc="C85AB0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6EBD16ED"/>
    <w:multiLevelType w:val="hybridMultilevel"/>
    <w:tmpl w:val="1E5620B0"/>
    <w:lvl w:ilvl="0" w:tplc="5EAED7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70304263"/>
    <w:multiLevelType w:val="hybridMultilevel"/>
    <w:tmpl w:val="6964899E"/>
    <w:lvl w:ilvl="0" w:tplc="150CE5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744E22E7"/>
    <w:multiLevelType w:val="hybridMultilevel"/>
    <w:tmpl w:val="09F691DA"/>
    <w:lvl w:ilvl="0" w:tplc="251AB3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7A112E97"/>
    <w:multiLevelType w:val="hybridMultilevel"/>
    <w:tmpl w:val="0A9C6762"/>
    <w:lvl w:ilvl="0" w:tplc="F32EF3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7E9E4F49"/>
    <w:multiLevelType w:val="hybridMultilevel"/>
    <w:tmpl w:val="75B8A838"/>
    <w:lvl w:ilvl="0" w:tplc="BD944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9"/>
  </w:num>
  <w:num w:numId="3">
    <w:abstractNumId w:val="17"/>
  </w:num>
  <w:num w:numId="4">
    <w:abstractNumId w:val="11"/>
  </w:num>
  <w:num w:numId="5">
    <w:abstractNumId w:val="5"/>
  </w:num>
  <w:num w:numId="6">
    <w:abstractNumId w:val="8"/>
  </w:num>
  <w:num w:numId="7">
    <w:abstractNumId w:val="7"/>
  </w:num>
  <w:num w:numId="8">
    <w:abstractNumId w:val="6"/>
  </w:num>
  <w:num w:numId="9">
    <w:abstractNumId w:val="0"/>
  </w:num>
  <w:num w:numId="10">
    <w:abstractNumId w:val="3"/>
  </w:num>
  <w:num w:numId="11">
    <w:abstractNumId w:val="12"/>
  </w:num>
  <w:num w:numId="12">
    <w:abstractNumId w:val="2"/>
  </w:num>
  <w:num w:numId="13">
    <w:abstractNumId w:val="14"/>
  </w:num>
  <w:num w:numId="14">
    <w:abstractNumId w:val="4"/>
  </w:num>
  <w:num w:numId="15">
    <w:abstractNumId w:val="10"/>
  </w:num>
  <w:num w:numId="16">
    <w:abstractNumId w:val="15"/>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7A"/>
    <w:rsid w:val="0000187D"/>
    <w:rsid w:val="00003953"/>
    <w:rsid w:val="00007F96"/>
    <w:rsid w:val="00010CCE"/>
    <w:rsid w:val="00012931"/>
    <w:rsid w:val="00012C1A"/>
    <w:rsid w:val="0001303B"/>
    <w:rsid w:val="00014BFA"/>
    <w:rsid w:val="00020014"/>
    <w:rsid w:val="0002003E"/>
    <w:rsid w:val="000215B9"/>
    <w:rsid w:val="00022EF6"/>
    <w:rsid w:val="0003406E"/>
    <w:rsid w:val="000357E9"/>
    <w:rsid w:val="00036F12"/>
    <w:rsid w:val="0003708D"/>
    <w:rsid w:val="0004065F"/>
    <w:rsid w:val="00040C2D"/>
    <w:rsid w:val="000437A6"/>
    <w:rsid w:val="00051BCE"/>
    <w:rsid w:val="000520AD"/>
    <w:rsid w:val="000571B7"/>
    <w:rsid w:val="000571EE"/>
    <w:rsid w:val="00060409"/>
    <w:rsid w:val="000611E9"/>
    <w:rsid w:val="0006155D"/>
    <w:rsid w:val="0006233A"/>
    <w:rsid w:val="00062A1C"/>
    <w:rsid w:val="00066EA2"/>
    <w:rsid w:val="000672F9"/>
    <w:rsid w:val="00074002"/>
    <w:rsid w:val="00080A17"/>
    <w:rsid w:val="00081C16"/>
    <w:rsid w:val="000849E7"/>
    <w:rsid w:val="000863D9"/>
    <w:rsid w:val="000865EA"/>
    <w:rsid w:val="00086B01"/>
    <w:rsid w:val="0008712A"/>
    <w:rsid w:val="00092481"/>
    <w:rsid w:val="00092756"/>
    <w:rsid w:val="000941C4"/>
    <w:rsid w:val="000952B7"/>
    <w:rsid w:val="000965BC"/>
    <w:rsid w:val="00096FDB"/>
    <w:rsid w:val="0009791D"/>
    <w:rsid w:val="000A08BF"/>
    <w:rsid w:val="000A2D44"/>
    <w:rsid w:val="000A59D6"/>
    <w:rsid w:val="000A5B71"/>
    <w:rsid w:val="000A6E82"/>
    <w:rsid w:val="000B2344"/>
    <w:rsid w:val="000B3C15"/>
    <w:rsid w:val="000B5E2D"/>
    <w:rsid w:val="000B67D7"/>
    <w:rsid w:val="000B7869"/>
    <w:rsid w:val="000C7403"/>
    <w:rsid w:val="000D0456"/>
    <w:rsid w:val="000D059C"/>
    <w:rsid w:val="000D0B80"/>
    <w:rsid w:val="000D13E9"/>
    <w:rsid w:val="000D2E23"/>
    <w:rsid w:val="000D4705"/>
    <w:rsid w:val="000D534A"/>
    <w:rsid w:val="000D71D6"/>
    <w:rsid w:val="000E0734"/>
    <w:rsid w:val="000E158A"/>
    <w:rsid w:val="000E203B"/>
    <w:rsid w:val="000E2799"/>
    <w:rsid w:val="000E4218"/>
    <w:rsid w:val="000E4CF4"/>
    <w:rsid w:val="000E63BF"/>
    <w:rsid w:val="000F05BE"/>
    <w:rsid w:val="000F17BB"/>
    <w:rsid w:val="000F1D04"/>
    <w:rsid w:val="000F26B8"/>
    <w:rsid w:val="000F3663"/>
    <w:rsid w:val="000F4A99"/>
    <w:rsid w:val="000F50B4"/>
    <w:rsid w:val="000F5F75"/>
    <w:rsid w:val="00101A59"/>
    <w:rsid w:val="0010433B"/>
    <w:rsid w:val="00104513"/>
    <w:rsid w:val="001052E7"/>
    <w:rsid w:val="00112A55"/>
    <w:rsid w:val="00112DD4"/>
    <w:rsid w:val="00116A7B"/>
    <w:rsid w:val="00122F4E"/>
    <w:rsid w:val="001236A4"/>
    <w:rsid w:val="0013411B"/>
    <w:rsid w:val="0013664C"/>
    <w:rsid w:val="00136D44"/>
    <w:rsid w:val="001372B8"/>
    <w:rsid w:val="00140B63"/>
    <w:rsid w:val="00141FC5"/>
    <w:rsid w:val="001441E3"/>
    <w:rsid w:val="00144D7A"/>
    <w:rsid w:val="0015003B"/>
    <w:rsid w:val="00150083"/>
    <w:rsid w:val="00151177"/>
    <w:rsid w:val="0015159B"/>
    <w:rsid w:val="001528F8"/>
    <w:rsid w:val="001532D5"/>
    <w:rsid w:val="00153949"/>
    <w:rsid w:val="00153963"/>
    <w:rsid w:val="001550E0"/>
    <w:rsid w:val="00155A31"/>
    <w:rsid w:val="00155DC8"/>
    <w:rsid w:val="0016302F"/>
    <w:rsid w:val="001643F1"/>
    <w:rsid w:val="0016503B"/>
    <w:rsid w:val="00165252"/>
    <w:rsid w:val="001661E7"/>
    <w:rsid w:val="0016794A"/>
    <w:rsid w:val="00171E1D"/>
    <w:rsid w:val="001727A1"/>
    <w:rsid w:val="001762BA"/>
    <w:rsid w:val="00183DB7"/>
    <w:rsid w:val="00184EF8"/>
    <w:rsid w:val="001855D1"/>
    <w:rsid w:val="00186CF8"/>
    <w:rsid w:val="00187263"/>
    <w:rsid w:val="00187CCB"/>
    <w:rsid w:val="00193712"/>
    <w:rsid w:val="00193B99"/>
    <w:rsid w:val="00193CDE"/>
    <w:rsid w:val="00196FF9"/>
    <w:rsid w:val="00197BA6"/>
    <w:rsid w:val="001A0DED"/>
    <w:rsid w:val="001A1CAF"/>
    <w:rsid w:val="001A4C1C"/>
    <w:rsid w:val="001A5298"/>
    <w:rsid w:val="001B7083"/>
    <w:rsid w:val="001C1FD5"/>
    <w:rsid w:val="001C2442"/>
    <w:rsid w:val="001C3F66"/>
    <w:rsid w:val="001C5CAC"/>
    <w:rsid w:val="001D0246"/>
    <w:rsid w:val="001D142F"/>
    <w:rsid w:val="001D4DA6"/>
    <w:rsid w:val="001D69CA"/>
    <w:rsid w:val="001D7347"/>
    <w:rsid w:val="001E0F23"/>
    <w:rsid w:val="001E2CB7"/>
    <w:rsid w:val="001E3A2E"/>
    <w:rsid w:val="001E3F92"/>
    <w:rsid w:val="001E4439"/>
    <w:rsid w:val="001E4D55"/>
    <w:rsid w:val="001E67D3"/>
    <w:rsid w:val="001F09AE"/>
    <w:rsid w:val="001F66F3"/>
    <w:rsid w:val="00203795"/>
    <w:rsid w:val="00210221"/>
    <w:rsid w:val="00210AA3"/>
    <w:rsid w:val="002135CB"/>
    <w:rsid w:val="00214036"/>
    <w:rsid w:val="0021498A"/>
    <w:rsid w:val="00216164"/>
    <w:rsid w:val="0021673D"/>
    <w:rsid w:val="00221641"/>
    <w:rsid w:val="00222C3C"/>
    <w:rsid w:val="0022768B"/>
    <w:rsid w:val="002300F9"/>
    <w:rsid w:val="002320CE"/>
    <w:rsid w:val="002327DD"/>
    <w:rsid w:val="00232A80"/>
    <w:rsid w:val="002344AF"/>
    <w:rsid w:val="002349BB"/>
    <w:rsid w:val="00240C01"/>
    <w:rsid w:val="00243120"/>
    <w:rsid w:val="00245C7E"/>
    <w:rsid w:val="00251ECE"/>
    <w:rsid w:val="00254367"/>
    <w:rsid w:val="002550CE"/>
    <w:rsid w:val="00255D8B"/>
    <w:rsid w:val="00256EB3"/>
    <w:rsid w:val="002576CB"/>
    <w:rsid w:val="00257F99"/>
    <w:rsid w:val="00260491"/>
    <w:rsid w:val="002610EF"/>
    <w:rsid w:val="00261F3E"/>
    <w:rsid w:val="00264E2F"/>
    <w:rsid w:val="0027046C"/>
    <w:rsid w:val="00272EAD"/>
    <w:rsid w:val="0027320D"/>
    <w:rsid w:val="002742EF"/>
    <w:rsid w:val="002774CE"/>
    <w:rsid w:val="00277878"/>
    <w:rsid w:val="00280492"/>
    <w:rsid w:val="0028493F"/>
    <w:rsid w:val="002862F4"/>
    <w:rsid w:val="002910A9"/>
    <w:rsid w:val="002912A6"/>
    <w:rsid w:val="002918E2"/>
    <w:rsid w:val="00293088"/>
    <w:rsid w:val="002A0A83"/>
    <w:rsid w:val="002A3CB3"/>
    <w:rsid w:val="002A6F91"/>
    <w:rsid w:val="002B014D"/>
    <w:rsid w:val="002B10C2"/>
    <w:rsid w:val="002B19E4"/>
    <w:rsid w:val="002B43D9"/>
    <w:rsid w:val="002B49EB"/>
    <w:rsid w:val="002D0349"/>
    <w:rsid w:val="002D06AD"/>
    <w:rsid w:val="002D1758"/>
    <w:rsid w:val="002D2D9C"/>
    <w:rsid w:val="002D34A3"/>
    <w:rsid w:val="002D4E4F"/>
    <w:rsid w:val="002D54DA"/>
    <w:rsid w:val="002F212A"/>
    <w:rsid w:val="002F286B"/>
    <w:rsid w:val="0030244B"/>
    <w:rsid w:val="00302E9F"/>
    <w:rsid w:val="00304588"/>
    <w:rsid w:val="00304C44"/>
    <w:rsid w:val="00306E52"/>
    <w:rsid w:val="00307F4D"/>
    <w:rsid w:val="0031037A"/>
    <w:rsid w:val="00310778"/>
    <w:rsid w:val="00310D38"/>
    <w:rsid w:val="0031216D"/>
    <w:rsid w:val="003126EF"/>
    <w:rsid w:val="003128D2"/>
    <w:rsid w:val="00312C4F"/>
    <w:rsid w:val="00312EB5"/>
    <w:rsid w:val="00316234"/>
    <w:rsid w:val="00316D95"/>
    <w:rsid w:val="00325661"/>
    <w:rsid w:val="00325B0C"/>
    <w:rsid w:val="003269B4"/>
    <w:rsid w:val="0032732D"/>
    <w:rsid w:val="0033004C"/>
    <w:rsid w:val="00332514"/>
    <w:rsid w:val="00337377"/>
    <w:rsid w:val="00337DAA"/>
    <w:rsid w:val="003414FF"/>
    <w:rsid w:val="00345AEE"/>
    <w:rsid w:val="003463B3"/>
    <w:rsid w:val="0034645B"/>
    <w:rsid w:val="00350971"/>
    <w:rsid w:val="00350B7A"/>
    <w:rsid w:val="00351C59"/>
    <w:rsid w:val="00353742"/>
    <w:rsid w:val="00354636"/>
    <w:rsid w:val="00354EB8"/>
    <w:rsid w:val="00355D5A"/>
    <w:rsid w:val="003562FF"/>
    <w:rsid w:val="003612A4"/>
    <w:rsid w:val="00363C7C"/>
    <w:rsid w:val="00363C81"/>
    <w:rsid w:val="0036420F"/>
    <w:rsid w:val="003648FB"/>
    <w:rsid w:val="003663EA"/>
    <w:rsid w:val="003713EA"/>
    <w:rsid w:val="00371CEC"/>
    <w:rsid w:val="0037364A"/>
    <w:rsid w:val="00376C8F"/>
    <w:rsid w:val="003816D7"/>
    <w:rsid w:val="00384ACD"/>
    <w:rsid w:val="00384EF9"/>
    <w:rsid w:val="003860C5"/>
    <w:rsid w:val="003870B1"/>
    <w:rsid w:val="0039064A"/>
    <w:rsid w:val="00391D01"/>
    <w:rsid w:val="00392EFF"/>
    <w:rsid w:val="003937C0"/>
    <w:rsid w:val="00393C3C"/>
    <w:rsid w:val="00393E70"/>
    <w:rsid w:val="0039564B"/>
    <w:rsid w:val="00395ACD"/>
    <w:rsid w:val="003A0179"/>
    <w:rsid w:val="003A0463"/>
    <w:rsid w:val="003A0F95"/>
    <w:rsid w:val="003A18C7"/>
    <w:rsid w:val="003A20F2"/>
    <w:rsid w:val="003A4E75"/>
    <w:rsid w:val="003A502D"/>
    <w:rsid w:val="003A7D71"/>
    <w:rsid w:val="003B47EA"/>
    <w:rsid w:val="003B7670"/>
    <w:rsid w:val="003C00A5"/>
    <w:rsid w:val="003C1DC3"/>
    <w:rsid w:val="003C218B"/>
    <w:rsid w:val="003D16C4"/>
    <w:rsid w:val="003D1D4E"/>
    <w:rsid w:val="003D299C"/>
    <w:rsid w:val="003D2EB0"/>
    <w:rsid w:val="003D33AB"/>
    <w:rsid w:val="003E2A69"/>
    <w:rsid w:val="003E3469"/>
    <w:rsid w:val="003F0CFB"/>
    <w:rsid w:val="003F16BA"/>
    <w:rsid w:val="003F38B8"/>
    <w:rsid w:val="003F6A14"/>
    <w:rsid w:val="003F702F"/>
    <w:rsid w:val="003F7E0D"/>
    <w:rsid w:val="00400F8F"/>
    <w:rsid w:val="00401C12"/>
    <w:rsid w:val="0040286C"/>
    <w:rsid w:val="00402A05"/>
    <w:rsid w:val="0040506B"/>
    <w:rsid w:val="00405C8D"/>
    <w:rsid w:val="00406705"/>
    <w:rsid w:val="0041406F"/>
    <w:rsid w:val="004169FF"/>
    <w:rsid w:val="00421154"/>
    <w:rsid w:val="004233D1"/>
    <w:rsid w:val="00427CD2"/>
    <w:rsid w:val="00427E63"/>
    <w:rsid w:val="00430154"/>
    <w:rsid w:val="00433221"/>
    <w:rsid w:val="004346C9"/>
    <w:rsid w:val="00436CD4"/>
    <w:rsid w:val="00437249"/>
    <w:rsid w:val="00440149"/>
    <w:rsid w:val="00440FE6"/>
    <w:rsid w:val="00441319"/>
    <w:rsid w:val="0044147E"/>
    <w:rsid w:val="00442BE2"/>
    <w:rsid w:val="00442D09"/>
    <w:rsid w:val="00446C70"/>
    <w:rsid w:val="00447503"/>
    <w:rsid w:val="0045012B"/>
    <w:rsid w:val="00452044"/>
    <w:rsid w:val="00452212"/>
    <w:rsid w:val="0045356E"/>
    <w:rsid w:val="004558E5"/>
    <w:rsid w:val="00461487"/>
    <w:rsid w:val="0046215A"/>
    <w:rsid w:val="00462817"/>
    <w:rsid w:val="004633DB"/>
    <w:rsid w:val="00463FA9"/>
    <w:rsid w:val="004655E0"/>
    <w:rsid w:val="00465861"/>
    <w:rsid w:val="0047026A"/>
    <w:rsid w:val="00472847"/>
    <w:rsid w:val="0047320D"/>
    <w:rsid w:val="0047483C"/>
    <w:rsid w:val="004760BC"/>
    <w:rsid w:val="00480ADB"/>
    <w:rsid w:val="004836D9"/>
    <w:rsid w:val="00483834"/>
    <w:rsid w:val="00483E55"/>
    <w:rsid w:val="0048505E"/>
    <w:rsid w:val="00486278"/>
    <w:rsid w:val="004879AE"/>
    <w:rsid w:val="004906BC"/>
    <w:rsid w:val="0049394A"/>
    <w:rsid w:val="00494246"/>
    <w:rsid w:val="0049730D"/>
    <w:rsid w:val="004A61A8"/>
    <w:rsid w:val="004A6B81"/>
    <w:rsid w:val="004B10DD"/>
    <w:rsid w:val="004B1110"/>
    <w:rsid w:val="004B1AD4"/>
    <w:rsid w:val="004B317E"/>
    <w:rsid w:val="004B5752"/>
    <w:rsid w:val="004B652A"/>
    <w:rsid w:val="004B682A"/>
    <w:rsid w:val="004B6F2C"/>
    <w:rsid w:val="004B73BD"/>
    <w:rsid w:val="004C01D6"/>
    <w:rsid w:val="004C6E2F"/>
    <w:rsid w:val="004D0172"/>
    <w:rsid w:val="004D0E53"/>
    <w:rsid w:val="004D1790"/>
    <w:rsid w:val="004D3C5A"/>
    <w:rsid w:val="004D4177"/>
    <w:rsid w:val="004D51E2"/>
    <w:rsid w:val="004D529D"/>
    <w:rsid w:val="004E1CA6"/>
    <w:rsid w:val="004E2DB6"/>
    <w:rsid w:val="004E6230"/>
    <w:rsid w:val="004F10AC"/>
    <w:rsid w:val="004F1E2F"/>
    <w:rsid w:val="004F3423"/>
    <w:rsid w:val="004F5CFC"/>
    <w:rsid w:val="005033BA"/>
    <w:rsid w:val="0050449E"/>
    <w:rsid w:val="00510068"/>
    <w:rsid w:val="00517B1E"/>
    <w:rsid w:val="0052055B"/>
    <w:rsid w:val="00522AE8"/>
    <w:rsid w:val="00523588"/>
    <w:rsid w:val="00526195"/>
    <w:rsid w:val="00530CAF"/>
    <w:rsid w:val="0053599B"/>
    <w:rsid w:val="00536DD0"/>
    <w:rsid w:val="00540006"/>
    <w:rsid w:val="00541615"/>
    <w:rsid w:val="00543B4A"/>
    <w:rsid w:val="00547640"/>
    <w:rsid w:val="00550006"/>
    <w:rsid w:val="00551279"/>
    <w:rsid w:val="00551345"/>
    <w:rsid w:val="005542E0"/>
    <w:rsid w:val="005566D4"/>
    <w:rsid w:val="0055781E"/>
    <w:rsid w:val="00557992"/>
    <w:rsid w:val="00564199"/>
    <w:rsid w:val="00570DA7"/>
    <w:rsid w:val="00571A30"/>
    <w:rsid w:val="00572285"/>
    <w:rsid w:val="0057621F"/>
    <w:rsid w:val="00576AB1"/>
    <w:rsid w:val="00580A8B"/>
    <w:rsid w:val="0058139C"/>
    <w:rsid w:val="00582248"/>
    <w:rsid w:val="00582E57"/>
    <w:rsid w:val="00584013"/>
    <w:rsid w:val="0058439D"/>
    <w:rsid w:val="00585ADB"/>
    <w:rsid w:val="005907B6"/>
    <w:rsid w:val="0059367D"/>
    <w:rsid w:val="00595FF4"/>
    <w:rsid w:val="005979F3"/>
    <w:rsid w:val="005A1A05"/>
    <w:rsid w:val="005A2453"/>
    <w:rsid w:val="005A2D0F"/>
    <w:rsid w:val="005A3BE9"/>
    <w:rsid w:val="005A4D7A"/>
    <w:rsid w:val="005A773A"/>
    <w:rsid w:val="005A7777"/>
    <w:rsid w:val="005B09C7"/>
    <w:rsid w:val="005B1138"/>
    <w:rsid w:val="005B3D28"/>
    <w:rsid w:val="005B66EA"/>
    <w:rsid w:val="005B68B1"/>
    <w:rsid w:val="005B7838"/>
    <w:rsid w:val="005C0034"/>
    <w:rsid w:val="005C2042"/>
    <w:rsid w:val="005C4004"/>
    <w:rsid w:val="005C4C0C"/>
    <w:rsid w:val="005C70F6"/>
    <w:rsid w:val="005D06D2"/>
    <w:rsid w:val="005D0CAE"/>
    <w:rsid w:val="005D17DD"/>
    <w:rsid w:val="005D29EF"/>
    <w:rsid w:val="005D37E8"/>
    <w:rsid w:val="005D5403"/>
    <w:rsid w:val="005D6135"/>
    <w:rsid w:val="005E0B53"/>
    <w:rsid w:val="005E2192"/>
    <w:rsid w:val="005E2AFC"/>
    <w:rsid w:val="005E3235"/>
    <w:rsid w:val="005E3DC3"/>
    <w:rsid w:val="005E7591"/>
    <w:rsid w:val="005F3CDC"/>
    <w:rsid w:val="005F3D42"/>
    <w:rsid w:val="005F6130"/>
    <w:rsid w:val="00600B09"/>
    <w:rsid w:val="00602A43"/>
    <w:rsid w:val="006038EE"/>
    <w:rsid w:val="00606FF6"/>
    <w:rsid w:val="0061557E"/>
    <w:rsid w:val="00617518"/>
    <w:rsid w:val="006212E7"/>
    <w:rsid w:val="00624145"/>
    <w:rsid w:val="00625475"/>
    <w:rsid w:val="006312A6"/>
    <w:rsid w:val="00631AFD"/>
    <w:rsid w:val="00635CC0"/>
    <w:rsid w:val="00637247"/>
    <w:rsid w:val="00641461"/>
    <w:rsid w:val="006438BE"/>
    <w:rsid w:val="00643EFC"/>
    <w:rsid w:val="00646055"/>
    <w:rsid w:val="00647D6A"/>
    <w:rsid w:val="00650456"/>
    <w:rsid w:val="00651661"/>
    <w:rsid w:val="00651C0C"/>
    <w:rsid w:val="006522CB"/>
    <w:rsid w:val="00653AEA"/>
    <w:rsid w:val="00654D61"/>
    <w:rsid w:val="0065777F"/>
    <w:rsid w:val="00660B47"/>
    <w:rsid w:val="006621C8"/>
    <w:rsid w:val="0066397C"/>
    <w:rsid w:val="00664246"/>
    <w:rsid w:val="00664375"/>
    <w:rsid w:val="0066779B"/>
    <w:rsid w:val="00671020"/>
    <w:rsid w:val="00671F28"/>
    <w:rsid w:val="00673BC6"/>
    <w:rsid w:val="00673D3A"/>
    <w:rsid w:val="0067556E"/>
    <w:rsid w:val="00677415"/>
    <w:rsid w:val="00677E31"/>
    <w:rsid w:val="006805BA"/>
    <w:rsid w:val="0068294A"/>
    <w:rsid w:val="00684658"/>
    <w:rsid w:val="00684BCF"/>
    <w:rsid w:val="006858FC"/>
    <w:rsid w:val="00686691"/>
    <w:rsid w:val="00690464"/>
    <w:rsid w:val="00690749"/>
    <w:rsid w:val="00692503"/>
    <w:rsid w:val="00693119"/>
    <w:rsid w:val="00693980"/>
    <w:rsid w:val="006948BC"/>
    <w:rsid w:val="00694EE5"/>
    <w:rsid w:val="006967A1"/>
    <w:rsid w:val="00697885"/>
    <w:rsid w:val="00697FE6"/>
    <w:rsid w:val="006B2068"/>
    <w:rsid w:val="006B30B6"/>
    <w:rsid w:val="006B33A0"/>
    <w:rsid w:val="006B73FF"/>
    <w:rsid w:val="006C0DE6"/>
    <w:rsid w:val="006C134A"/>
    <w:rsid w:val="006C4C49"/>
    <w:rsid w:val="006D3B87"/>
    <w:rsid w:val="006D3F31"/>
    <w:rsid w:val="006D6009"/>
    <w:rsid w:val="006D7540"/>
    <w:rsid w:val="006D7B81"/>
    <w:rsid w:val="006E3078"/>
    <w:rsid w:val="006E3B9F"/>
    <w:rsid w:val="006E4F06"/>
    <w:rsid w:val="006E5525"/>
    <w:rsid w:val="006E58AE"/>
    <w:rsid w:val="006E614A"/>
    <w:rsid w:val="006E6319"/>
    <w:rsid w:val="006E65FF"/>
    <w:rsid w:val="006E6695"/>
    <w:rsid w:val="006F02DE"/>
    <w:rsid w:val="006F1C05"/>
    <w:rsid w:val="006F24F3"/>
    <w:rsid w:val="006F4D38"/>
    <w:rsid w:val="006F623A"/>
    <w:rsid w:val="00701491"/>
    <w:rsid w:val="00707C19"/>
    <w:rsid w:val="00711125"/>
    <w:rsid w:val="007124FB"/>
    <w:rsid w:val="00717EC6"/>
    <w:rsid w:val="007207E3"/>
    <w:rsid w:val="007219B0"/>
    <w:rsid w:val="00723C95"/>
    <w:rsid w:val="00725659"/>
    <w:rsid w:val="00726400"/>
    <w:rsid w:val="00735D94"/>
    <w:rsid w:val="00736395"/>
    <w:rsid w:val="007403C2"/>
    <w:rsid w:val="0074259A"/>
    <w:rsid w:val="00743437"/>
    <w:rsid w:val="00744F95"/>
    <w:rsid w:val="00745A88"/>
    <w:rsid w:val="00745DDE"/>
    <w:rsid w:val="00747E92"/>
    <w:rsid w:val="00751708"/>
    <w:rsid w:val="00751B16"/>
    <w:rsid w:val="00752038"/>
    <w:rsid w:val="0075667E"/>
    <w:rsid w:val="007604BD"/>
    <w:rsid w:val="00763074"/>
    <w:rsid w:val="007634C6"/>
    <w:rsid w:val="007645BC"/>
    <w:rsid w:val="0077000E"/>
    <w:rsid w:val="00771BAA"/>
    <w:rsid w:val="007729AE"/>
    <w:rsid w:val="007732FE"/>
    <w:rsid w:val="007753FB"/>
    <w:rsid w:val="00782208"/>
    <w:rsid w:val="00782D5B"/>
    <w:rsid w:val="00783003"/>
    <w:rsid w:val="0078604C"/>
    <w:rsid w:val="00787B0E"/>
    <w:rsid w:val="00796B5D"/>
    <w:rsid w:val="00797CDD"/>
    <w:rsid w:val="007A07DB"/>
    <w:rsid w:val="007A25F2"/>
    <w:rsid w:val="007A43BD"/>
    <w:rsid w:val="007A4D77"/>
    <w:rsid w:val="007A7354"/>
    <w:rsid w:val="007B1F62"/>
    <w:rsid w:val="007B2FED"/>
    <w:rsid w:val="007B3EB3"/>
    <w:rsid w:val="007B5173"/>
    <w:rsid w:val="007C2965"/>
    <w:rsid w:val="007C2BA0"/>
    <w:rsid w:val="007C5075"/>
    <w:rsid w:val="007C5FC8"/>
    <w:rsid w:val="007C6ADB"/>
    <w:rsid w:val="007C6F09"/>
    <w:rsid w:val="007C7407"/>
    <w:rsid w:val="007D2806"/>
    <w:rsid w:val="007D6B1C"/>
    <w:rsid w:val="007E0D90"/>
    <w:rsid w:val="007E13E5"/>
    <w:rsid w:val="007E16B7"/>
    <w:rsid w:val="007E2071"/>
    <w:rsid w:val="007E3576"/>
    <w:rsid w:val="007E4A9B"/>
    <w:rsid w:val="007E531D"/>
    <w:rsid w:val="007E61CA"/>
    <w:rsid w:val="007F13A7"/>
    <w:rsid w:val="007F5164"/>
    <w:rsid w:val="007F548B"/>
    <w:rsid w:val="007F6C87"/>
    <w:rsid w:val="007F70FB"/>
    <w:rsid w:val="00800949"/>
    <w:rsid w:val="00800AA5"/>
    <w:rsid w:val="0080163F"/>
    <w:rsid w:val="00804E6A"/>
    <w:rsid w:val="008059A6"/>
    <w:rsid w:val="00806DA7"/>
    <w:rsid w:val="0081551A"/>
    <w:rsid w:val="0082157B"/>
    <w:rsid w:val="0082392E"/>
    <w:rsid w:val="00827BC7"/>
    <w:rsid w:val="008314A2"/>
    <w:rsid w:val="00831F79"/>
    <w:rsid w:val="008352B8"/>
    <w:rsid w:val="0083564F"/>
    <w:rsid w:val="008363DA"/>
    <w:rsid w:val="00836955"/>
    <w:rsid w:val="0083793C"/>
    <w:rsid w:val="0084029F"/>
    <w:rsid w:val="00840A21"/>
    <w:rsid w:val="00840E3F"/>
    <w:rsid w:val="00844A18"/>
    <w:rsid w:val="00846563"/>
    <w:rsid w:val="008472CE"/>
    <w:rsid w:val="008612F1"/>
    <w:rsid w:val="00865937"/>
    <w:rsid w:val="00866CC9"/>
    <w:rsid w:val="008676DE"/>
    <w:rsid w:val="00870ED5"/>
    <w:rsid w:val="008720F3"/>
    <w:rsid w:val="00873DF1"/>
    <w:rsid w:val="00877431"/>
    <w:rsid w:val="00877EB4"/>
    <w:rsid w:val="00880747"/>
    <w:rsid w:val="008824C1"/>
    <w:rsid w:val="0089437C"/>
    <w:rsid w:val="008978E6"/>
    <w:rsid w:val="00897BCA"/>
    <w:rsid w:val="008A0B77"/>
    <w:rsid w:val="008A4817"/>
    <w:rsid w:val="008A69F5"/>
    <w:rsid w:val="008A6B97"/>
    <w:rsid w:val="008B3568"/>
    <w:rsid w:val="008B4D31"/>
    <w:rsid w:val="008C085A"/>
    <w:rsid w:val="008C16F3"/>
    <w:rsid w:val="008C362C"/>
    <w:rsid w:val="008C4671"/>
    <w:rsid w:val="008D38FE"/>
    <w:rsid w:val="008E05A8"/>
    <w:rsid w:val="008E2267"/>
    <w:rsid w:val="008E44D8"/>
    <w:rsid w:val="008E5E64"/>
    <w:rsid w:val="008E5F4B"/>
    <w:rsid w:val="008E672A"/>
    <w:rsid w:val="008E7622"/>
    <w:rsid w:val="008F01F6"/>
    <w:rsid w:val="008F555E"/>
    <w:rsid w:val="009000AB"/>
    <w:rsid w:val="009003F9"/>
    <w:rsid w:val="009009F5"/>
    <w:rsid w:val="0090407F"/>
    <w:rsid w:val="0090436C"/>
    <w:rsid w:val="0090588D"/>
    <w:rsid w:val="009060BD"/>
    <w:rsid w:val="00911648"/>
    <w:rsid w:val="009149ED"/>
    <w:rsid w:val="00916FBE"/>
    <w:rsid w:val="00922FBB"/>
    <w:rsid w:val="00926845"/>
    <w:rsid w:val="00926C40"/>
    <w:rsid w:val="00931020"/>
    <w:rsid w:val="009371D8"/>
    <w:rsid w:val="00944BCD"/>
    <w:rsid w:val="00944FD8"/>
    <w:rsid w:val="009537B3"/>
    <w:rsid w:val="00954879"/>
    <w:rsid w:val="00954977"/>
    <w:rsid w:val="00955031"/>
    <w:rsid w:val="00955404"/>
    <w:rsid w:val="00956603"/>
    <w:rsid w:val="00966EBC"/>
    <w:rsid w:val="00970CB3"/>
    <w:rsid w:val="00973351"/>
    <w:rsid w:val="00975505"/>
    <w:rsid w:val="009771F7"/>
    <w:rsid w:val="00980CB3"/>
    <w:rsid w:val="009846E5"/>
    <w:rsid w:val="009856EF"/>
    <w:rsid w:val="00990198"/>
    <w:rsid w:val="009904ED"/>
    <w:rsid w:val="009917E8"/>
    <w:rsid w:val="00991923"/>
    <w:rsid w:val="00992083"/>
    <w:rsid w:val="00993D09"/>
    <w:rsid w:val="00994144"/>
    <w:rsid w:val="009965F1"/>
    <w:rsid w:val="009A304E"/>
    <w:rsid w:val="009A35C7"/>
    <w:rsid w:val="009A3715"/>
    <w:rsid w:val="009A3D40"/>
    <w:rsid w:val="009A5E66"/>
    <w:rsid w:val="009A7838"/>
    <w:rsid w:val="009A78C5"/>
    <w:rsid w:val="009B2188"/>
    <w:rsid w:val="009B77C1"/>
    <w:rsid w:val="009C0AD8"/>
    <w:rsid w:val="009C18C8"/>
    <w:rsid w:val="009C653E"/>
    <w:rsid w:val="009D25EF"/>
    <w:rsid w:val="009D4C6C"/>
    <w:rsid w:val="009D731D"/>
    <w:rsid w:val="009E057B"/>
    <w:rsid w:val="009E066C"/>
    <w:rsid w:val="009E0ABA"/>
    <w:rsid w:val="009E136D"/>
    <w:rsid w:val="009E2C74"/>
    <w:rsid w:val="009E2D4D"/>
    <w:rsid w:val="009E3E8E"/>
    <w:rsid w:val="009E41AC"/>
    <w:rsid w:val="009E42B9"/>
    <w:rsid w:val="009F1254"/>
    <w:rsid w:val="009F1EE6"/>
    <w:rsid w:val="009F5882"/>
    <w:rsid w:val="00A008BB"/>
    <w:rsid w:val="00A021BC"/>
    <w:rsid w:val="00A07E61"/>
    <w:rsid w:val="00A113D8"/>
    <w:rsid w:val="00A15259"/>
    <w:rsid w:val="00A15916"/>
    <w:rsid w:val="00A16835"/>
    <w:rsid w:val="00A17652"/>
    <w:rsid w:val="00A17A9E"/>
    <w:rsid w:val="00A22475"/>
    <w:rsid w:val="00A2421C"/>
    <w:rsid w:val="00A2428F"/>
    <w:rsid w:val="00A24D2B"/>
    <w:rsid w:val="00A264C8"/>
    <w:rsid w:val="00A26DC8"/>
    <w:rsid w:val="00A32859"/>
    <w:rsid w:val="00A34C5A"/>
    <w:rsid w:val="00A42ED2"/>
    <w:rsid w:val="00A43366"/>
    <w:rsid w:val="00A44951"/>
    <w:rsid w:val="00A45679"/>
    <w:rsid w:val="00A46275"/>
    <w:rsid w:val="00A51299"/>
    <w:rsid w:val="00A55D96"/>
    <w:rsid w:val="00A6197C"/>
    <w:rsid w:val="00A623F9"/>
    <w:rsid w:val="00A64666"/>
    <w:rsid w:val="00A64671"/>
    <w:rsid w:val="00A646E5"/>
    <w:rsid w:val="00A648DF"/>
    <w:rsid w:val="00A70062"/>
    <w:rsid w:val="00A72B47"/>
    <w:rsid w:val="00A74871"/>
    <w:rsid w:val="00A778AE"/>
    <w:rsid w:val="00A77D68"/>
    <w:rsid w:val="00A800BF"/>
    <w:rsid w:val="00A81FE3"/>
    <w:rsid w:val="00A82F20"/>
    <w:rsid w:val="00A831D8"/>
    <w:rsid w:val="00A83860"/>
    <w:rsid w:val="00A83ECD"/>
    <w:rsid w:val="00A857D2"/>
    <w:rsid w:val="00A8595C"/>
    <w:rsid w:val="00A87511"/>
    <w:rsid w:val="00A87CA1"/>
    <w:rsid w:val="00A91562"/>
    <w:rsid w:val="00A924CC"/>
    <w:rsid w:val="00A93396"/>
    <w:rsid w:val="00A93B26"/>
    <w:rsid w:val="00AA243F"/>
    <w:rsid w:val="00AA30A6"/>
    <w:rsid w:val="00AB2952"/>
    <w:rsid w:val="00AB66E0"/>
    <w:rsid w:val="00AB6AAC"/>
    <w:rsid w:val="00AC1FE7"/>
    <w:rsid w:val="00AC2423"/>
    <w:rsid w:val="00AC30A0"/>
    <w:rsid w:val="00AC4DA6"/>
    <w:rsid w:val="00AC615E"/>
    <w:rsid w:val="00AC6CF4"/>
    <w:rsid w:val="00AD233D"/>
    <w:rsid w:val="00AD2684"/>
    <w:rsid w:val="00AD2F06"/>
    <w:rsid w:val="00AD4C7B"/>
    <w:rsid w:val="00AD5601"/>
    <w:rsid w:val="00AD681C"/>
    <w:rsid w:val="00AE1292"/>
    <w:rsid w:val="00AE18B3"/>
    <w:rsid w:val="00AE2D98"/>
    <w:rsid w:val="00AE480F"/>
    <w:rsid w:val="00AE4AD6"/>
    <w:rsid w:val="00AE7A15"/>
    <w:rsid w:val="00AF3D0A"/>
    <w:rsid w:val="00AF44E1"/>
    <w:rsid w:val="00AF4DB5"/>
    <w:rsid w:val="00B01F42"/>
    <w:rsid w:val="00B03919"/>
    <w:rsid w:val="00B1049C"/>
    <w:rsid w:val="00B11A35"/>
    <w:rsid w:val="00B11FF9"/>
    <w:rsid w:val="00B1216B"/>
    <w:rsid w:val="00B14287"/>
    <w:rsid w:val="00B14A67"/>
    <w:rsid w:val="00B17B13"/>
    <w:rsid w:val="00B20D01"/>
    <w:rsid w:val="00B223FE"/>
    <w:rsid w:val="00B22850"/>
    <w:rsid w:val="00B22F3F"/>
    <w:rsid w:val="00B2319D"/>
    <w:rsid w:val="00B23941"/>
    <w:rsid w:val="00B23EC6"/>
    <w:rsid w:val="00B2733D"/>
    <w:rsid w:val="00B344DA"/>
    <w:rsid w:val="00B34F20"/>
    <w:rsid w:val="00B36D46"/>
    <w:rsid w:val="00B401A8"/>
    <w:rsid w:val="00B41DB3"/>
    <w:rsid w:val="00B43502"/>
    <w:rsid w:val="00B43B15"/>
    <w:rsid w:val="00B44BAA"/>
    <w:rsid w:val="00B45F49"/>
    <w:rsid w:val="00B52494"/>
    <w:rsid w:val="00B53516"/>
    <w:rsid w:val="00B53CCA"/>
    <w:rsid w:val="00B553DF"/>
    <w:rsid w:val="00B57BE2"/>
    <w:rsid w:val="00B602F2"/>
    <w:rsid w:val="00B61E1C"/>
    <w:rsid w:val="00B626F0"/>
    <w:rsid w:val="00B628A5"/>
    <w:rsid w:val="00B631EE"/>
    <w:rsid w:val="00B6330D"/>
    <w:rsid w:val="00B65351"/>
    <w:rsid w:val="00B70230"/>
    <w:rsid w:val="00B706B3"/>
    <w:rsid w:val="00B75093"/>
    <w:rsid w:val="00B802E2"/>
    <w:rsid w:val="00B80E31"/>
    <w:rsid w:val="00B8322C"/>
    <w:rsid w:val="00B847C1"/>
    <w:rsid w:val="00B84FF2"/>
    <w:rsid w:val="00B8536B"/>
    <w:rsid w:val="00B85EB3"/>
    <w:rsid w:val="00B869D8"/>
    <w:rsid w:val="00B87B13"/>
    <w:rsid w:val="00B90284"/>
    <w:rsid w:val="00B93F71"/>
    <w:rsid w:val="00B97224"/>
    <w:rsid w:val="00BA0AC5"/>
    <w:rsid w:val="00BA7E11"/>
    <w:rsid w:val="00BC1321"/>
    <w:rsid w:val="00BC31F3"/>
    <w:rsid w:val="00BC5352"/>
    <w:rsid w:val="00BC7AAF"/>
    <w:rsid w:val="00BD006B"/>
    <w:rsid w:val="00BD02E3"/>
    <w:rsid w:val="00BD57A7"/>
    <w:rsid w:val="00BD6B87"/>
    <w:rsid w:val="00BE06F7"/>
    <w:rsid w:val="00BE09C2"/>
    <w:rsid w:val="00BE36FF"/>
    <w:rsid w:val="00BE7791"/>
    <w:rsid w:val="00BF108F"/>
    <w:rsid w:val="00BF2527"/>
    <w:rsid w:val="00BF2C88"/>
    <w:rsid w:val="00BF3595"/>
    <w:rsid w:val="00BF43C2"/>
    <w:rsid w:val="00BF7893"/>
    <w:rsid w:val="00BF7BFC"/>
    <w:rsid w:val="00C02F98"/>
    <w:rsid w:val="00C03223"/>
    <w:rsid w:val="00C03FF2"/>
    <w:rsid w:val="00C06227"/>
    <w:rsid w:val="00C06CD9"/>
    <w:rsid w:val="00C06DF5"/>
    <w:rsid w:val="00C10A7C"/>
    <w:rsid w:val="00C127F7"/>
    <w:rsid w:val="00C1322C"/>
    <w:rsid w:val="00C13DF8"/>
    <w:rsid w:val="00C14F18"/>
    <w:rsid w:val="00C16E9B"/>
    <w:rsid w:val="00C17B39"/>
    <w:rsid w:val="00C301FD"/>
    <w:rsid w:val="00C30995"/>
    <w:rsid w:val="00C363DD"/>
    <w:rsid w:val="00C41056"/>
    <w:rsid w:val="00C45974"/>
    <w:rsid w:val="00C46CEA"/>
    <w:rsid w:val="00C51C95"/>
    <w:rsid w:val="00C52288"/>
    <w:rsid w:val="00C527EF"/>
    <w:rsid w:val="00C5303B"/>
    <w:rsid w:val="00C55E3B"/>
    <w:rsid w:val="00C57737"/>
    <w:rsid w:val="00C60504"/>
    <w:rsid w:val="00C61F58"/>
    <w:rsid w:val="00C62A45"/>
    <w:rsid w:val="00C63D1E"/>
    <w:rsid w:val="00C659C4"/>
    <w:rsid w:val="00C6788C"/>
    <w:rsid w:val="00C67A3F"/>
    <w:rsid w:val="00C704A0"/>
    <w:rsid w:val="00C77795"/>
    <w:rsid w:val="00C80EB0"/>
    <w:rsid w:val="00C821E4"/>
    <w:rsid w:val="00C824D0"/>
    <w:rsid w:val="00C82738"/>
    <w:rsid w:val="00C83510"/>
    <w:rsid w:val="00C835A5"/>
    <w:rsid w:val="00C85734"/>
    <w:rsid w:val="00C87CDA"/>
    <w:rsid w:val="00C91487"/>
    <w:rsid w:val="00C9237D"/>
    <w:rsid w:val="00C92771"/>
    <w:rsid w:val="00C94602"/>
    <w:rsid w:val="00C9581B"/>
    <w:rsid w:val="00CA111B"/>
    <w:rsid w:val="00CA2648"/>
    <w:rsid w:val="00CA322A"/>
    <w:rsid w:val="00CA5853"/>
    <w:rsid w:val="00CA68DA"/>
    <w:rsid w:val="00CB3B65"/>
    <w:rsid w:val="00CB5A33"/>
    <w:rsid w:val="00CC074F"/>
    <w:rsid w:val="00CC3CCE"/>
    <w:rsid w:val="00CC5C2A"/>
    <w:rsid w:val="00CC6B19"/>
    <w:rsid w:val="00CC7B33"/>
    <w:rsid w:val="00CD1DCF"/>
    <w:rsid w:val="00CD205D"/>
    <w:rsid w:val="00CD2266"/>
    <w:rsid w:val="00CD4716"/>
    <w:rsid w:val="00CD4A0B"/>
    <w:rsid w:val="00CD4D49"/>
    <w:rsid w:val="00CD551B"/>
    <w:rsid w:val="00CD5543"/>
    <w:rsid w:val="00CD67B2"/>
    <w:rsid w:val="00CE37B8"/>
    <w:rsid w:val="00CE42F4"/>
    <w:rsid w:val="00CE71F7"/>
    <w:rsid w:val="00CF03B8"/>
    <w:rsid w:val="00CF1CE6"/>
    <w:rsid w:val="00CF1EE9"/>
    <w:rsid w:val="00CF2C19"/>
    <w:rsid w:val="00CF3048"/>
    <w:rsid w:val="00CF3683"/>
    <w:rsid w:val="00CF3ED4"/>
    <w:rsid w:val="00CF514A"/>
    <w:rsid w:val="00D0031B"/>
    <w:rsid w:val="00D03DA6"/>
    <w:rsid w:val="00D109F3"/>
    <w:rsid w:val="00D11D6C"/>
    <w:rsid w:val="00D14EAC"/>
    <w:rsid w:val="00D17074"/>
    <w:rsid w:val="00D229F7"/>
    <w:rsid w:val="00D233F5"/>
    <w:rsid w:val="00D27A4B"/>
    <w:rsid w:val="00D30BC4"/>
    <w:rsid w:val="00D34EB7"/>
    <w:rsid w:val="00D3556F"/>
    <w:rsid w:val="00D36C5A"/>
    <w:rsid w:val="00D373CF"/>
    <w:rsid w:val="00D375C6"/>
    <w:rsid w:val="00D37BA5"/>
    <w:rsid w:val="00D442D8"/>
    <w:rsid w:val="00D4619C"/>
    <w:rsid w:val="00D47D22"/>
    <w:rsid w:val="00D50D83"/>
    <w:rsid w:val="00D50DAF"/>
    <w:rsid w:val="00D51DF3"/>
    <w:rsid w:val="00D546E2"/>
    <w:rsid w:val="00D5556E"/>
    <w:rsid w:val="00D556C9"/>
    <w:rsid w:val="00D56456"/>
    <w:rsid w:val="00D60692"/>
    <w:rsid w:val="00D610A0"/>
    <w:rsid w:val="00D63916"/>
    <w:rsid w:val="00D6417B"/>
    <w:rsid w:val="00D67CA0"/>
    <w:rsid w:val="00D7118C"/>
    <w:rsid w:val="00D80646"/>
    <w:rsid w:val="00D8078C"/>
    <w:rsid w:val="00D8336B"/>
    <w:rsid w:val="00D84A2B"/>
    <w:rsid w:val="00D85FA4"/>
    <w:rsid w:val="00D868C9"/>
    <w:rsid w:val="00D87C8C"/>
    <w:rsid w:val="00D9002E"/>
    <w:rsid w:val="00D90F1A"/>
    <w:rsid w:val="00D91253"/>
    <w:rsid w:val="00D91C42"/>
    <w:rsid w:val="00D93514"/>
    <w:rsid w:val="00D94006"/>
    <w:rsid w:val="00D943DE"/>
    <w:rsid w:val="00D944B4"/>
    <w:rsid w:val="00D952FF"/>
    <w:rsid w:val="00D9603F"/>
    <w:rsid w:val="00D96C7F"/>
    <w:rsid w:val="00DA0930"/>
    <w:rsid w:val="00DA2480"/>
    <w:rsid w:val="00DA3D80"/>
    <w:rsid w:val="00DA67EF"/>
    <w:rsid w:val="00DA68EE"/>
    <w:rsid w:val="00DB38A5"/>
    <w:rsid w:val="00DB3F3F"/>
    <w:rsid w:val="00DC02B4"/>
    <w:rsid w:val="00DC1994"/>
    <w:rsid w:val="00DC31A1"/>
    <w:rsid w:val="00DC67DE"/>
    <w:rsid w:val="00DD1472"/>
    <w:rsid w:val="00DD5F5C"/>
    <w:rsid w:val="00DD6155"/>
    <w:rsid w:val="00DD6289"/>
    <w:rsid w:val="00DD6400"/>
    <w:rsid w:val="00DD67B1"/>
    <w:rsid w:val="00DD7ABA"/>
    <w:rsid w:val="00DE07AE"/>
    <w:rsid w:val="00DE0E4F"/>
    <w:rsid w:val="00DE3D39"/>
    <w:rsid w:val="00DE4B06"/>
    <w:rsid w:val="00DF0BEC"/>
    <w:rsid w:val="00DF1C6B"/>
    <w:rsid w:val="00DF38FD"/>
    <w:rsid w:val="00DF665B"/>
    <w:rsid w:val="00E00E80"/>
    <w:rsid w:val="00E0104F"/>
    <w:rsid w:val="00E01A34"/>
    <w:rsid w:val="00E0317A"/>
    <w:rsid w:val="00E0619B"/>
    <w:rsid w:val="00E06FF8"/>
    <w:rsid w:val="00E07E28"/>
    <w:rsid w:val="00E120FB"/>
    <w:rsid w:val="00E13D2B"/>
    <w:rsid w:val="00E169E5"/>
    <w:rsid w:val="00E2024D"/>
    <w:rsid w:val="00E24E67"/>
    <w:rsid w:val="00E25B6C"/>
    <w:rsid w:val="00E265C2"/>
    <w:rsid w:val="00E26870"/>
    <w:rsid w:val="00E27CD3"/>
    <w:rsid w:val="00E35C83"/>
    <w:rsid w:val="00E37368"/>
    <w:rsid w:val="00E43CF6"/>
    <w:rsid w:val="00E44C2B"/>
    <w:rsid w:val="00E468F7"/>
    <w:rsid w:val="00E53F18"/>
    <w:rsid w:val="00E56569"/>
    <w:rsid w:val="00E60184"/>
    <w:rsid w:val="00E63094"/>
    <w:rsid w:val="00E631D6"/>
    <w:rsid w:val="00E6468D"/>
    <w:rsid w:val="00E65C65"/>
    <w:rsid w:val="00E66B93"/>
    <w:rsid w:val="00E7504A"/>
    <w:rsid w:val="00E75DCB"/>
    <w:rsid w:val="00E76A2A"/>
    <w:rsid w:val="00E7721E"/>
    <w:rsid w:val="00E809B8"/>
    <w:rsid w:val="00E8133B"/>
    <w:rsid w:val="00E8221E"/>
    <w:rsid w:val="00E84888"/>
    <w:rsid w:val="00E85328"/>
    <w:rsid w:val="00E85449"/>
    <w:rsid w:val="00E85474"/>
    <w:rsid w:val="00E86990"/>
    <w:rsid w:val="00E91E91"/>
    <w:rsid w:val="00E951B7"/>
    <w:rsid w:val="00EA0C06"/>
    <w:rsid w:val="00EA2E43"/>
    <w:rsid w:val="00EA4301"/>
    <w:rsid w:val="00EA4B21"/>
    <w:rsid w:val="00EA54ED"/>
    <w:rsid w:val="00EA6B9F"/>
    <w:rsid w:val="00EB09DB"/>
    <w:rsid w:val="00EB17A0"/>
    <w:rsid w:val="00EB1F7C"/>
    <w:rsid w:val="00EB28E5"/>
    <w:rsid w:val="00EB3A33"/>
    <w:rsid w:val="00EB45F4"/>
    <w:rsid w:val="00EB7B71"/>
    <w:rsid w:val="00EB7F34"/>
    <w:rsid w:val="00EC2011"/>
    <w:rsid w:val="00EC704D"/>
    <w:rsid w:val="00EC7085"/>
    <w:rsid w:val="00ED1097"/>
    <w:rsid w:val="00ED26DD"/>
    <w:rsid w:val="00ED46AD"/>
    <w:rsid w:val="00ED4F11"/>
    <w:rsid w:val="00ED717E"/>
    <w:rsid w:val="00EE045F"/>
    <w:rsid w:val="00EE0F93"/>
    <w:rsid w:val="00EE11FB"/>
    <w:rsid w:val="00EE7F03"/>
    <w:rsid w:val="00EF1459"/>
    <w:rsid w:val="00EF542B"/>
    <w:rsid w:val="00EF7D2F"/>
    <w:rsid w:val="00F0084D"/>
    <w:rsid w:val="00F05724"/>
    <w:rsid w:val="00F06042"/>
    <w:rsid w:val="00F06BDD"/>
    <w:rsid w:val="00F06D69"/>
    <w:rsid w:val="00F06DCA"/>
    <w:rsid w:val="00F116E5"/>
    <w:rsid w:val="00F118C4"/>
    <w:rsid w:val="00F128EE"/>
    <w:rsid w:val="00F12BF1"/>
    <w:rsid w:val="00F14FD6"/>
    <w:rsid w:val="00F218E9"/>
    <w:rsid w:val="00F22FAB"/>
    <w:rsid w:val="00F233CB"/>
    <w:rsid w:val="00F25D82"/>
    <w:rsid w:val="00F32BA5"/>
    <w:rsid w:val="00F35810"/>
    <w:rsid w:val="00F42E41"/>
    <w:rsid w:val="00F43344"/>
    <w:rsid w:val="00F52C0B"/>
    <w:rsid w:val="00F569B2"/>
    <w:rsid w:val="00F632E0"/>
    <w:rsid w:val="00F63BB8"/>
    <w:rsid w:val="00F63D1E"/>
    <w:rsid w:val="00F65E3B"/>
    <w:rsid w:val="00F707A7"/>
    <w:rsid w:val="00F71B07"/>
    <w:rsid w:val="00F7406A"/>
    <w:rsid w:val="00F7408D"/>
    <w:rsid w:val="00F7648F"/>
    <w:rsid w:val="00F77170"/>
    <w:rsid w:val="00F77CA1"/>
    <w:rsid w:val="00F8101B"/>
    <w:rsid w:val="00F8757D"/>
    <w:rsid w:val="00F926A8"/>
    <w:rsid w:val="00F93239"/>
    <w:rsid w:val="00F94BAA"/>
    <w:rsid w:val="00F959D2"/>
    <w:rsid w:val="00FA0B96"/>
    <w:rsid w:val="00FA3BF8"/>
    <w:rsid w:val="00FB4552"/>
    <w:rsid w:val="00FB762D"/>
    <w:rsid w:val="00FC1BDB"/>
    <w:rsid w:val="00FC2AF6"/>
    <w:rsid w:val="00FC30B9"/>
    <w:rsid w:val="00FC3D61"/>
    <w:rsid w:val="00FC70A6"/>
    <w:rsid w:val="00FD00F3"/>
    <w:rsid w:val="00FD1BB0"/>
    <w:rsid w:val="00FD2DAE"/>
    <w:rsid w:val="00FD5E8E"/>
    <w:rsid w:val="00FD5FDC"/>
    <w:rsid w:val="00FD7537"/>
    <w:rsid w:val="00FE0D64"/>
    <w:rsid w:val="00FE23F2"/>
    <w:rsid w:val="00FE254C"/>
    <w:rsid w:val="00FE2D6C"/>
    <w:rsid w:val="00FE5758"/>
    <w:rsid w:val="00FE7701"/>
    <w:rsid w:val="00FF03AA"/>
    <w:rsid w:val="00FF17A2"/>
    <w:rsid w:val="00FF17EF"/>
    <w:rsid w:val="00FF1928"/>
    <w:rsid w:val="00FF27C7"/>
    <w:rsid w:val="00FF2DDE"/>
    <w:rsid w:val="00FF50D1"/>
    <w:rsid w:val="00FF5F0E"/>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21FE1"/>
  <w15:docId w15:val="{FE29BEE3-2E01-422E-BEBC-02DCACAF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D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7A"/>
    <w:pPr>
      <w:tabs>
        <w:tab w:val="center" w:pos="4680"/>
        <w:tab w:val="right" w:pos="9360"/>
      </w:tabs>
    </w:pPr>
  </w:style>
  <w:style w:type="character" w:customStyle="1" w:styleId="HeaderChar">
    <w:name w:val="Header Char"/>
    <w:basedOn w:val="DefaultParagraphFont"/>
    <w:link w:val="Header"/>
    <w:uiPriority w:val="99"/>
    <w:rsid w:val="005A4D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4D7A"/>
    <w:pPr>
      <w:tabs>
        <w:tab w:val="center" w:pos="4680"/>
        <w:tab w:val="right" w:pos="9360"/>
      </w:tabs>
    </w:pPr>
  </w:style>
  <w:style w:type="character" w:customStyle="1" w:styleId="FooterChar">
    <w:name w:val="Footer Char"/>
    <w:basedOn w:val="DefaultParagraphFont"/>
    <w:link w:val="Footer"/>
    <w:uiPriority w:val="99"/>
    <w:rsid w:val="005A4D7A"/>
    <w:rPr>
      <w:rFonts w:ascii="Times New Roman" w:eastAsia="Times New Roman" w:hAnsi="Times New Roman" w:cs="Times New Roman"/>
      <w:sz w:val="24"/>
      <w:szCs w:val="24"/>
    </w:rPr>
  </w:style>
  <w:style w:type="paragraph" w:styleId="ListParagraph">
    <w:name w:val="List Paragraph"/>
    <w:basedOn w:val="Normal"/>
    <w:uiPriority w:val="34"/>
    <w:qFormat/>
    <w:rsid w:val="004A61A8"/>
    <w:pPr>
      <w:ind w:left="720"/>
      <w:contextualSpacing/>
    </w:pPr>
  </w:style>
  <w:style w:type="paragraph" w:styleId="BalloonText">
    <w:name w:val="Balloon Text"/>
    <w:basedOn w:val="Normal"/>
    <w:link w:val="BalloonTextChar"/>
    <w:uiPriority w:val="99"/>
    <w:semiHidden/>
    <w:unhideWhenUsed/>
    <w:rsid w:val="00B12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6B"/>
    <w:rPr>
      <w:rFonts w:ascii="Segoe UI" w:eastAsia="Times New Roman" w:hAnsi="Segoe UI" w:cs="Segoe UI"/>
      <w:sz w:val="18"/>
      <w:szCs w:val="18"/>
    </w:rPr>
  </w:style>
  <w:style w:type="paragraph" w:customStyle="1" w:styleId="lrsection">
    <w:name w:val="lr section"/>
    <w:basedOn w:val="Normal"/>
    <w:rsid w:val="0027320D"/>
    <w:pPr>
      <w:tabs>
        <w:tab w:val="left" w:pos="369"/>
      </w:tabs>
      <w:overflowPunct w:val="0"/>
      <w:autoSpaceDE w:val="0"/>
      <w:autoSpaceDN w:val="0"/>
      <w:adjustRightInd w:val="0"/>
      <w:spacing w:after="80" w:line="300" w:lineRule="exact"/>
      <w:ind w:firstLine="369"/>
      <w:jc w:val="both"/>
      <w:textAlignment w:val="baseline"/>
    </w:pPr>
    <w:rPr>
      <w:sz w:val="22"/>
      <w:szCs w:val="20"/>
      <w:lang w:val="en-GB"/>
    </w:rPr>
  </w:style>
  <w:style w:type="paragraph" w:customStyle="1" w:styleId="heading">
    <w:name w:val="heading"/>
    <w:basedOn w:val="Normal"/>
    <w:rsid w:val="00CF3ED4"/>
    <w:pPr>
      <w:spacing w:after="125"/>
      <w:jc w:val="center"/>
    </w:pPr>
    <w:rPr>
      <w:b/>
      <w:bCs/>
      <w:color w:val="000080"/>
      <w:sz w:val="28"/>
      <w:szCs w:val="28"/>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4280</Words>
  <Characters>24401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2022-07-26T13:33:00Z</cp:lastPrinted>
  <dcterms:created xsi:type="dcterms:W3CDTF">2022-07-29T09:19:00Z</dcterms:created>
  <dcterms:modified xsi:type="dcterms:W3CDTF">2022-07-29T09:19:00Z</dcterms:modified>
</cp:coreProperties>
</file>