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1" w:type="dxa"/>
        <w:tblBorders>
          <w:bottom w:val="single" w:sz="6" w:space="0" w:color="auto"/>
        </w:tblBorders>
        <w:tblLayout w:type="fixed"/>
        <w:tblLook w:val="0000" w:firstRow="0" w:lastRow="0" w:firstColumn="0" w:lastColumn="0" w:noHBand="0" w:noVBand="0"/>
      </w:tblPr>
      <w:tblGrid>
        <w:gridCol w:w="3896"/>
        <w:gridCol w:w="1491"/>
        <w:gridCol w:w="4394"/>
      </w:tblGrid>
      <w:tr w:rsidR="005A4D7A" w:rsidTr="009C18C8">
        <w:trPr>
          <w:trHeight w:val="70"/>
        </w:trPr>
        <w:tc>
          <w:tcPr>
            <w:tcW w:w="3896" w:type="dxa"/>
            <w:tcBorders>
              <w:bottom w:val="nil"/>
            </w:tcBorders>
          </w:tcPr>
          <w:p w:rsidR="005A4D7A" w:rsidRPr="000833BD" w:rsidRDefault="005A4D7A" w:rsidP="000833BD">
            <w:pPr>
              <w:tabs>
                <w:tab w:val="left" w:pos="1134"/>
                <w:tab w:val="left" w:pos="1276"/>
                <w:tab w:val="left" w:pos="1560"/>
                <w:tab w:val="center" w:pos="4395"/>
                <w:tab w:val="right" w:pos="8505"/>
              </w:tabs>
              <w:jc w:val="both"/>
              <w:rPr>
                <w:b/>
                <w:sz w:val="2"/>
                <w:szCs w:val="2"/>
              </w:rPr>
            </w:pPr>
            <w:bookmarkStart w:id="0" w:name="_GoBack"/>
            <w:bookmarkEnd w:id="0"/>
          </w:p>
        </w:tc>
        <w:tc>
          <w:tcPr>
            <w:tcW w:w="1491" w:type="dxa"/>
            <w:tcBorders>
              <w:bottom w:val="nil"/>
            </w:tcBorders>
          </w:tcPr>
          <w:p w:rsidR="005A4D7A" w:rsidRDefault="005A4D7A" w:rsidP="009A35C7">
            <w:pPr>
              <w:tabs>
                <w:tab w:val="center" w:pos="4395"/>
                <w:tab w:val="right" w:pos="8505"/>
              </w:tabs>
              <w:spacing w:line="360" w:lineRule="auto"/>
              <w:jc w:val="both"/>
              <w:rPr>
                <w:sz w:val="19"/>
              </w:rPr>
            </w:pPr>
          </w:p>
        </w:tc>
        <w:tc>
          <w:tcPr>
            <w:tcW w:w="4394" w:type="dxa"/>
            <w:tcBorders>
              <w:bottom w:val="nil"/>
            </w:tcBorders>
          </w:tcPr>
          <w:p w:rsidR="005A4D7A" w:rsidRDefault="005A4D7A" w:rsidP="009A35C7">
            <w:pPr>
              <w:tabs>
                <w:tab w:val="center" w:pos="4395"/>
                <w:tab w:val="right" w:pos="8505"/>
              </w:tabs>
              <w:spacing w:line="360" w:lineRule="auto"/>
              <w:jc w:val="both"/>
              <w:rPr>
                <w:b/>
                <w:sz w:val="19"/>
              </w:rPr>
            </w:pPr>
          </w:p>
        </w:tc>
      </w:tr>
    </w:tbl>
    <w:p w:rsidR="002912A6" w:rsidRDefault="000D4705" w:rsidP="00115AA3">
      <w:pPr>
        <w:jc w:val="both"/>
      </w:pPr>
      <w:r>
        <w:t>TWENTY THIRD CENTURY</w:t>
      </w:r>
      <w:r w:rsidR="003F702F">
        <w:t xml:space="preserve"> (PRIVATE) LIMITED</w:t>
      </w:r>
    </w:p>
    <w:p w:rsidR="00602A43" w:rsidRPr="00C92771" w:rsidRDefault="00602A43" w:rsidP="00115AA3">
      <w:pPr>
        <w:jc w:val="both"/>
        <w:rPr>
          <w:sz w:val="4"/>
          <w:szCs w:val="4"/>
        </w:rPr>
      </w:pPr>
    </w:p>
    <w:p w:rsidR="002912A6" w:rsidRDefault="007E0D90" w:rsidP="00115AA3">
      <w:pPr>
        <w:jc w:val="both"/>
      </w:pPr>
      <w:r>
        <w:t>versus</w:t>
      </w:r>
      <w:r w:rsidR="00D37BA5">
        <w:t xml:space="preserve"> </w:t>
      </w:r>
    </w:p>
    <w:p w:rsidR="00472847" w:rsidRPr="00804E6A" w:rsidRDefault="00472847" w:rsidP="00115AA3">
      <w:pPr>
        <w:jc w:val="both"/>
        <w:rPr>
          <w:sz w:val="8"/>
          <w:szCs w:val="8"/>
        </w:rPr>
      </w:pPr>
    </w:p>
    <w:p w:rsidR="002912A6" w:rsidRDefault="004469E5" w:rsidP="00115AA3">
      <w:pPr>
        <w:jc w:val="both"/>
      </w:pPr>
      <w:r>
        <w:t>MINISTER OF HIGHER AND TERTIARY EDUCATION</w:t>
      </w:r>
      <w:r w:rsidR="007F6386">
        <w:t>,</w:t>
      </w:r>
    </w:p>
    <w:p w:rsidR="007F6386" w:rsidRDefault="007F6386" w:rsidP="00115AA3">
      <w:pPr>
        <w:jc w:val="both"/>
      </w:pPr>
      <w:r>
        <w:t>INNOVATION SCIENCE AND TECHNOLOGY DEVELOPMENT N.O.</w:t>
      </w:r>
    </w:p>
    <w:p w:rsidR="002912A6" w:rsidRDefault="00187CCB" w:rsidP="00115AA3">
      <w:pPr>
        <w:jc w:val="both"/>
      </w:pPr>
      <w:r>
        <w:t>a</w:t>
      </w:r>
      <w:r w:rsidR="002912A6">
        <w:t>nd</w:t>
      </w:r>
    </w:p>
    <w:p w:rsidR="007E0D90" w:rsidRPr="00187CCB" w:rsidRDefault="007E0D90" w:rsidP="00115AA3">
      <w:pPr>
        <w:jc w:val="both"/>
        <w:rPr>
          <w:sz w:val="6"/>
          <w:szCs w:val="6"/>
        </w:rPr>
      </w:pPr>
    </w:p>
    <w:p w:rsidR="007E0D90" w:rsidRDefault="00187CCB" w:rsidP="00115AA3">
      <w:pPr>
        <w:jc w:val="both"/>
      </w:pPr>
      <w:r>
        <w:t>PROCUREMENT REGULATORY AUTHORITY OF ZIMBABWE</w:t>
      </w:r>
    </w:p>
    <w:p w:rsidR="00C92771" w:rsidRPr="00C92771" w:rsidRDefault="00C92771" w:rsidP="00115AA3">
      <w:pPr>
        <w:jc w:val="both"/>
        <w:rPr>
          <w:sz w:val="4"/>
          <w:szCs w:val="4"/>
        </w:rPr>
      </w:pPr>
    </w:p>
    <w:p w:rsidR="005A4D7A" w:rsidRDefault="005A4D7A" w:rsidP="00115AA3">
      <w:pPr>
        <w:jc w:val="both"/>
      </w:pPr>
    </w:p>
    <w:p w:rsidR="00115AA3" w:rsidRDefault="00115AA3" w:rsidP="00115AA3">
      <w:pPr>
        <w:jc w:val="both"/>
      </w:pPr>
    </w:p>
    <w:p w:rsidR="009C18C8" w:rsidRPr="001779FF" w:rsidRDefault="009C18C8" w:rsidP="009A35C7">
      <w:pPr>
        <w:jc w:val="both"/>
        <w:rPr>
          <w:sz w:val="10"/>
          <w:szCs w:val="10"/>
        </w:rPr>
      </w:pPr>
    </w:p>
    <w:p w:rsidR="005A4D7A" w:rsidRDefault="005A4D7A" w:rsidP="009A35C7">
      <w:pPr>
        <w:jc w:val="both"/>
      </w:pPr>
      <w:r>
        <w:t>HIGH COURT OF ZIMBABWE</w:t>
      </w:r>
    </w:p>
    <w:p w:rsidR="005A4D7A" w:rsidRDefault="00A831D8" w:rsidP="009A35C7">
      <w:pPr>
        <w:jc w:val="both"/>
      </w:pPr>
      <w:r>
        <w:t>CHINAMORA</w:t>
      </w:r>
      <w:r w:rsidR="005A4D7A">
        <w:t xml:space="preserve"> J</w:t>
      </w:r>
    </w:p>
    <w:p w:rsidR="005A4D7A" w:rsidRDefault="009B1F57" w:rsidP="009A35C7">
      <w:pPr>
        <w:jc w:val="both"/>
      </w:pPr>
      <w:r>
        <w:t xml:space="preserve">HARARE </w:t>
      </w:r>
      <w:r w:rsidR="009510A4">
        <w:t xml:space="preserve">30 September 2022, </w:t>
      </w:r>
      <w:r>
        <w:t>12</w:t>
      </w:r>
      <w:r w:rsidR="008E58CC">
        <w:t xml:space="preserve"> Octo</w:t>
      </w:r>
      <w:r w:rsidR="008D5B89">
        <w:t>ber 2022 and 7</w:t>
      </w:r>
      <w:r>
        <w:t xml:space="preserve"> November </w:t>
      </w:r>
      <w:r w:rsidR="000C7403">
        <w:t>2022</w:t>
      </w:r>
    </w:p>
    <w:p w:rsidR="005A4D7A" w:rsidRPr="00013906" w:rsidRDefault="005A4D7A" w:rsidP="009A35C7">
      <w:pPr>
        <w:spacing w:line="360" w:lineRule="auto"/>
        <w:jc w:val="both"/>
        <w:rPr>
          <w:sz w:val="16"/>
          <w:szCs w:val="16"/>
        </w:rPr>
      </w:pPr>
    </w:p>
    <w:p w:rsidR="002B10C2" w:rsidRPr="00B137C6" w:rsidRDefault="002B10C2" w:rsidP="009A35C7">
      <w:pPr>
        <w:spacing w:line="360" w:lineRule="auto"/>
        <w:jc w:val="both"/>
        <w:rPr>
          <w:sz w:val="16"/>
          <w:szCs w:val="16"/>
        </w:rPr>
      </w:pPr>
    </w:p>
    <w:p w:rsidR="005A4D7A" w:rsidRPr="009A017B" w:rsidRDefault="00102F47" w:rsidP="009A35C7">
      <w:pPr>
        <w:spacing w:line="360" w:lineRule="auto"/>
        <w:jc w:val="both"/>
        <w:rPr>
          <w:b/>
        </w:rPr>
      </w:pPr>
      <w:r>
        <w:rPr>
          <w:b/>
        </w:rPr>
        <w:t>Urgent chamber a</w:t>
      </w:r>
      <w:r w:rsidR="00C835A5">
        <w:rPr>
          <w:b/>
        </w:rPr>
        <w:t>pplication</w:t>
      </w:r>
    </w:p>
    <w:p w:rsidR="005A4D7A" w:rsidRDefault="005A4D7A" w:rsidP="009A35C7">
      <w:pPr>
        <w:spacing w:line="360" w:lineRule="auto"/>
        <w:jc w:val="both"/>
      </w:pPr>
    </w:p>
    <w:p w:rsidR="00C835A5" w:rsidRDefault="007219B0" w:rsidP="00C835A5">
      <w:pPr>
        <w:jc w:val="both"/>
      </w:pPr>
      <w:r>
        <w:rPr>
          <w:i/>
        </w:rPr>
        <w:t>Adv M Ndlovu</w:t>
      </w:r>
      <w:r w:rsidR="00923C91">
        <w:rPr>
          <w:i/>
        </w:rPr>
        <w:t xml:space="preserve"> </w:t>
      </w:r>
      <w:r w:rsidR="00923C91" w:rsidRPr="00923C91">
        <w:t>with</w:t>
      </w:r>
      <w:r w:rsidR="00923C91">
        <w:rPr>
          <w:i/>
        </w:rPr>
        <w:t xml:space="preserve"> Ms P Matutu</w:t>
      </w:r>
      <w:r w:rsidR="00CE42F4">
        <w:t xml:space="preserve">, </w:t>
      </w:r>
      <w:r w:rsidR="00FD00F3">
        <w:t xml:space="preserve">for the </w:t>
      </w:r>
      <w:r w:rsidR="00CE42F4">
        <w:t>applicant</w:t>
      </w:r>
    </w:p>
    <w:p w:rsidR="004D0E53" w:rsidRDefault="00923C91" w:rsidP="00C835A5">
      <w:pPr>
        <w:jc w:val="both"/>
      </w:pPr>
      <w:r>
        <w:rPr>
          <w:i/>
        </w:rPr>
        <w:t>Mr P Jaricha</w:t>
      </w:r>
      <w:r w:rsidR="004B652A">
        <w:t xml:space="preserve">, for the </w:t>
      </w:r>
      <w:r w:rsidR="007219B0">
        <w:t>1</w:t>
      </w:r>
      <w:r w:rsidR="007219B0" w:rsidRPr="007219B0">
        <w:rPr>
          <w:vertAlign w:val="superscript"/>
        </w:rPr>
        <w:t>st</w:t>
      </w:r>
      <w:r w:rsidR="007219B0">
        <w:t xml:space="preserve"> </w:t>
      </w:r>
      <w:r w:rsidR="00C835A5">
        <w:t>respondent</w:t>
      </w:r>
    </w:p>
    <w:p w:rsidR="00526195" w:rsidRDefault="00013906" w:rsidP="00C835A5">
      <w:pPr>
        <w:jc w:val="both"/>
      </w:pPr>
      <w:r>
        <w:rPr>
          <w:i/>
        </w:rPr>
        <w:t>Mr I Chikaka</w:t>
      </w:r>
      <w:r>
        <w:t>, for the 2</w:t>
      </w:r>
      <w:r w:rsidRPr="00013906">
        <w:rPr>
          <w:vertAlign w:val="superscript"/>
        </w:rPr>
        <w:t>nd</w:t>
      </w:r>
      <w:r w:rsidR="00526195">
        <w:t xml:space="preserve"> respondent</w:t>
      </w:r>
    </w:p>
    <w:p w:rsidR="000F18FB" w:rsidRDefault="000F18FB" w:rsidP="00C835A5">
      <w:pPr>
        <w:jc w:val="both"/>
      </w:pPr>
    </w:p>
    <w:p w:rsidR="000F18FB" w:rsidRDefault="000F18FB" w:rsidP="00C835A5">
      <w:pPr>
        <w:jc w:val="both"/>
      </w:pPr>
    </w:p>
    <w:p w:rsidR="00013906" w:rsidRPr="00013906" w:rsidRDefault="00013906" w:rsidP="009A35C7">
      <w:pPr>
        <w:spacing w:line="360" w:lineRule="auto"/>
        <w:jc w:val="both"/>
        <w:rPr>
          <w:sz w:val="10"/>
          <w:szCs w:val="10"/>
        </w:rPr>
      </w:pPr>
    </w:p>
    <w:p w:rsidR="001779FF" w:rsidRPr="001779FF" w:rsidRDefault="000F18FB" w:rsidP="000833BD">
      <w:pPr>
        <w:spacing w:line="360" w:lineRule="auto"/>
        <w:jc w:val="both"/>
        <w:rPr>
          <w:sz w:val="16"/>
          <w:szCs w:val="16"/>
        </w:rPr>
      </w:pPr>
      <w:r w:rsidRPr="00115AA3">
        <w:rPr>
          <w:b/>
        </w:rPr>
        <w:t>CHINAMORA J</w:t>
      </w:r>
      <w:r>
        <w:rPr>
          <w:b/>
        </w:rPr>
        <w:t>:</w:t>
      </w:r>
    </w:p>
    <w:p w:rsidR="000F18FB" w:rsidRDefault="000F18FB" w:rsidP="00B01F42">
      <w:pPr>
        <w:spacing w:line="360" w:lineRule="auto"/>
        <w:jc w:val="both"/>
        <w:rPr>
          <w:b/>
        </w:rPr>
      </w:pPr>
    </w:p>
    <w:p w:rsidR="00304541" w:rsidRPr="00C45974" w:rsidRDefault="007060DC" w:rsidP="00B01F42">
      <w:pPr>
        <w:spacing w:line="360" w:lineRule="auto"/>
        <w:jc w:val="both"/>
        <w:rPr>
          <w:b/>
        </w:rPr>
      </w:pPr>
      <w:r>
        <w:rPr>
          <w:b/>
        </w:rPr>
        <w:t>Introduction and background facts</w:t>
      </w:r>
    </w:p>
    <w:p w:rsidR="00ED64EC" w:rsidRDefault="00115AA3" w:rsidP="00ED64EC">
      <w:pPr>
        <w:spacing w:line="360" w:lineRule="auto"/>
        <w:ind w:firstLine="720"/>
        <w:jc w:val="both"/>
      </w:pPr>
      <w:r>
        <w:t xml:space="preserve"> </w:t>
      </w:r>
      <w:r w:rsidR="002761A5">
        <w:t>This is an urgent chamber application for an order suspending the procure</w:t>
      </w:r>
      <w:r>
        <w:t>ment process instituted by the first respondent</w:t>
      </w:r>
      <w:r w:rsidR="00E92E31">
        <w:t xml:space="preserve"> under reference number </w:t>
      </w:r>
      <w:r w:rsidR="002761A5">
        <w:t>ZPCR</w:t>
      </w:r>
      <w:r w:rsidR="004539C5">
        <w:t xml:space="preserve">33-2022. </w:t>
      </w:r>
      <w:r w:rsidR="00BC3934">
        <w:t>The tender was advertised by the Zimbabwe Manpower Development Fund (ZIMDEF), which falls under</w:t>
      </w:r>
      <w:r>
        <w:t xml:space="preserve"> the first</w:t>
      </w:r>
      <w:r w:rsidR="00BC3934">
        <w:t xml:space="preserve"> respondent</w:t>
      </w:r>
      <w:r w:rsidR="001B1B0A">
        <w:t xml:space="preserve"> on 9 September 2022</w:t>
      </w:r>
      <w:r w:rsidR="00BC3934">
        <w:t>.</w:t>
      </w:r>
      <w:r w:rsidR="00D65582">
        <w:t xml:space="preserve"> The relevant tender documents are marked</w:t>
      </w:r>
      <w:r w:rsidR="007754BB">
        <w:t xml:space="preserve"> Annexure “TC2”</w:t>
      </w:r>
      <w:r w:rsidR="006E4729">
        <w:t>, which appears</w:t>
      </w:r>
      <w:r w:rsidR="007754BB">
        <w:t xml:space="preserve"> on pages 16-</w:t>
      </w:r>
      <w:r w:rsidR="006E4729">
        <w:t>36 of the record.</w:t>
      </w:r>
      <w:r w:rsidR="00BC3934">
        <w:t xml:space="preserve"> </w:t>
      </w:r>
      <w:r w:rsidR="004736BD">
        <w:t>On the retu</w:t>
      </w:r>
      <w:r w:rsidR="00D65582">
        <w:t>rn date, the applicant seeks</w:t>
      </w:r>
      <w:r w:rsidR="004736BD">
        <w:t xml:space="preserve"> nullification and cancellat</w:t>
      </w:r>
      <w:r w:rsidR="00D65582">
        <w:t>ion of the tender process</w:t>
      </w:r>
      <w:r w:rsidR="00D74022">
        <w:t>. This</w:t>
      </w:r>
      <w:r w:rsidR="001A7A65">
        <w:t xml:space="preserve"> application comes</w:t>
      </w:r>
      <w:r w:rsidR="00D74022">
        <w:t xml:space="preserve"> </w:t>
      </w:r>
      <w:r w:rsidR="00E03336">
        <w:t xml:space="preserve">soon after the determination of HC 1727/22, which was an application </w:t>
      </w:r>
      <w:r w:rsidR="0094369D">
        <w:t>for review and</w:t>
      </w:r>
      <w:r w:rsidR="00E03336">
        <w:t xml:space="preserve"> setting aside of the </w:t>
      </w:r>
      <w:r w:rsidR="001B5102">
        <w:t>decision of ZIMDEF awarding</w:t>
      </w:r>
      <w:r w:rsidR="00E03336">
        <w:t xml:space="preserve"> a tender to provide SAP software services </w:t>
      </w:r>
      <w:r w:rsidR="00A8207F">
        <w:t>to Tano Digital Solutions</w:t>
      </w:r>
      <w:r w:rsidR="001B5102">
        <w:t xml:space="preserve"> (Pvt) Ltd</w:t>
      </w:r>
      <w:r w:rsidR="00A8207F">
        <w:t xml:space="preserve"> </w:t>
      </w:r>
      <w:r w:rsidR="001A1536">
        <w:t>(</w:t>
      </w:r>
      <w:r w:rsidR="000C3873">
        <w:t xml:space="preserve">the </w:t>
      </w:r>
      <w:r>
        <w:t>third</w:t>
      </w:r>
      <w:r w:rsidR="00A8207F">
        <w:t xml:space="preserve"> re</w:t>
      </w:r>
      <w:r w:rsidR="00404921">
        <w:t>spondent in that case)</w:t>
      </w:r>
      <w:r w:rsidR="00321758">
        <w:t xml:space="preserve"> (“Tano Digital</w:t>
      </w:r>
      <w:r w:rsidR="00C3620A">
        <w:t xml:space="preserve"> Solutions</w:t>
      </w:r>
      <w:r w:rsidR="00321758">
        <w:t>”)</w:t>
      </w:r>
      <w:r w:rsidR="00E03336">
        <w:t xml:space="preserve">. </w:t>
      </w:r>
      <w:r w:rsidR="00060A39">
        <w:t>Unhappy</w:t>
      </w:r>
      <w:r w:rsidR="00E03336">
        <w:t xml:space="preserve"> with this</w:t>
      </w:r>
      <w:r w:rsidR="00060A39">
        <w:t xml:space="preserve"> award</w:t>
      </w:r>
      <w:r w:rsidR="00E03336">
        <w:t xml:space="preserve">, the applicant sought a determination of the matter </w:t>
      </w:r>
      <w:r w:rsidR="00060A39">
        <w:t>by a</w:t>
      </w:r>
      <w:r w:rsidR="00E03336">
        <w:t xml:space="preserve"> </w:t>
      </w:r>
      <w:r w:rsidR="00060A39">
        <w:t>review p</w:t>
      </w:r>
      <w:r w:rsidR="001656BC">
        <w:t xml:space="preserve">anel in terms of </w:t>
      </w:r>
      <w:r w:rsidR="00E03336">
        <w:t xml:space="preserve"> </w:t>
      </w:r>
      <w:r w:rsidR="001656BC">
        <w:t xml:space="preserve">s </w:t>
      </w:r>
      <w:r w:rsidR="00E03336">
        <w:t xml:space="preserve">74 of the Public Procurement and </w:t>
      </w:r>
      <w:r w:rsidR="00E03336">
        <w:lastRenderedPageBreak/>
        <w:t>Disposal of Public Assets Act [</w:t>
      </w:r>
      <w:r w:rsidR="00E03336" w:rsidRPr="00115AA3">
        <w:rPr>
          <w:i/>
        </w:rPr>
        <w:t>Chapter 22:23</w:t>
      </w:r>
      <w:r w:rsidR="00E03336">
        <w:t>]</w:t>
      </w:r>
      <w:r w:rsidR="002D4172">
        <w:t xml:space="preserve"> (“the Public Procurement Act</w:t>
      </w:r>
      <w:r w:rsidR="00E92E31">
        <w:t>”).</w:t>
      </w:r>
      <w:r w:rsidR="00E03336">
        <w:t xml:space="preserve"> </w:t>
      </w:r>
      <w:r w:rsidR="00404921">
        <w:t>The said panel</w:t>
      </w:r>
      <w:r w:rsidR="00E03336">
        <w:t xml:space="preserve"> dismissed</w:t>
      </w:r>
      <w:r w:rsidR="00A309D6">
        <w:t xml:space="preserve"> the challenge, a decision that</w:t>
      </w:r>
      <w:r w:rsidR="00E03336">
        <w:t xml:space="preserve"> prompted the applicant to file the </w:t>
      </w:r>
      <w:r w:rsidR="00ED64EC">
        <w:t>application</w:t>
      </w:r>
      <w:r w:rsidR="00A309D6">
        <w:t xml:space="preserve"> which</w:t>
      </w:r>
      <w:r w:rsidR="00ED64EC">
        <w:t xml:space="preserve"> I determined in HC 1737/22.</w:t>
      </w:r>
    </w:p>
    <w:p w:rsidR="00633D2B" w:rsidRDefault="00633D2B" w:rsidP="00ED64EC">
      <w:pPr>
        <w:spacing w:line="360" w:lineRule="auto"/>
        <w:jc w:val="both"/>
      </w:pPr>
      <w:r>
        <w:t xml:space="preserve">On </w:t>
      </w:r>
      <w:r w:rsidR="008048BF">
        <w:t>16 July 2022,</w:t>
      </w:r>
      <w:r>
        <w:t xml:space="preserve"> </w:t>
      </w:r>
      <w:r w:rsidR="008048BF">
        <w:t>I granted an order in the following terms</w:t>
      </w:r>
      <w:r>
        <w:t>:</w:t>
      </w:r>
    </w:p>
    <w:p w:rsidR="00633D2B" w:rsidRPr="00ED64EC" w:rsidRDefault="00633D2B" w:rsidP="00633D2B">
      <w:pPr>
        <w:spacing w:line="360" w:lineRule="auto"/>
        <w:jc w:val="both"/>
        <w:rPr>
          <w:sz w:val="8"/>
          <w:szCs w:val="8"/>
        </w:rPr>
      </w:pPr>
    </w:p>
    <w:p w:rsidR="00ED64EC" w:rsidRDefault="00ED64EC" w:rsidP="00ED64EC">
      <w:pPr>
        <w:ind w:left="720"/>
        <w:jc w:val="both"/>
        <w:rPr>
          <w:sz w:val="22"/>
          <w:szCs w:val="22"/>
        </w:rPr>
      </w:pPr>
      <w:r>
        <w:rPr>
          <w:sz w:val="22"/>
          <w:szCs w:val="22"/>
        </w:rPr>
        <w:t xml:space="preserve">“1. </w:t>
      </w:r>
      <w:r w:rsidR="00633D2B" w:rsidRPr="00ED64EC">
        <w:rPr>
          <w:sz w:val="22"/>
          <w:szCs w:val="22"/>
        </w:rPr>
        <w:t>The decis</w:t>
      </w:r>
      <w:r w:rsidR="00115AA3">
        <w:rPr>
          <w:sz w:val="22"/>
          <w:szCs w:val="22"/>
        </w:rPr>
        <w:t xml:space="preserve">ion of the Review Panel of the second Respondent dated </w:t>
      </w:r>
      <w:r w:rsidR="00633D2B" w:rsidRPr="00ED64EC">
        <w:rPr>
          <w:sz w:val="22"/>
          <w:szCs w:val="22"/>
        </w:rPr>
        <w:t xml:space="preserve"> 22 February 2022 dismissing the application made by the applicant be and is hereby set aside.</w:t>
      </w:r>
    </w:p>
    <w:p w:rsidR="00ED64EC" w:rsidRDefault="00ED64EC" w:rsidP="00ED64EC">
      <w:pPr>
        <w:ind w:left="720"/>
        <w:jc w:val="both"/>
        <w:rPr>
          <w:sz w:val="22"/>
          <w:szCs w:val="22"/>
        </w:rPr>
      </w:pPr>
      <w:r>
        <w:rPr>
          <w:sz w:val="22"/>
          <w:szCs w:val="22"/>
        </w:rPr>
        <w:t xml:space="preserve">2. </w:t>
      </w:r>
      <w:r w:rsidR="00115AA3">
        <w:rPr>
          <w:sz w:val="22"/>
          <w:szCs w:val="22"/>
        </w:rPr>
        <w:t>The decision to award the third</w:t>
      </w:r>
      <w:r w:rsidR="00633D2B" w:rsidRPr="00ED64EC">
        <w:rPr>
          <w:sz w:val="22"/>
          <w:szCs w:val="22"/>
        </w:rPr>
        <w:t xml:space="preserve"> respondent a contract by tender for the provisi</w:t>
      </w:r>
      <w:r w:rsidR="00115AA3">
        <w:rPr>
          <w:sz w:val="22"/>
          <w:szCs w:val="22"/>
        </w:rPr>
        <w:t>on of software services to the first</w:t>
      </w:r>
      <w:r w:rsidR="00633D2B" w:rsidRPr="00ED64EC">
        <w:rPr>
          <w:sz w:val="22"/>
          <w:szCs w:val="22"/>
        </w:rPr>
        <w:t xml:space="preserve"> respondent dated 9 December 2021 be and is hereby set aside.</w:t>
      </w:r>
    </w:p>
    <w:p w:rsidR="00633D2B" w:rsidRPr="00ED64EC" w:rsidRDefault="00ED64EC" w:rsidP="00ED64EC">
      <w:pPr>
        <w:ind w:firstLine="720"/>
        <w:jc w:val="both"/>
        <w:rPr>
          <w:sz w:val="22"/>
          <w:szCs w:val="22"/>
        </w:rPr>
      </w:pPr>
      <w:r>
        <w:rPr>
          <w:sz w:val="22"/>
          <w:szCs w:val="22"/>
        </w:rPr>
        <w:t xml:space="preserve">3. </w:t>
      </w:r>
      <w:r w:rsidR="00115AA3">
        <w:rPr>
          <w:sz w:val="22"/>
          <w:szCs w:val="22"/>
        </w:rPr>
        <w:t>The first and third</w:t>
      </w:r>
      <w:r w:rsidR="00633D2B" w:rsidRPr="00ED64EC">
        <w:rPr>
          <w:sz w:val="22"/>
          <w:szCs w:val="22"/>
        </w:rPr>
        <w:t xml:space="preserve"> respondents shall bear the costs of this application</w:t>
      </w:r>
      <w:r w:rsidRPr="00ED64EC">
        <w:rPr>
          <w:sz w:val="22"/>
          <w:szCs w:val="22"/>
        </w:rPr>
        <w:t>”</w:t>
      </w:r>
      <w:r w:rsidR="00633D2B" w:rsidRPr="00ED64EC">
        <w:rPr>
          <w:sz w:val="22"/>
          <w:szCs w:val="22"/>
        </w:rPr>
        <w:t xml:space="preserve">.   </w:t>
      </w:r>
    </w:p>
    <w:p w:rsidR="00BC31F3" w:rsidRDefault="00BC31F3" w:rsidP="00873708"/>
    <w:p w:rsidR="00973351" w:rsidRPr="00551BBE" w:rsidRDefault="00612C96" w:rsidP="00973351">
      <w:pPr>
        <w:spacing w:line="360" w:lineRule="auto"/>
        <w:jc w:val="both"/>
      </w:pPr>
      <w:r>
        <w:t xml:space="preserve">The respondent avers </w:t>
      </w:r>
      <w:r w:rsidR="00D1730B">
        <w:t>that around</w:t>
      </w:r>
      <w:r w:rsidR="00115AA3">
        <w:t xml:space="preserve"> October 2021, the first</w:t>
      </w:r>
      <w:r w:rsidR="00A857D2">
        <w:t xml:space="preserve"> respondent published a notice </w:t>
      </w:r>
      <w:r w:rsidR="00CF1EE9">
        <w:t>inviting bids for</w:t>
      </w:r>
      <w:r w:rsidR="00606FF6">
        <w:t xml:space="preserve"> the provi</w:t>
      </w:r>
      <w:r w:rsidR="00FD2DAE">
        <w:t>sion of SAP software support</w:t>
      </w:r>
      <w:r w:rsidR="00606FF6">
        <w:t xml:space="preserve"> services</w:t>
      </w:r>
      <w:r w:rsidR="00373C75">
        <w:t xml:space="preserve"> under tender number ZPCR29-2021</w:t>
      </w:r>
      <w:r w:rsidR="00606FF6">
        <w:t>.</w:t>
      </w:r>
      <w:r w:rsidR="00AC30A0">
        <w:t xml:space="preserve"> Th</w:t>
      </w:r>
      <w:r w:rsidR="00277300">
        <w:t>e tender document spelt out the b</w:t>
      </w:r>
      <w:r w:rsidR="00D868C9">
        <w:t>idding procedures and r</w:t>
      </w:r>
      <w:r w:rsidR="000A18AA">
        <w:t>equirements, and t</w:t>
      </w:r>
      <w:r w:rsidR="00FA3BF8">
        <w:t>he applicant submitted it</w:t>
      </w:r>
      <w:r w:rsidR="00316D95">
        <w:t xml:space="preserve">s bid in response to the </w:t>
      </w:r>
      <w:r w:rsidR="000A18AA">
        <w:t>aforesaid notice.</w:t>
      </w:r>
      <w:r w:rsidR="009B3348">
        <w:t xml:space="preserve"> T</w:t>
      </w:r>
      <w:r w:rsidR="00F94BAA">
        <w:t>he applicant</w:t>
      </w:r>
      <w:r w:rsidR="00561DF3">
        <w:t xml:space="preserve"> also states that</w:t>
      </w:r>
      <w:r w:rsidR="00605024">
        <w:t>,</w:t>
      </w:r>
      <w:r w:rsidR="00F94BAA">
        <w:t xml:space="preserve"> on 9 November 2021 before t</w:t>
      </w:r>
      <w:r w:rsidR="00EA2E43">
        <w:t>he result of the bids</w:t>
      </w:r>
      <w:r w:rsidR="00561DF3">
        <w:t xml:space="preserve"> was released, it</w:t>
      </w:r>
      <w:r w:rsidR="0036420F">
        <w:t xml:space="preserve"> </w:t>
      </w:r>
      <w:r w:rsidR="00115AA3">
        <w:t>gave a notice to the second</w:t>
      </w:r>
      <w:r w:rsidR="001A5298">
        <w:t xml:space="preserve"> respondent </w:t>
      </w:r>
      <w:r w:rsidR="006473F2">
        <w:t xml:space="preserve">(in terms of s 73 (1) of the Public Procurement Act) </w:t>
      </w:r>
      <w:r w:rsidR="00B73469">
        <w:t>challenging clause 10</w:t>
      </w:r>
      <w:r w:rsidR="001A5298">
        <w:t xml:space="preserve"> </w:t>
      </w:r>
      <w:r w:rsidR="00EA2E43">
        <w:t xml:space="preserve">of the tender </w:t>
      </w:r>
      <w:r w:rsidR="00E07E28">
        <w:t xml:space="preserve">on the basis that it was restrictive, </w:t>
      </w:r>
      <w:r w:rsidR="00877431">
        <w:t>unreasonable and anti-competition.</w:t>
      </w:r>
      <w:r w:rsidR="00E031B7">
        <w:t xml:space="preserve"> The </w:t>
      </w:r>
      <w:r w:rsidR="00B73469">
        <w:t>offending clause</w:t>
      </w:r>
      <w:r w:rsidR="00B267D6">
        <w:t xml:space="preserve"> required bidders </w:t>
      </w:r>
      <w:r w:rsidR="007E6A65">
        <w:t>to hold</w:t>
      </w:r>
      <w:r w:rsidR="00B267D6">
        <w:t xml:space="preserve"> an </w:t>
      </w:r>
      <w:r w:rsidR="00183DB7">
        <w:t>SAP licence.</w:t>
      </w:r>
      <w:r w:rsidR="00CC6363">
        <w:t xml:space="preserve"> The applicant emphasi</w:t>
      </w:r>
      <w:r w:rsidR="00926330">
        <w:t>zed that at the time of this tender, the applicant was providing SAP appli</w:t>
      </w:r>
      <w:r w:rsidR="00115AA3">
        <w:t>cation support services to the first</w:t>
      </w:r>
      <w:r w:rsidR="00926330">
        <w:t xml:space="preserve"> respondent</w:t>
      </w:r>
      <w:r w:rsidR="00AA597F">
        <w:t xml:space="preserve">, and two tenders had been </w:t>
      </w:r>
      <w:r w:rsidR="00A17F44">
        <w:t>floated for the same services without the restrictive condition carried in clause 10.</w:t>
      </w:r>
      <w:r w:rsidR="00CC6363">
        <w:t xml:space="preserve"> </w:t>
      </w:r>
    </w:p>
    <w:p w:rsidR="00A46275" w:rsidRDefault="00012931" w:rsidP="00CD4D49">
      <w:pPr>
        <w:spacing w:line="360" w:lineRule="auto"/>
        <w:ind w:firstLine="720"/>
        <w:jc w:val="both"/>
      </w:pPr>
      <w:r>
        <w:t>On 2 February 2022, t</w:t>
      </w:r>
      <w:r w:rsidR="00115AA3">
        <w:t>he first</w:t>
      </w:r>
      <w:r w:rsidR="00112DD4">
        <w:t xml:space="preserve"> respondent gave a response to the challenge</w:t>
      </w:r>
      <w:r w:rsidR="004D0B65">
        <w:t xml:space="preserve"> in accordance with the provisions of the Public Procurement Act</w:t>
      </w:r>
      <w:r w:rsidR="00B36D46">
        <w:t>.</w:t>
      </w:r>
      <w:r w:rsidR="00A123B3">
        <w:t xml:space="preserve"> Then</w:t>
      </w:r>
      <w:r w:rsidR="009826EF">
        <w:t>,</w:t>
      </w:r>
      <w:r w:rsidR="00A123B3">
        <w:t xml:space="preserve"> on 24 January 2022,</w:t>
      </w:r>
      <w:r w:rsidR="002F49D4">
        <w:t xml:space="preserve"> </w:t>
      </w:r>
      <w:r w:rsidR="00115AA3">
        <w:t xml:space="preserve">the second </w:t>
      </w:r>
      <w:r w:rsidR="00A123B3">
        <w:t xml:space="preserve">respondent </w:t>
      </w:r>
      <w:r w:rsidR="00E36A04">
        <w:t xml:space="preserve">wrote </w:t>
      </w:r>
      <w:r w:rsidR="00F378C5">
        <w:t xml:space="preserve">to the applicant advising that a review panel had been constituted </w:t>
      </w:r>
      <w:r w:rsidR="002D4172">
        <w:t>to determine the tender dispute.</w:t>
      </w:r>
      <w:r w:rsidR="002A2D84">
        <w:t xml:space="preserve"> </w:t>
      </w:r>
      <w:r w:rsidR="00802A3F">
        <w:t xml:space="preserve">Subsequent to that, on 22 February 2022, </w:t>
      </w:r>
      <w:r w:rsidR="00156A14">
        <w:t xml:space="preserve">a decision was made by the review panel </w:t>
      </w:r>
      <w:r w:rsidR="009170A5">
        <w:t xml:space="preserve">dismissing the applicant’s challenge to the award of the tender to </w:t>
      </w:r>
      <w:r w:rsidR="002328D7">
        <w:t xml:space="preserve">Tano Digital Solutions. </w:t>
      </w:r>
      <w:r w:rsidR="00522F84">
        <w:t xml:space="preserve">(See Annexure “TC3” on pages </w:t>
      </w:r>
      <w:r w:rsidR="00B849F9">
        <w:t>37-41 of the record, in particular at page 41).</w:t>
      </w:r>
      <w:r w:rsidR="002F49D4">
        <w:t xml:space="preserve"> T</w:t>
      </w:r>
      <w:r w:rsidR="001F79EA">
        <w:t>he applicant</w:t>
      </w:r>
      <w:r w:rsidR="002F49D4">
        <w:t xml:space="preserve"> submitted</w:t>
      </w:r>
      <w:r w:rsidR="001F79EA">
        <w:t xml:space="preserve"> that, w</w:t>
      </w:r>
      <w:r w:rsidR="0028648E">
        <w:t xml:space="preserve">hile </w:t>
      </w:r>
      <w:r w:rsidR="001F79EA">
        <w:t xml:space="preserve">there was a pending challenge </w:t>
      </w:r>
      <w:r w:rsidR="002F49D4">
        <w:t xml:space="preserve">to </w:t>
      </w:r>
      <w:r w:rsidR="0028648E">
        <w:t>the tender process,</w:t>
      </w:r>
      <w:r w:rsidR="008A4BC4">
        <w:t xml:space="preserve"> the first</w:t>
      </w:r>
      <w:r w:rsidR="005055C6">
        <w:t xml:space="preserve"> respondent awarded</w:t>
      </w:r>
      <w:r w:rsidR="005B1A5C">
        <w:t xml:space="preserve"> the tender to Tano Digital</w:t>
      </w:r>
      <w:r w:rsidR="00107CE0">
        <w:t xml:space="preserve"> Solutions.</w:t>
      </w:r>
      <w:r w:rsidR="0028648E">
        <w:t xml:space="preserve"> </w:t>
      </w:r>
      <w:r w:rsidR="00243DD7">
        <w:t>It filed the application for review under HC 1737/22</w:t>
      </w:r>
      <w:r w:rsidR="004310ED">
        <w:t xml:space="preserve"> seeking to set aside the aforesaid decision of the review panel.</w:t>
      </w:r>
      <w:r w:rsidR="00C00E06">
        <w:t xml:space="preserve"> The entire application in that matter is marked “TC4” and appears on pages 42-</w:t>
      </w:r>
      <w:r w:rsidR="00F76D7F">
        <w:t>275 of the record.</w:t>
      </w:r>
      <w:r w:rsidR="00422286">
        <w:t xml:space="preserve"> </w:t>
      </w:r>
      <w:r w:rsidR="00422286" w:rsidRPr="008029BE">
        <w:rPr>
          <w:i/>
        </w:rPr>
        <w:t>In</w:t>
      </w:r>
      <w:r w:rsidR="009D731B" w:rsidRPr="008029BE">
        <w:rPr>
          <w:i/>
        </w:rPr>
        <w:t xml:space="preserve"> casu</w:t>
      </w:r>
      <w:r w:rsidR="00422286">
        <w:t xml:space="preserve">, </w:t>
      </w:r>
      <w:r w:rsidR="00B4346E">
        <w:t xml:space="preserve">the applicant asserted that, in HC 1737/22, </w:t>
      </w:r>
      <w:r w:rsidR="00D63B22">
        <w:t>it sought an order setting aside the decision to award</w:t>
      </w:r>
      <w:r w:rsidR="00964012">
        <w:t xml:space="preserve"> the te</w:t>
      </w:r>
      <w:r w:rsidR="00D63B22">
        <w:t xml:space="preserve">nder to Tano Digital </w:t>
      </w:r>
      <w:r w:rsidR="00D63B22">
        <w:lastRenderedPageBreak/>
        <w:t xml:space="preserve">Systems </w:t>
      </w:r>
      <w:r w:rsidR="0069675E">
        <w:t xml:space="preserve">while a </w:t>
      </w:r>
      <w:r w:rsidR="008A4BC4">
        <w:t>challenge which was before the second</w:t>
      </w:r>
      <w:r w:rsidR="0069675E">
        <w:t xml:space="preserve"> respond</w:t>
      </w:r>
      <w:r w:rsidR="00371ABD">
        <w:t xml:space="preserve">ent had not yet been determined. After hearing argument, </w:t>
      </w:r>
      <w:r w:rsidR="001C5E11">
        <w:t>I</w:t>
      </w:r>
      <w:r w:rsidR="006B68AF">
        <w:t xml:space="preserve"> granted the relief sought on 26 July 2022 under j</w:t>
      </w:r>
      <w:r w:rsidR="0056568A">
        <w:t>udgment HH 506-22 and, in particular, set aside the decision of the review panel.</w:t>
      </w:r>
    </w:p>
    <w:p w:rsidR="00837273" w:rsidRDefault="000B5B04" w:rsidP="00BC5E57">
      <w:pPr>
        <w:spacing w:line="360" w:lineRule="auto"/>
        <w:ind w:firstLine="720"/>
        <w:jc w:val="both"/>
      </w:pPr>
      <w:r>
        <w:t>O</w:t>
      </w:r>
      <w:r w:rsidR="007615E1">
        <w:t xml:space="preserve">n </w:t>
      </w:r>
      <w:r w:rsidR="00E615A5">
        <w:t xml:space="preserve">9 </w:t>
      </w:r>
      <w:r w:rsidR="001B1B0A">
        <w:t>September 2022,</w:t>
      </w:r>
      <w:r w:rsidR="00523AB5">
        <w:t xml:space="preserve"> ZIMDEF advertis</w:t>
      </w:r>
      <w:r>
        <w:t xml:space="preserve">ed a tender </w:t>
      </w:r>
      <w:r w:rsidR="00C103C2">
        <w:t xml:space="preserve">for the provision of SAP </w:t>
      </w:r>
      <w:r w:rsidR="00E925A5">
        <w:t xml:space="preserve">software application </w:t>
      </w:r>
      <w:r w:rsidR="006500FD">
        <w:t xml:space="preserve">services, and </w:t>
      </w:r>
      <w:r w:rsidR="009F549C">
        <w:t>bids would</w:t>
      </w:r>
      <w:r w:rsidR="00C96FB2">
        <w:t xml:space="preserve"> close on </w:t>
      </w:r>
      <w:r w:rsidR="006112DC">
        <w:t>22 September 2022.</w:t>
      </w:r>
      <w:r w:rsidR="007B45C8">
        <w:t xml:space="preserve"> On 21 September 2022, </w:t>
      </w:r>
      <w:r w:rsidR="00032BF2">
        <w:t xml:space="preserve">the applicant’s lawyers wrote to </w:t>
      </w:r>
      <w:r w:rsidR="008A4BC4">
        <w:t>the second</w:t>
      </w:r>
      <w:r w:rsidR="008F598E">
        <w:t xml:space="preserve"> respondent </w:t>
      </w:r>
      <w:r w:rsidR="00EA7FAF">
        <w:t>the letter marked Annexure “TC9”, which appears on pages 304-</w:t>
      </w:r>
      <w:r w:rsidR="00340402">
        <w:t>305 of the record.</w:t>
      </w:r>
      <w:r w:rsidR="004B6C70">
        <w:t xml:space="preserve"> The said letter, </w:t>
      </w:r>
      <w:r w:rsidR="004B6C70" w:rsidRPr="00862F08">
        <w:rPr>
          <w:i/>
        </w:rPr>
        <w:t>inter alia</w:t>
      </w:r>
      <w:r w:rsidR="004B6C70">
        <w:t>, reads as follows:</w:t>
      </w:r>
    </w:p>
    <w:p w:rsidR="008848B5" w:rsidRPr="00E20A21" w:rsidRDefault="008848B5" w:rsidP="00BC5E57">
      <w:pPr>
        <w:spacing w:line="360" w:lineRule="auto"/>
        <w:ind w:firstLine="720"/>
        <w:jc w:val="both"/>
        <w:rPr>
          <w:sz w:val="6"/>
          <w:szCs w:val="6"/>
        </w:rPr>
      </w:pPr>
    </w:p>
    <w:p w:rsidR="0068492A" w:rsidRPr="008973A4" w:rsidRDefault="008848B5" w:rsidP="0068492A">
      <w:pPr>
        <w:ind w:firstLine="720"/>
        <w:jc w:val="both"/>
        <w:rPr>
          <w:sz w:val="22"/>
          <w:szCs w:val="22"/>
        </w:rPr>
      </w:pPr>
      <w:r w:rsidRPr="008973A4">
        <w:rPr>
          <w:sz w:val="22"/>
          <w:szCs w:val="22"/>
        </w:rPr>
        <w:t>“</w:t>
      </w:r>
      <w:r w:rsidR="005B0E00" w:rsidRPr="008973A4">
        <w:rPr>
          <w:sz w:val="22"/>
          <w:szCs w:val="22"/>
        </w:rPr>
        <w:t>21 September 2022</w:t>
      </w:r>
    </w:p>
    <w:p w:rsidR="005B0E00" w:rsidRPr="009D5C79" w:rsidRDefault="005B0E00" w:rsidP="0068492A">
      <w:pPr>
        <w:ind w:firstLine="720"/>
        <w:jc w:val="both"/>
        <w:rPr>
          <w:sz w:val="6"/>
          <w:szCs w:val="6"/>
        </w:rPr>
      </w:pPr>
    </w:p>
    <w:p w:rsidR="008848B5" w:rsidRPr="008973A4" w:rsidRDefault="00B07426" w:rsidP="0068492A">
      <w:pPr>
        <w:ind w:firstLine="720"/>
        <w:jc w:val="both"/>
        <w:rPr>
          <w:sz w:val="22"/>
          <w:szCs w:val="22"/>
        </w:rPr>
      </w:pPr>
      <w:r w:rsidRPr="008973A4">
        <w:rPr>
          <w:sz w:val="22"/>
          <w:szCs w:val="22"/>
        </w:rPr>
        <w:t>Procurement Regulatory Authority of Zimbabwe</w:t>
      </w:r>
    </w:p>
    <w:p w:rsidR="00B07426" w:rsidRPr="008973A4" w:rsidRDefault="00B07426" w:rsidP="0068492A">
      <w:pPr>
        <w:ind w:firstLine="720"/>
        <w:jc w:val="both"/>
        <w:rPr>
          <w:sz w:val="22"/>
          <w:szCs w:val="22"/>
        </w:rPr>
      </w:pPr>
      <w:r w:rsidRPr="008973A4">
        <w:rPr>
          <w:sz w:val="22"/>
          <w:szCs w:val="22"/>
        </w:rPr>
        <w:t>6</w:t>
      </w:r>
      <w:r w:rsidRPr="008973A4">
        <w:rPr>
          <w:sz w:val="22"/>
          <w:szCs w:val="22"/>
          <w:vertAlign w:val="superscript"/>
        </w:rPr>
        <w:t>th</w:t>
      </w:r>
      <w:r w:rsidRPr="008973A4">
        <w:rPr>
          <w:sz w:val="22"/>
          <w:szCs w:val="22"/>
        </w:rPr>
        <w:t xml:space="preserve"> Floor Pearl House</w:t>
      </w:r>
    </w:p>
    <w:p w:rsidR="00B07426" w:rsidRPr="008973A4" w:rsidRDefault="0068492A" w:rsidP="0068492A">
      <w:pPr>
        <w:ind w:firstLine="720"/>
        <w:jc w:val="both"/>
        <w:rPr>
          <w:sz w:val="22"/>
          <w:szCs w:val="22"/>
        </w:rPr>
      </w:pPr>
      <w:r w:rsidRPr="008973A4">
        <w:rPr>
          <w:sz w:val="22"/>
          <w:szCs w:val="22"/>
        </w:rPr>
        <w:t>61 Samora Machel Avenue</w:t>
      </w:r>
    </w:p>
    <w:p w:rsidR="0068492A" w:rsidRPr="008973A4" w:rsidRDefault="0068492A" w:rsidP="0068492A">
      <w:pPr>
        <w:ind w:firstLine="720"/>
        <w:jc w:val="both"/>
        <w:rPr>
          <w:sz w:val="22"/>
          <w:szCs w:val="22"/>
        </w:rPr>
      </w:pPr>
      <w:r w:rsidRPr="008973A4">
        <w:rPr>
          <w:sz w:val="22"/>
          <w:szCs w:val="22"/>
        </w:rPr>
        <w:t>HARARE</w:t>
      </w:r>
    </w:p>
    <w:p w:rsidR="005B0E00" w:rsidRPr="00862F08" w:rsidRDefault="005B0E00" w:rsidP="0068492A">
      <w:pPr>
        <w:ind w:firstLine="720"/>
        <w:jc w:val="both"/>
        <w:rPr>
          <w:sz w:val="12"/>
          <w:szCs w:val="12"/>
        </w:rPr>
      </w:pPr>
    </w:p>
    <w:p w:rsidR="005B0E00" w:rsidRPr="008973A4" w:rsidRDefault="005B0E00" w:rsidP="0068492A">
      <w:pPr>
        <w:ind w:firstLine="720"/>
        <w:jc w:val="both"/>
        <w:rPr>
          <w:sz w:val="22"/>
          <w:szCs w:val="22"/>
        </w:rPr>
      </w:pPr>
      <w:r w:rsidRPr="008973A4">
        <w:rPr>
          <w:sz w:val="22"/>
          <w:szCs w:val="22"/>
        </w:rPr>
        <w:t>Dear Sir/Madam</w:t>
      </w:r>
    </w:p>
    <w:p w:rsidR="005B0E00" w:rsidRPr="009D5C79" w:rsidRDefault="005B0E00" w:rsidP="0068492A">
      <w:pPr>
        <w:ind w:firstLine="720"/>
        <w:jc w:val="both"/>
        <w:rPr>
          <w:sz w:val="6"/>
          <w:szCs w:val="6"/>
        </w:rPr>
      </w:pPr>
    </w:p>
    <w:p w:rsidR="005B0E00" w:rsidRPr="00DC4C62" w:rsidRDefault="005B0E00" w:rsidP="007D59E2">
      <w:pPr>
        <w:ind w:left="720"/>
        <w:jc w:val="both"/>
        <w:rPr>
          <w:b/>
          <w:sz w:val="18"/>
          <w:szCs w:val="18"/>
        </w:rPr>
      </w:pPr>
      <w:r w:rsidRPr="00DC4C62">
        <w:rPr>
          <w:b/>
          <w:sz w:val="18"/>
          <w:szCs w:val="18"/>
        </w:rPr>
        <w:t>RE</w:t>
      </w:r>
      <w:r w:rsidR="008973A4" w:rsidRPr="00DC4C62">
        <w:rPr>
          <w:b/>
          <w:sz w:val="18"/>
          <w:szCs w:val="18"/>
        </w:rPr>
        <w:t>: DOMESTIC ZPCR 33-2022 TENDER FOR MAINTENANCE AND SUPPORT SERVICES FOR ZIMDEF</w:t>
      </w:r>
    </w:p>
    <w:p w:rsidR="00DC4C62" w:rsidRPr="008844BA" w:rsidRDefault="00DC4C62" w:rsidP="007D59E2">
      <w:pPr>
        <w:ind w:firstLine="720"/>
        <w:jc w:val="both"/>
        <w:rPr>
          <w:sz w:val="6"/>
          <w:szCs w:val="6"/>
        </w:rPr>
      </w:pPr>
    </w:p>
    <w:p w:rsidR="008844BA" w:rsidRDefault="008844BA" w:rsidP="007D59E2">
      <w:pPr>
        <w:pStyle w:val="ListParagraph"/>
        <w:numPr>
          <w:ilvl w:val="0"/>
          <w:numId w:val="19"/>
        </w:numPr>
        <w:jc w:val="both"/>
      </w:pPr>
      <w:r>
        <w:t>…</w:t>
      </w:r>
    </w:p>
    <w:p w:rsidR="008844BA" w:rsidRDefault="00E91972" w:rsidP="007D59E2">
      <w:pPr>
        <w:pStyle w:val="ListParagraph"/>
        <w:numPr>
          <w:ilvl w:val="0"/>
          <w:numId w:val="19"/>
        </w:numPr>
        <w:jc w:val="both"/>
      </w:pPr>
      <w:r>
        <w:t>…</w:t>
      </w:r>
    </w:p>
    <w:p w:rsidR="00F340C6" w:rsidRDefault="00E91972" w:rsidP="007D59E2">
      <w:pPr>
        <w:pStyle w:val="ListParagraph"/>
        <w:numPr>
          <w:ilvl w:val="0"/>
          <w:numId w:val="19"/>
        </w:numPr>
        <w:jc w:val="both"/>
      </w:pPr>
      <w:r w:rsidRPr="002A2F2F">
        <w:rPr>
          <w:sz w:val="22"/>
          <w:szCs w:val="22"/>
        </w:rPr>
        <w:t xml:space="preserve">You will recall that our client has been tangled in litigation with ZIMDEF </w:t>
      </w:r>
      <w:r w:rsidR="007D59E2" w:rsidRPr="002A2F2F">
        <w:rPr>
          <w:sz w:val="22"/>
          <w:szCs w:val="22"/>
        </w:rPr>
        <w:t>and yourselves in the High Court and Supreme Court</w:t>
      </w:r>
      <w:r w:rsidR="00046BE2" w:rsidRPr="002A2F2F">
        <w:rPr>
          <w:sz w:val="22"/>
          <w:szCs w:val="22"/>
        </w:rPr>
        <w:t xml:space="preserve"> in</w:t>
      </w:r>
      <w:r w:rsidR="002A2F2F">
        <w:t xml:space="preserve"> respect of procurement Domestic ZPC 29-2021</w:t>
      </w:r>
      <w:r w:rsidR="008A77A6">
        <w:t>.</w:t>
      </w:r>
      <w:r w:rsidR="008A77A6" w:rsidRPr="004C7027">
        <w:rPr>
          <w:u w:val="single"/>
        </w:rPr>
        <w:t xml:space="preserve"> The same procurement is the same with the one referred above</w:t>
      </w:r>
      <w:r w:rsidR="008A77A6" w:rsidRPr="004C7027">
        <w:t>.</w:t>
      </w:r>
      <w:r w:rsidR="004C7027" w:rsidRPr="004C7027">
        <w:t xml:space="preserve"> </w:t>
      </w:r>
      <w:r w:rsidR="004C7027" w:rsidRPr="004C7027">
        <w:rPr>
          <w:b/>
        </w:rPr>
        <w:t>[My own emphasis]</w:t>
      </w:r>
    </w:p>
    <w:p w:rsidR="00F340C6" w:rsidRPr="009D5C79" w:rsidRDefault="00F340C6" w:rsidP="00F340C6">
      <w:pPr>
        <w:pStyle w:val="ListParagraph"/>
        <w:ind w:left="1080"/>
        <w:jc w:val="both"/>
        <w:rPr>
          <w:sz w:val="4"/>
          <w:szCs w:val="4"/>
        </w:rPr>
      </w:pPr>
    </w:p>
    <w:p w:rsidR="00E91972" w:rsidRDefault="00F340C6" w:rsidP="007D59E2">
      <w:pPr>
        <w:pStyle w:val="ListParagraph"/>
        <w:numPr>
          <w:ilvl w:val="0"/>
          <w:numId w:val="19"/>
        </w:numPr>
        <w:jc w:val="both"/>
      </w:pPr>
      <w:r>
        <w:t xml:space="preserve">ZIMDEF has sought to proceed in a manner that violates the law of this land. You will recall that the review panel appointed by you made findings </w:t>
      </w:r>
      <w:r w:rsidR="00524B1A">
        <w:t>dated 18 February 2022 dismissing the challenge made by our client.</w:t>
      </w:r>
      <w:r w:rsidR="006A177F">
        <w:t xml:space="preserve"> The decision of the review panel is attached hereto marked as Annexure TTS1.</w:t>
      </w:r>
    </w:p>
    <w:p w:rsidR="006A02B5" w:rsidRPr="004E0518" w:rsidRDefault="006A02B5" w:rsidP="006A02B5">
      <w:pPr>
        <w:pStyle w:val="ListParagraph"/>
        <w:rPr>
          <w:sz w:val="4"/>
          <w:szCs w:val="4"/>
        </w:rPr>
      </w:pPr>
    </w:p>
    <w:p w:rsidR="005F56C2" w:rsidRDefault="006A02B5" w:rsidP="007D59E2">
      <w:pPr>
        <w:pStyle w:val="ListParagraph"/>
        <w:numPr>
          <w:ilvl w:val="0"/>
          <w:numId w:val="19"/>
        </w:numPr>
        <w:jc w:val="both"/>
      </w:pPr>
      <w:r>
        <w:t>Our client proceeded to institute proceedings</w:t>
      </w:r>
      <w:r w:rsidR="00DD10C2">
        <w:t xml:space="preserve"> against both the procuring entity and yourselves and this resulted in the decision of the review panel </w:t>
      </w:r>
      <w:r w:rsidR="00E06D1E">
        <w:t>marked Annexure TTS1 being set aside by the High Court.</w:t>
      </w:r>
    </w:p>
    <w:p w:rsidR="005F56C2" w:rsidRPr="004E0518" w:rsidRDefault="005F56C2" w:rsidP="005F56C2">
      <w:pPr>
        <w:pStyle w:val="ListParagraph"/>
        <w:rPr>
          <w:sz w:val="4"/>
          <w:szCs w:val="4"/>
        </w:rPr>
      </w:pPr>
    </w:p>
    <w:p w:rsidR="006A02B5" w:rsidRDefault="005F56C2" w:rsidP="007D59E2">
      <w:pPr>
        <w:pStyle w:val="ListParagraph"/>
        <w:numPr>
          <w:ilvl w:val="0"/>
          <w:numId w:val="19"/>
        </w:numPr>
        <w:jc w:val="both"/>
      </w:pPr>
      <w:r>
        <w:t xml:space="preserve">We refer to the judgment of the High Court per </w:t>
      </w:r>
      <w:r w:rsidR="008A4BC4" w:rsidRPr="008A4BC4">
        <w:rPr>
          <w:smallCaps/>
        </w:rPr>
        <w:t>chinamora</w:t>
      </w:r>
      <w:r w:rsidR="008A4BC4">
        <w:t xml:space="preserve"> </w:t>
      </w:r>
      <w:r>
        <w:t>J</w:t>
      </w:r>
      <w:r w:rsidR="005005C2">
        <w:t xml:space="preserve"> </w:t>
      </w:r>
      <w:r>
        <w:t xml:space="preserve">dated </w:t>
      </w:r>
      <w:r w:rsidR="005005C2">
        <w:t>26 July 2022</w:t>
      </w:r>
      <w:r w:rsidR="00921314">
        <w:t xml:space="preserve"> and attach the same as Annexure TTS2. The judgment is extant</w:t>
      </w:r>
      <w:r w:rsidR="00014443">
        <w:t>. ZIMDEF made an unsuccessful appeal to the Supreme Court under SC 153/22.</w:t>
      </w:r>
    </w:p>
    <w:p w:rsidR="00014443" w:rsidRPr="004E0518" w:rsidRDefault="00014443" w:rsidP="00014443">
      <w:pPr>
        <w:pStyle w:val="ListParagraph"/>
        <w:rPr>
          <w:sz w:val="4"/>
          <w:szCs w:val="4"/>
        </w:rPr>
      </w:pPr>
    </w:p>
    <w:p w:rsidR="00150A60" w:rsidRDefault="00FD1D71" w:rsidP="007D59E2">
      <w:pPr>
        <w:pStyle w:val="ListParagraph"/>
        <w:numPr>
          <w:ilvl w:val="0"/>
          <w:numId w:val="19"/>
        </w:numPr>
        <w:jc w:val="both"/>
      </w:pPr>
      <w:r>
        <w:t xml:space="preserve">As it stands, the requirement of SAP partnership which the review panel </w:t>
      </w:r>
      <w:r w:rsidR="00F05D94">
        <w:t>found to be valid was set aside by the High Court in the above referred judgment.</w:t>
      </w:r>
      <w:r w:rsidR="00F05D94" w:rsidRPr="00686C52">
        <w:rPr>
          <w:u w:val="single"/>
        </w:rPr>
        <w:t xml:space="preserve"> It is thus unlawful and contemptuous </w:t>
      </w:r>
      <w:r w:rsidR="00EA07AA" w:rsidRPr="00686C52">
        <w:rPr>
          <w:u w:val="single"/>
        </w:rPr>
        <w:t>for ZIMDEF to seek to proceed with the procurement process afresh and maintaining the same requirement</w:t>
      </w:r>
      <w:r w:rsidR="00EA07AA" w:rsidRPr="00686C52">
        <w:t>.</w:t>
      </w:r>
      <w:r w:rsidR="00686C52" w:rsidRPr="00686C52">
        <w:t xml:space="preserve"> </w:t>
      </w:r>
      <w:r w:rsidR="00686C52" w:rsidRPr="00686C52">
        <w:rPr>
          <w:b/>
        </w:rPr>
        <w:t>[My own emphasis]</w:t>
      </w:r>
    </w:p>
    <w:p w:rsidR="00150A60" w:rsidRPr="004E0518" w:rsidRDefault="00150A60" w:rsidP="00150A60">
      <w:pPr>
        <w:pStyle w:val="ListParagraph"/>
        <w:rPr>
          <w:sz w:val="2"/>
          <w:szCs w:val="2"/>
        </w:rPr>
      </w:pPr>
    </w:p>
    <w:p w:rsidR="00150A60" w:rsidRDefault="00150A60" w:rsidP="007D59E2">
      <w:pPr>
        <w:pStyle w:val="ListParagraph"/>
        <w:numPr>
          <w:ilvl w:val="0"/>
          <w:numId w:val="19"/>
        </w:numPr>
        <w:jc w:val="both"/>
      </w:pPr>
      <w:r>
        <w:t>…</w:t>
      </w:r>
    </w:p>
    <w:p w:rsidR="00150A60" w:rsidRPr="003D5F32" w:rsidRDefault="00150A60" w:rsidP="00150A60">
      <w:pPr>
        <w:pStyle w:val="ListParagraph"/>
        <w:rPr>
          <w:sz w:val="2"/>
          <w:szCs w:val="2"/>
        </w:rPr>
      </w:pPr>
    </w:p>
    <w:p w:rsidR="00014443" w:rsidRDefault="00792080" w:rsidP="007D59E2">
      <w:pPr>
        <w:pStyle w:val="ListParagraph"/>
        <w:numPr>
          <w:ilvl w:val="0"/>
          <w:numId w:val="19"/>
        </w:numPr>
        <w:jc w:val="both"/>
      </w:pPr>
      <w:r>
        <w:t>We</w:t>
      </w:r>
      <w:r w:rsidR="00967B59">
        <w:t xml:space="preserve"> thus call upon your office to immediately stop </w:t>
      </w:r>
      <w:r w:rsidR="00457358">
        <w:t xml:space="preserve">the procurement process at the instance of ZIMDEF </w:t>
      </w:r>
      <w:r w:rsidR="00BB2F8F">
        <w:t>as it is unlawful and mean</w:t>
      </w:r>
      <w:r w:rsidR="00305273">
        <w:t>t to circumvent orders of court …</w:t>
      </w:r>
    </w:p>
    <w:p w:rsidR="007E09A5" w:rsidRPr="003D5F32" w:rsidRDefault="007E09A5" w:rsidP="007E09A5">
      <w:pPr>
        <w:pStyle w:val="ListParagraph"/>
        <w:rPr>
          <w:sz w:val="2"/>
          <w:szCs w:val="2"/>
        </w:rPr>
      </w:pPr>
    </w:p>
    <w:p w:rsidR="007E09A5" w:rsidRDefault="007E09A5" w:rsidP="007D59E2">
      <w:pPr>
        <w:pStyle w:val="ListParagraph"/>
        <w:numPr>
          <w:ilvl w:val="0"/>
          <w:numId w:val="19"/>
        </w:numPr>
        <w:jc w:val="both"/>
      </w:pPr>
      <w:r>
        <w:t>…</w:t>
      </w:r>
    </w:p>
    <w:p w:rsidR="00722A27" w:rsidRPr="00524BED" w:rsidRDefault="00722A27" w:rsidP="00722A27">
      <w:pPr>
        <w:pStyle w:val="ListParagraph"/>
        <w:rPr>
          <w:sz w:val="2"/>
          <w:szCs w:val="2"/>
        </w:rPr>
      </w:pPr>
    </w:p>
    <w:p w:rsidR="00722A27" w:rsidRDefault="00722A27" w:rsidP="007D59E2">
      <w:pPr>
        <w:pStyle w:val="ListParagraph"/>
        <w:numPr>
          <w:ilvl w:val="0"/>
          <w:numId w:val="19"/>
        </w:numPr>
        <w:jc w:val="both"/>
      </w:pPr>
      <w:r>
        <w:t>…</w:t>
      </w:r>
    </w:p>
    <w:p w:rsidR="00722A27" w:rsidRPr="000265F0" w:rsidRDefault="00722A27" w:rsidP="00722A27">
      <w:pPr>
        <w:pStyle w:val="ListParagraph"/>
        <w:rPr>
          <w:sz w:val="16"/>
          <w:szCs w:val="16"/>
        </w:rPr>
      </w:pPr>
    </w:p>
    <w:p w:rsidR="00722A27" w:rsidRDefault="00722A27" w:rsidP="003978B5">
      <w:pPr>
        <w:ind w:firstLine="720"/>
        <w:jc w:val="both"/>
      </w:pPr>
      <w:r>
        <w:lastRenderedPageBreak/>
        <w:t>Yours faithfully,</w:t>
      </w:r>
    </w:p>
    <w:p w:rsidR="00524BED" w:rsidRDefault="00524BED" w:rsidP="00722A27">
      <w:pPr>
        <w:jc w:val="both"/>
      </w:pPr>
    </w:p>
    <w:p w:rsidR="000265F0" w:rsidRPr="000265F0" w:rsidRDefault="000265F0" w:rsidP="00722A27">
      <w:pPr>
        <w:jc w:val="both"/>
        <w:rPr>
          <w:sz w:val="10"/>
          <w:szCs w:val="10"/>
        </w:rPr>
      </w:pPr>
    </w:p>
    <w:p w:rsidR="00722A27" w:rsidRDefault="00722A27" w:rsidP="003978B5">
      <w:pPr>
        <w:ind w:firstLine="720"/>
        <w:jc w:val="both"/>
        <w:rPr>
          <w:b/>
          <w:sz w:val="18"/>
          <w:szCs w:val="18"/>
          <w:u w:val="single"/>
        </w:rPr>
      </w:pPr>
      <w:r w:rsidRPr="00524BED">
        <w:rPr>
          <w:b/>
          <w:sz w:val="18"/>
          <w:szCs w:val="18"/>
          <w:u w:val="single"/>
        </w:rPr>
        <w:t>DUBE MANIKAI &amp; HWACHA</w:t>
      </w:r>
    </w:p>
    <w:p w:rsidR="00524BED" w:rsidRPr="00977336" w:rsidRDefault="00524BED" w:rsidP="00722A27">
      <w:pPr>
        <w:jc w:val="both"/>
        <w:rPr>
          <w:b/>
          <w:sz w:val="8"/>
          <w:szCs w:val="8"/>
          <w:u w:val="single"/>
        </w:rPr>
      </w:pPr>
    </w:p>
    <w:p w:rsidR="00524BED" w:rsidRDefault="00977336" w:rsidP="003978B5">
      <w:pPr>
        <w:ind w:firstLine="720"/>
        <w:jc w:val="both"/>
        <w:rPr>
          <w:sz w:val="22"/>
          <w:szCs w:val="22"/>
        </w:rPr>
      </w:pPr>
      <w:r w:rsidRPr="00E20A21">
        <w:rPr>
          <w:sz w:val="22"/>
          <w:szCs w:val="22"/>
        </w:rPr>
        <w:t>c</w:t>
      </w:r>
      <w:r w:rsidR="00524BED" w:rsidRPr="00E20A21">
        <w:rPr>
          <w:sz w:val="22"/>
          <w:szCs w:val="22"/>
        </w:rPr>
        <w:t xml:space="preserve">c </w:t>
      </w:r>
      <w:r w:rsidR="00366B0E" w:rsidRPr="00E20A21">
        <w:rPr>
          <w:sz w:val="22"/>
          <w:szCs w:val="22"/>
        </w:rPr>
        <w:t>ZIMDEF</w:t>
      </w:r>
    </w:p>
    <w:p w:rsidR="00803556" w:rsidRDefault="008A4BC4" w:rsidP="007C0DB4">
      <w:pPr>
        <w:spacing w:line="360" w:lineRule="auto"/>
        <w:jc w:val="both"/>
      </w:pPr>
      <w:r>
        <w:t>The second</w:t>
      </w:r>
      <w:r w:rsidR="00803556" w:rsidRPr="007C0DB4">
        <w:t xml:space="preserve"> respondent </w:t>
      </w:r>
      <w:r w:rsidR="00CF476C" w:rsidRPr="007C0DB4">
        <w:t>replied on 22 September 2022</w:t>
      </w:r>
      <w:r w:rsidR="00AB0A06" w:rsidRPr="007C0DB4">
        <w:t xml:space="preserve"> (by way of Annexure TC10</w:t>
      </w:r>
      <w:r w:rsidR="007C0DB4" w:rsidRPr="007C0DB4">
        <w:t xml:space="preserve"> on page 306 of the record)</w:t>
      </w:r>
      <w:r w:rsidR="00CF476C" w:rsidRPr="007C0DB4">
        <w:t xml:space="preserve"> stating</w:t>
      </w:r>
      <w:r w:rsidR="007C0DB4" w:rsidRPr="007C0DB4">
        <w:t xml:space="preserve"> the following:</w:t>
      </w:r>
    </w:p>
    <w:p w:rsidR="00BF781B" w:rsidRPr="00CB01F4" w:rsidRDefault="00BF781B" w:rsidP="007C0DB4">
      <w:pPr>
        <w:spacing w:line="360" w:lineRule="auto"/>
        <w:jc w:val="both"/>
        <w:rPr>
          <w:sz w:val="10"/>
          <w:szCs w:val="10"/>
        </w:rPr>
      </w:pPr>
    </w:p>
    <w:p w:rsidR="00BF781B" w:rsidRDefault="00BF781B" w:rsidP="00CB01F4">
      <w:pPr>
        <w:jc w:val="both"/>
        <w:rPr>
          <w:sz w:val="22"/>
          <w:szCs w:val="22"/>
        </w:rPr>
      </w:pPr>
      <w:r>
        <w:tab/>
      </w:r>
      <w:r w:rsidRPr="00CB01F4">
        <w:rPr>
          <w:sz w:val="22"/>
          <w:szCs w:val="22"/>
        </w:rPr>
        <w:t>“22 September 2022</w:t>
      </w:r>
    </w:p>
    <w:p w:rsidR="00CB01F4" w:rsidRDefault="00CB01F4" w:rsidP="00CB01F4">
      <w:pPr>
        <w:ind w:firstLine="720"/>
        <w:jc w:val="both"/>
        <w:rPr>
          <w:sz w:val="22"/>
          <w:szCs w:val="22"/>
        </w:rPr>
      </w:pPr>
      <w:r>
        <w:rPr>
          <w:sz w:val="22"/>
          <w:szCs w:val="22"/>
        </w:rPr>
        <w:t xml:space="preserve">Dube </w:t>
      </w:r>
      <w:r w:rsidR="002002B6">
        <w:rPr>
          <w:sz w:val="22"/>
          <w:szCs w:val="22"/>
        </w:rPr>
        <w:t>Manikai &amp; Hwacha Commercial Law Chambers</w:t>
      </w:r>
    </w:p>
    <w:p w:rsidR="002002B6" w:rsidRDefault="00167D0D" w:rsidP="00CB01F4">
      <w:pPr>
        <w:ind w:firstLine="720"/>
        <w:jc w:val="both"/>
        <w:rPr>
          <w:sz w:val="22"/>
          <w:szCs w:val="22"/>
        </w:rPr>
      </w:pPr>
      <w:r>
        <w:rPr>
          <w:sz w:val="22"/>
          <w:szCs w:val="22"/>
        </w:rPr>
        <w:t>4 Fleetwood Road</w:t>
      </w:r>
    </w:p>
    <w:p w:rsidR="00167D0D" w:rsidRDefault="00167D0D" w:rsidP="00CB01F4">
      <w:pPr>
        <w:ind w:firstLine="720"/>
        <w:jc w:val="both"/>
        <w:rPr>
          <w:sz w:val="22"/>
          <w:szCs w:val="22"/>
        </w:rPr>
      </w:pPr>
      <w:r>
        <w:rPr>
          <w:sz w:val="22"/>
          <w:szCs w:val="22"/>
        </w:rPr>
        <w:t xml:space="preserve">Alexandra Park </w:t>
      </w:r>
    </w:p>
    <w:p w:rsidR="00167D0D" w:rsidRDefault="00167D0D" w:rsidP="00CB01F4">
      <w:pPr>
        <w:ind w:firstLine="720"/>
        <w:jc w:val="both"/>
        <w:rPr>
          <w:sz w:val="22"/>
          <w:szCs w:val="22"/>
        </w:rPr>
      </w:pPr>
      <w:r>
        <w:rPr>
          <w:sz w:val="22"/>
          <w:szCs w:val="22"/>
        </w:rPr>
        <w:t>HARARE</w:t>
      </w:r>
    </w:p>
    <w:p w:rsidR="00167D0D" w:rsidRPr="00A14FC8" w:rsidRDefault="00167D0D" w:rsidP="00CB01F4">
      <w:pPr>
        <w:ind w:firstLine="720"/>
        <w:jc w:val="both"/>
        <w:rPr>
          <w:b/>
          <w:sz w:val="10"/>
          <w:szCs w:val="10"/>
        </w:rPr>
      </w:pPr>
    </w:p>
    <w:p w:rsidR="009C5D22" w:rsidRPr="00A14FC8" w:rsidRDefault="00167D0D" w:rsidP="00753450">
      <w:pPr>
        <w:ind w:left="720"/>
        <w:jc w:val="both"/>
        <w:rPr>
          <w:b/>
          <w:sz w:val="18"/>
          <w:szCs w:val="18"/>
        </w:rPr>
      </w:pPr>
      <w:r w:rsidRPr="00A14FC8">
        <w:rPr>
          <w:b/>
          <w:sz w:val="18"/>
          <w:szCs w:val="18"/>
        </w:rPr>
        <w:t xml:space="preserve">RE: </w:t>
      </w:r>
      <w:r w:rsidR="00C43E66" w:rsidRPr="00A14FC8">
        <w:rPr>
          <w:b/>
          <w:sz w:val="18"/>
          <w:szCs w:val="18"/>
        </w:rPr>
        <w:t>DOMESTIC ZPCR33-2022 TENDER FOR MAINTENANCE AND SUPPORT SERVICES FOR ZIMDEF</w:t>
      </w:r>
    </w:p>
    <w:p w:rsidR="00A14FC8" w:rsidRPr="00A14FC8" w:rsidRDefault="00A14FC8" w:rsidP="00753450">
      <w:pPr>
        <w:ind w:left="720"/>
        <w:jc w:val="both"/>
        <w:rPr>
          <w:sz w:val="8"/>
          <w:szCs w:val="8"/>
        </w:rPr>
      </w:pPr>
    </w:p>
    <w:p w:rsidR="009C5D22" w:rsidRDefault="009C5D22" w:rsidP="00753450">
      <w:pPr>
        <w:ind w:firstLine="720"/>
        <w:jc w:val="both"/>
        <w:rPr>
          <w:sz w:val="22"/>
          <w:szCs w:val="22"/>
        </w:rPr>
      </w:pPr>
      <w:r w:rsidRPr="009C5D22">
        <w:rPr>
          <w:sz w:val="22"/>
          <w:szCs w:val="22"/>
        </w:rPr>
        <w:t>The above matter refers,</w:t>
      </w:r>
      <w:r w:rsidR="00A14FC8">
        <w:rPr>
          <w:sz w:val="22"/>
          <w:szCs w:val="22"/>
        </w:rPr>
        <w:t xml:space="preserve"> particularly, your letter of 21 September 2022.</w:t>
      </w:r>
    </w:p>
    <w:p w:rsidR="00753450" w:rsidRPr="002343C5" w:rsidRDefault="00753450" w:rsidP="00753450">
      <w:pPr>
        <w:ind w:firstLine="720"/>
        <w:jc w:val="both"/>
        <w:rPr>
          <w:sz w:val="10"/>
          <w:szCs w:val="10"/>
        </w:rPr>
      </w:pPr>
    </w:p>
    <w:p w:rsidR="00D64994" w:rsidRDefault="00D64994" w:rsidP="00753450">
      <w:pPr>
        <w:ind w:firstLine="720"/>
        <w:jc w:val="both"/>
        <w:rPr>
          <w:sz w:val="22"/>
          <w:szCs w:val="22"/>
        </w:rPr>
      </w:pPr>
      <w:r>
        <w:rPr>
          <w:sz w:val="22"/>
          <w:szCs w:val="22"/>
        </w:rPr>
        <w:t>Please take note of the following:</w:t>
      </w:r>
    </w:p>
    <w:p w:rsidR="00753450" w:rsidRPr="002343C5" w:rsidRDefault="00753450" w:rsidP="00753450">
      <w:pPr>
        <w:ind w:firstLine="720"/>
        <w:jc w:val="both"/>
        <w:rPr>
          <w:sz w:val="10"/>
          <w:szCs w:val="10"/>
        </w:rPr>
      </w:pPr>
    </w:p>
    <w:p w:rsidR="00E034E8" w:rsidRDefault="00D64994" w:rsidP="00753450">
      <w:pPr>
        <w:pStyle w:val="ListParagraph"/>
        <w:numPr>
          <w:ilvl w:val="0"/>
          <w:numId w:val="20"/>
        </w:numPr>
        <w:jc w:val="both"/>
        <w:rPr>
          <w:sz w:val="22"/>
          <w:szCs w:val="22"/>
        </w:rPr>
      </w:pPr>
      <w:r>
        <w:rPr>
          <w:sz w:val="22"/>
          <w:szCs w:val="22"/>
        </w:rPr>
        <w:t xml:space="preserve">The Authority notes your request to stop the procurement </w:t>
      </w:r>
      <w:r w:rsidR="00753450">
        <w:rPr>
          <w:sz w:val="22"/>
          <w:szCs w:val="22"/>
        </w:rPr>
        <w:t xml:space="preserve">process in the above matter. </w:t>
      </w:r>
      <w:r w:rsidR="00753450" w:rsidRPr="00B0411A">
        <w:rPr>
          <w:sz w:val="22"/>
          <w:szCs w:val="22"/>
          <w:u w:val="single"/>
        </w:rPr>
        <w:t xml:space="preserve">Please be informed </w:t>
      </w:r>
      <w:r w:rsidR="002343C5" w:rsidRPr="00B0411A">
        <w:rPr>
          <w:sz w:val="22"/>
          <w:szCs w:val="22"/>
          <w:u w:val="single"/>
        </w:rPr>
        <w:t>that the Authority further notes that your client TT</w:t>
      </w:r>
      <w:r w:rsidR="00ED58E6" w:rsidRPr="00B0411A">
        <w:rPr>
          <w:sz w:val="22"/>
          <w:szCs w:val="22"/>
          <w:u w:val="single"/>
        </w:rPr>
        <w:t>CS has lodged a challenge to the ongoing proceedings.</w:t>
      </w:r>
      <w:r w:rsidR="00ED58E6">
        <w:rPr>
          <w:sz w:val="22"/>
          <w:szCs w:val="22"/>
        </w:rPr>
        <w:t xml:space="preserve"> If your client </w:t>
      </w:r>
      <w:r w:rsidR="007F4521">
        <w:rPr>
          <w:sz w:val="22"/>
          <w:szCs w:val="22"/>
        </w:rPr>
        <w:t xml:space="preserve">is not satisfied with the response from the procuring entity, it can lodge an appeal with the Authority. By </w:t>
      </w:r>
      <w:r w:rsidR="00E034E8">
        <w:rPr>
          <w:sz w:val="22"/>
          <w:szCs w:val="22"/>
        </w:rPr>
        <w:t>operation of law, procurement proceedings are then suspended from that point.</w:t>
      </w:r>
      <w:r w:rsidR="006F7A53">
        <w:rPr>
          <w:sz w:val="22"/>
          <w:szCs w:val="22"/>
        </w:rPr>
        <w:t xml:space="preserve"> </w:t>
      </w:r>
      <w:r w:rsidR="006F7A53" w:rsidRPr="006F7A53">
        <w:rPr>
          <w:b/>
          <w:sz w:val="22"/>
          <w:szCs w:val="22"/>
        </w:rPr>
        <w:t>[My own emphasis]</w:t>
      </w:r>
    </w:p>
    <w:p w:rsidR="00E034E8" w:rsidRPr="00393836" w:rsidRDefault="00E034E8" w:rsidP="00E034E8">
      <w:pPr>
        <w:pStyle w:val="ListParagraph"/>
        <w:ind w:left="1080"/>
        <w:jc w:val="both"/>
        <w:rPr>
          <w:sz w:val="8"/>
          <w:szCs w:val="8"/>
        </w:rPr>
      </w:pPr>
    </w:p>
    <w:p w:rsidR="00D64994" w:rsidRDefault="00E034E8" w:rsidP="00753450">
      <w:pPr>
        <w:pStyle w:val="ListParagraph"/>
        <w:numPr>
          <w:ilvl w:val="0"/>
          <w:numId w:val="20"/>
        </w:numPr>
        <w:jc w:val="both"/>
        <w:rPr>
          <w:sz w:val="22"/>
          <w:szCs w:val="22"/>
        </w:rPr>
      </w:pPr>
      <w:r>
        <w:rPr>
          <w:sz w:val="22"/>
          <w:szCs w:val="22"/>
        </w:rPr>
        <w:t>…</w:t>
      </w:r>
      <w:r w:rsidR="00ED58E6">
        <w:rPr>
          <w:sz w:val="22"/>
          <w:szCs w:val="22"/>
        </w:rPr>
        <w:t xml:space="preserve"> </w:t>
      </w:r>
    </w:p>
    <w:p w:rsidR="00393836" w:rsidRPr="00393836" w:rsidRDefault="00393836" w:rsidP="00393836">
      <w:pPr>
        <w:pStyle w:val="ListParagraph"/>
        <w:rPr>
          <w:sz w:val="8"/>
          <w:szCs w:val="8"/>
        </w:rPr>
      </w:pPr>
    </w:p>
    <w:p w:rsidR="003C13D7" w:rsidRDefault="00393836" w:rsidP="00753450">
      <w:pPr>
        <w:pStyle w:val="ListParagraph"/>
        <w:numPr>
          <w:ilvl w:val="0"/>
          <w:numId w:val="20"/>
        </w:numPr>
        <w:jc w:val="both"/>
        <w:rPr>
          <w:sz w:val="22"/>
          <w:szCs w:val="22"/>
        </w:rPr>
      </w:pPr>
      <w:r>
        <w:rPr>
          <w:sz w:val="22"/>
          <w:szCs w:val="22"/>
        </w:rPr>
        <w:t xml:space="preserve">In this regard, the Authority is yet to receive such application which would result </w:t>
      </w:r>
      <w:r w:rsidR="003C13D7">
        <w:rPr>
          <w:sz w:val="22"/>
          <w:szCs w:val="22"/>
        </w:rPr>
        <w:t>in a suspension of the process.</w:t>
      </w:r>
    </w:p>
    <w:p w:rsidR="003C13D7" w:rsidRPr="003C13D7" w:rsidRDefault="003C13D7" w:rsidP="003C13D7">
      <w:pPr>
        <w:pStyle w:val="ListParagraph"/>
        <w:rPr>
          <w:sz w:val="10"/>
          <w:szCs w:val="10"/>
        </w:rPr>
      </w:pPr>
    </w:p>
    <w:p w:rsidR="00393836" w:rsidRDefault="003C13D7" w:rsidP="002C61BE">
      <w:pPr>
        <w:ind w:firstLine="720"/>
        <w:jc w:val="both"/>
        <w:rPr>
          <w:sz w:val="22"/>
          <w:szCs w:val="22"/>
        </w:rPr>
      </w:pPr>
      <w:r>
        <w:rPr>
          <w:sz w:val="22"/>
          <w:szCs w:val="22"/>
        </w:rPr>
        <w:t>Please be guided accordingly</w:t>
      </w:r>
      <w:r w:rsidR="00393836" w:rsidRPr="003C13D7">
        <w:rPr>
          <w:sz w:val="22"/>
          <w:szCs w:val="22"/>
        </w:rPr>
        <w:t xml:space="preserve"> </w:t>
      </w:r>
    </w:p>
    <w:p w:rsidR="00D43F61" w:rsidRDefault="00D43F61" w:rsidP="003C13D7">
      <w:pPr>
        <w:jc w:val="both"/>
        <w:rPr>
          <w:sz w:val="22"/>
          <w:szCs w:val="22"/>
        </w:rPr>
      </w:pPr>
    </w:p>
    <w:p w:rsidR="00340373" w:rsidRPr="002C61BE" w:rsidRDefault="00340373" w:rsidP="003C13D7">
      <w:pPr>
        <w:jc w:val="both"/>
        <w:rPr>
          <w:sz w:val="8"/>
          <w:szCs w:val="8"/>
        </w:rPr>
      </w:pPr>
    </w:p>
    <w:p w:rsidR="00D43F61" w:rsidRDefault="00340373" w:rsidP="002C61BE">
      <w:pPr>
        <w:ind w:firstLine="720"/>
        <w:jc w:val="both"/>
        <w:rPr>
          <w:sz w:val="22"/>
          <w:szCs w:val="22"/>
        </w:rPr>
      </w:pPr>
      <w:r>
        <w:rPr>
          <w:sz w:val="22"/>
          <w:szCs w:val="22"/>
        </w:rPr>
        <w:t>C Ruswa</w:t>
      </w:r>
    </w:p>
    <w:p w:rsidR="00340373" w:rsidRPr="00043010" w:rsidRDefault="00340373" w:rsidP="002C61BE">
      <w:pPr>
        <w:ind w:firstLine="720"/>
        <w:jc w:val="both"/>
        <w:rPr>
          <w:sz w:val="22"/>
          <w:szCs w:val="22"/>
          <w:u w:val="single"/>
        </w:rPr>
      </w:pPr>
      <w:r w:rsidRPr="00043010">
        <w:rPr>
          <w:sz w:val="22"/>
          <w:szCs w:val="22"/>
          <w:u w:val="single"/>
        </w:rPr>
        <w:t xml:space="preserve">Chief Executive Officer </w:t>
      </w:r>
    </w:p>
    <w:p w:rsidR="00340373" w:rsidRPr="00340373" w:rsidRDefault="00340373" w:rsidP="002C61BE">
      <w:pPr>
        <w:ind w:firstLine="720"/>
        <w:jc w:val="both"/>
        <w:rPr>
          <w:b/>
          <w:sz w:val="18"/>
          <w:szCs w:val="18"/>
        </w:rPr>
      </w:pPr>
      <w:r w:rsidRPr="00340373">
        <w:rPr>
          <w:b/>
          <w:sz w:val="18"/>
          <w:szCs w:val="18"/>
        </w:rPr>
        <w:t>PROCUREMENT REGULATORY AUTHORITY OF ZIMBABWE</w:t>
      </w:r>
    </w:p>
    <w:p w:rsidR="00FF083C" w:rsidRDefault="002C61BE" w:rsidP="00FF083C">
      <w:pPr>
        <w:jc w:val="both"/>
      </w:pPr>
      <w:r>
        <w:tab/>
        <w:t>cc Chief Executive Officer, ZIMDEF</w:t>
      </w:r>
    </w:p>
    <w:p w:rsidR="009372E6" w:rsidRPr="00D52FF4" w:rsidRDefault="009372E6" w:rsidP="009372E6">
      <w:pPr>
        <w:spacing w:line="360" w:lineRule="auto"/>
        <w:jc w:val="both"/>
        <w:rPr>
          <w:b/>
          <w:sz w:val="16"/>
          <w:szCs w:val="16"/>
        </w:rPr>
      </w:pPr>
    </w:p>
    <w:p w:rsidR="009372E6" w:rsidRDefault="009372E6" w:rsidP="009372E6">
      <w:pPr>
        <w:spacing w:line="360" w:lineRule="auto"/>
        <w:jc w:val="both"/>
      </w:pPr>
      <w:r w:rsidRPr="009372E6">
        <w:t xml:space="preserve">When </w:t>
      </w:r>
      <w:r>
        <w:t xml:space="preserve">the parties </w:t>
      </w:r>
      <w:r w:rsidR="00E66ADE">
        <w:t>appeared before me</w:t>
      </w:r>
      <w:r w:rsidR="00B26EBC">
        <w:t xml:space="preserve"> on 30 September 2022</w:t>
      </w:r>
      <w:r w:rsidR="00E66ADE">
        <w:t>, they agreed to an order by consent in the following terms:</w:t>
      </w:r>
    </w:p>
    <w:p w:rsidR="00AF4BE7" w:rsidRPr="00D52FF4" w:rsidRDefault="00AF4BE7" w:rsidP="000D357B">
      <w:pPr>
        <w:jc w:val="both"/>
        <w:rPr>
          <w:sz w:val="14"/>
          <w:szCs w:val="14"/>
        </w:rPr>
      </w:pPr>
    </w:p>
    <w:p w:rsidR="00D654B8" w:rsidRDefault="00D654B8" w:rsidP="000D357B">
      <w:pPr>
        <w:jc w:val="both"/>
        <w:rPr>
          <w:sz w:val="22"/>
          <w:szCs w:val="22"/>
        </w:rPr>
      </w:pPr>
      <w:r>
        <w:tab/>
      </w:r>
      <w:r w:rsidRPr="00524B4B">
        <w:rPr>
          <w:sz w:val="22"/>
          <w:szCs w:val="22"/>
        </w:rPr>
        <w:t>“</w:t>
      </w:r>
      <w:r w:rsidR="00524B4B" w:rsidRPr="00D0505F">
        <w:rPr>
          <w:b/>
          <w:sz w:val="22"/>
          <w:szCs w:val="22"/>
        </w:rPr>
        <w:t>IT IS ORDERED BY CONSENT THAT</w:t>
      </w:r>
      <w:r w:rsidR="00524B4B" w:rsidRPr="00524B4B">
        <w:rPr>
          <w:sz w:val="22"/>
          <w:szCs w:val="22"/>
        </w:rPr>
        <w:t>:</w:t>
      </w:r>
    </w:p>
    <w:p w:rsidR="00524B4B" w:rsidRDefault="00524B4B" w:rsidP="000D357B">
      <w:pPr>
        <w:pStyle w:val="ListParagraph"/>
        <w:numPr>
          <w:ilvl w:val="0"/>
          <w:numId w:val="22"/>
        </w:numPr>
        <w:jc w:val="both"/>
        <w:rPr>
          <w:sz w:val="22"/>
          <w:szCs w:val="22"/>
        </w:rPr>
      </w:pPr>
      <w:r>
        <w:rPr>
          <w:sz w:val="22"/>
          <w:szCs w:val="22"/>
        </w:rPr>
        <w:t xml:space="preserve">The interim relief sought in HC </w:t>
      </w:r>
      <w:r w:rsidR="0063342B">
        <w:rPr>
          <w:sz w:val="22"/>
          <w:szCs w:val="22"/>
        </w:rPr>
        <w:t xml:space="preserve">6461/22 be and is hereby granted in </w:t>
      </w:r>
      <w:r w:rsidR="00E0205A">
        <w:rPr>
          <w:sz w:val="22"/>
          <w:szCs w:val="22"/>
        </w:rPr>
        <w:t xml:space="preserve">terms sought in the draft order, </w:t>
      </w:r>
      <w:r w:rsidR="0063342B">
        <w:rPr>
          <w:sz w:val="22"/>
          <w:szCs w:val="22"/>
        </w:rPr>
        <w:t>namely:</w:t>
      </w:r>
    </w:p>
    <w:p w:rsidR="00C74B25" w:rsidRPr="00C74B25" w:rsidRDefault="00C74B25" w:rsidP="00C74B25">
      <w:pPr>
        <w:pStyle w:val="ListParagraph"/>
        <w:ind w:left="1080"/>
        <w:jc w:val="both"/>
        <w:rPr>
          <w:sz w:val="4"/>
          <w:szCs w:val="4"/>
        </w:rPr>
      </w:pPr>
    </w:p>
    <w:p w:rsidR="0073140E" w:rsidRDefault="0073140E" w:rsidP="000D357B">
      <w:pPr>
        <w:pStyle w:val="ListParagraph"/>
        <w:numPr>
          <w:ilvl w:val="0"/>
          <w:numId w:val="23"/>
        </w:numPr>
        <w:jc w:val="both"/>
        <w:rPr>
          <w:sz w:val="22"/>
          <w:szCs w:val="22"/>
        </w:rPr>
      </w:pPr>
      <w:r>
        <w:rPr>
          <w:sz w:val="22"/>
          <w:szCs w:val="22"/>
        </w:rPr>
        <w:t>The procurement process initiated by the</w:t>
      </w:r>
      <w:r w:rsidR="009307FD">
        <w:rPr>
          <w:sz w:val="22"/>
          <w:szCs w:val="22"/>
        </w:rPr>
        <w:t xml:space="preserve"> first</w:t>
      </w:r>
      <w:r>
        <w:rPr>
          <w:sz w:val="22"/>
          <w:szCs w:val="22"/>
        </w:rPr>
        <w:t xml:space="preserve"> respondent who administers </w:t>
      </w:r>
      <w:r w:rsidR="00D32F5A">
        <w:rPr>
          <w:sz w:val="22"/>
          <w:szCs w:val="22"/>
        </w:rPr>
        <w:t xml:space="preserve">the </w:t>
      </w:r>
      <w:r w:rsidR="00A70A94">
        <w:rPr>
          <w:sz w:val="22"/>
          <w:szCs w:val="22"/>
        </w:rPr>
        <w:t>Zimba</w:t>
      </w:r>
      <w:r w:rsidR="007E5166">
        <w:rPr>
          <w:sz w:val="22"/>
          <w:szCs w:val="22"/>
        </w:rPr>
        <w:t xml:space="preserve">bwe Manpower Development Fund </w:t>
      </w:r>
      <w:r w:rsidR="00090FF0">
        <w:rPr>
          <w:sz w:val="22"/>
          <w:szCs w:val="22"/>
        </w:rPr>
        <w:t>under reference Domestic ZPCR 33-2022 be and is hereby suspended.</w:t>
      </w:r>
    </w:p>
    <w:p w:rsidR="00C74B25" w:rsidRPr="00C74B25" w:rsidRDefault="00C74B25" w:rsidP="00C74B25">
      <w:pPr>
        <w:pStyle w:val="ListParagraph"/>
        <w:ind w:left="1440"/>
        <w:jc w:val="both"/>
        <w:rPr>
          <w:sz w:val="4"/>
          <w:szCs w:val="4"/>
        </w:rPr>
      </w:pPr>
    </w:p>
    <w:p w:rsidR="004C1AE2" w:rsidRDefault="004C1AE2" w:rsidP="00D63163">
      <w:pPr>
        <w:pStyle w:val="ListParagraph"/>
        <w:numPr>
          <w:ilvl w:val="0"/>
          <w:numId w:val="22"/>
        </w:numPr>
        <w:jc w:val="both"/>
        <w:rPr>
          <w:sz w:val="22"/>
          <w:szCs w:val="22"/>
        </w:rPr>
      </w:pPr>
      <w:r w:rsidRPr="00D63163">
        <w:rPr>
          <w:sz w:val="22"/>
          <w:szCs w:val="22"/>
        </w:rPr>
        <w:t xml:space="preserve">The hearing of the urgent chamber application on </w:t>
      </w:r>
      <w:r w:rsidR="00AE24E7" w:rsidRPr="00D63163">
        <w:rPr>
          <w:sz w:val="22"/>
          <w:szCs w:val="22"/>
        </w:rPr>
        <w:t xml:space="preserve">the final relief sought in HC 6461/22 be and is hereby postponed </w:t>
      </w:r>
      <w:r w:rsidR="00334916" w:rsidRPr="00D63163">
        <w:rPr>
          <w:sz w:val="22"/>
          <w:szCs w:val="22"/>
        </w:rPr>
        <w:t>to 10 October 2022 at 10.00 am.</w:t>
      </w:r>
    </w:p>
    <w:p w:rsidR="00D63163" w:rsidRPr="00D63163" w:rsidRDefault="00D63163" w:rsidP="00D63163">
      <w:pPr>
        <w:pStyle w:val="ListParagraph"/>
        <w:ind w:left="1080"/>
        <w:jc w:val="both"/>
        <w:rPr>
          <w:sz w:val="4"/>
          <w:szCs w:val="4"/>
        </w:rPr>
      </w:pPr>
    </w:p>
    <w:p w:rsidR="00992969" w:rsidRDefault="00D63163" w:rsidP="00855D2D">
      <w:pPr>
        <w:pStyle w:val="ListParagraph"/>
        <w:numPr>
          <w:ilvl w:val="0"/>
          <w:numId w:val="22"/>
        </w:numPr>
        <w:ind w:left="1077" w:hanging="357"/>
        <w:jc w:val="both"/>
        <w:rPr>
          <w:sz w:val="22"/>
          <w:szCs w:val="22"/>
        </w:rPr>
      </w:pPr>
      <w:r>
        <w:rPr>
          <w:sz w:val="22"/>
          <w:szCs w:val="22"/>
        </w:rPr>
        <w:lastRenderedPageBreak/>
        <w:t xml:space="preserve">The </w:t>
      </w:r>
      <w:r w:rsidR="009307FD">
        <w:rPr>
          <w:sz w:val="22"/>
          <w:szCs w:val="22"/>
        </w:rPr>
        <w:t xml:space="preserve">first </w:t>
      </w:r>
      <w:r>
        <w:rPr>
          <w:sz w:val="22"/>
          <w:szCs w:val="22"/>
        </w:rPr>
        <w:t xml:space="preserve">respondent </w:t>
      </w:r>
      <w:r w:rsidR="00467C02">
        <w:rPr>
          <w:sz w:val="22"/>
          <w:szCs w:val="22"/>
        </w:rPr>
        <w:t xml:space="preserve">shall file and serve its opposing </w:t>
      </w:r>
      <w:r w:rsidR="00DE6F48">
        <w:rPr>
          <w:sz w:val="22"/>
          <w:szCs w:val="22"/>
        </w:rPr>
        <w:t xml:space="preserve">affidavit no later </w:t>
      </w:r>
      <w:r w:rsidR="004267AE">
        <w:rPr>
          <w:sz w:val="22"/>
          <w:szCs w:val="22"/>
        </w:rPr>
        <w:t>than close of business on 4 October 2022.</w:t>
      </w:r>
    </w:p>
    <w:p w:rsidR="00855D2D" w:rsidRPr="00855D2D" w:rsidRDefault="00855D2D" w:rsidP="00855D2D">
      <w:pPr>
        <w:jc w:val="both"/>
        <w:rPr>
          <w:sz w:val="4"/>
          <w:szCs w:val="4"/>
        </w:rPr>
      </w:pPr>
    </w:p>
    <w:p w:rsidR="00992969" w:rsidRDefault="00992969" w:rsidP="00855D2D">
      <w:pPr>
        <w:pStyle w:val="ListParagraph"/>
        <w:numPr>
          <w:ilvl w:val="0"/>
          <w:numId w:val="22"/>
        </w:numPr>
        <w:ind w:left="1077" w:hanging="357"/>
        <w:jc w:val="both"/>
        <w:rPr>
          <w:sz w:val="22"/>
          <w:szCs w:val="22"/>
        </w:rPr>
      </w:pPr>
      <w:r>
        <w:rPr>
          <w:sz w:val="22"/>
          <w:szCs w:val="22"/>
        </w:rPr>
        <w:t xml:space="preserve">The applicant shall file and serve </w:t>
      </w:r>
      <w:r w:rsidR="00E36119">
        <w:rPr>
          <w:sz w:val="22"/>
          <w:szCs w:val="22"/>
        </w:rPr>
        <w:t>its answering affidavit and heads of argument no later than close of business on 5 October 2022.</w:t>
      </w:r>
    </w:p>
    <w:p w:rsidR="00736990" w:rsidRPr="00736990" w:rsidRDefault="00736990" w:rsidP="00736990">
      <w:pPr>
        <w:jc w:val="both"/>
        <w:rPr>
          <w:sz w:val="4"/>
          <w:szCs w:val="4"/>
        </w:rPr>
      </w:pPr>
    </w:p>
    <w:p w:rsidR="007F17BF" w:rsidRDefault="007F17BF" w:rsidP="00855D2D">
      <w:pPr>
        <w:pStyle w:val="ListParagraph"/>
        <w:numPr>
          <w:ilvl w:val="0"/>
          <w:numId w:val="22"/>
        </w:numPr>
        <w:ind w:left="1077" w:hanging="357"/>
        <w:jc w:val="both"/>
        <w:rPr>
          <w:sz w:val="22"/>
          <w:szCs w:val="22"/>
        </w:rPr>
      </w:pPr>
      <w:r>
        <w:rPr>
          <w:sz w:val="22"/>
          <w:szCs w:val="22"/>
        </w:rPr>
        <w:t>The first and second respondents shall each file and serve</w:t>
      </w:r>
      <w:r w:rsidR="004A0E96">
        <w:rPr>
          <w:sz w:val="22"/>
          <w:szCs w:val="22"/>
        </w:rPr>
        <w:t xml:space="preserve"> their respective heads of argument no later than close of business on 7 </w:t>
      </w:r>
      <w:r w:rsidR="003D4FCB">
        <w:rPr>
          <w:sz w:val="22"/>
          <w:szCs w:val="22"/>
        </w:rPr>
        <w:t>October 2022.</w:t>
      </w:r>
    </w:p>
    <w:p w:rsidR="003D4FCB" w:rsidRPr="003D4FCB" w:rsidRDefault="003D4FCB" w:rsidP="003D4FCB">
      <w:pPr>
        <w:pStyle w:val="ListParagraph"/>
        <w:rPr>
          <w:sz w:val="4"/>
          <w:szCs w:val="4"/>
        </w:rPr>
      </w:pPr>
    </w:p>
    <w:p w:rsidR="003D4FCB" w:rsidRPr="00524B4B" w:rsidRDefault="003D4FCB" w:rsidP="00855D2D">
      <w:pPr>
        <w:pStyle w:val="ListParagraph"/>
        <w:numPr>
          <w:ilvl w:val="0"/>
          <w:numId w:val="22"/>
        </w:numPr>
        <w:ind w:left="1077" w:hanging="357"/>
        <w:jc w:val="both"/>
        <w:rPr>
          <w:sz w:val="22"/>
          <w:szCs w:val="22"/>
        </w:rPr>
      </w:pPr>
      <w:r>
        <w:rPr>
          <w:sz w:val="22"/>
          <w:szCs w:val="22"/>
        </w:rPr>
        <w:t>Each party shall bear its own costs”.</w:t>
      </w:r>
    </w:p>
    <w:p w:rsidR="009372E6" w:rsidRPr="009372E6" w:rsidRDefault="009372E6" w:rsidP="009372E6">
      <w:pPr>
        <w:spacing w:line="360" w:lineRule="auto"/>
        <w:jc w:val="both"/>
        <w:rPr>
          <w:b/>
        </w:rPr>
      </w:pPr>
    </w:p>
    <w:p w:rsidR="009372E6" w:rsidRPr="009372E6" w:rsidRDefault="00AD0AEA" w:rsidP="009372E6">
      <w:pPr>
        <w:spacing w:line="360" w:lineRule="auto"/>
        <w:jc w:val="both"/>
        <w:rPr>
          <w:b/>
        </w:rPr>
      </w:pPr>
      <w:r>
        <w:rPr>
          <w:b/>
        </w:rPr>
        <w:t>The</w:t>
      </w:r>
      <w:r w:rsidR="009372E6" w:rsidRPr="009372E6">
        <w:rPr>
          <w:b/>
        </w:rPr>
        <w:t xml:space="preserve"> submissions</w:t>
      </w:r>
      <w:r>
        <w:rPr>
          <w:b/>
        </w:rPr>
        <w:t xml:space="preserve"> of the parties</w:t>
      </w:r>
    </w:p>
    <w:p w:rsidR="00145258" w:rsidRDefault="00E60184" w:rsidP="00257651">
      <w:pPr>
        <w:spacing w:line="360" w:lineRule="auto"/>
        <w:ind w:firstLine="720"/>
        <w:jc w:val="both"/>
      </w:pPr>
      <w:r>
        <w:t>In the application before me,</w:t>
      </w:r>
      <w:r w:rsidR="00A46275">
        <w:t xml:space="preserve"> </w:t>
      </w:r>
      <w:r w:rsidR="005C1F94">
        <w:t xml:space="preserve">the applicant argued that </w:t>
      </w:r>
      <w:r w:rsidR="00D0505F">
        <w:t xml:space="preserve">the second </w:t>
      </w:r>
      <w:r w:rsidR="003B63F3">
        <w:t>respondent cannot conduct a tender process with the condition that a bidder must be a holder of a SAP license</w:t>
      </w:r>
      <w:r w:rsidR="0078276D">
        <w:t>, as tha</w:t>
      </w:r>
      <w:r w:rsidR="003F1C07">
        <w:t>t would effectively undermine this court’s</w:t>
      </w:r>
      <w:r w:rsidR="0078276D">
        <w:t xml:space="preserve"> judgment of 26 July 2022 </w:t>
      </w:r>
      <w:r w:rsidR="004468B3">
        <w:t>(HH 506-22).</w:t>
      </w:r>
      <w:r w:rsidR="0025234F">
        <w:t xml:space="preserve"> </w:t>
      </w:r>
      <w:r w:rsidR="00145258">
        <w:t>In this connection, the applicant (in paragraph</w:t>
      </w:r>
      <w:r w:rsidR="00CE3BD6">
        <w:t>s</w:t>
      </w:r>
      <w:r w:rsidR="00145258">
        <w:t xml:space="preserve"> 11</w:t>
      </w:r>
      <w:r w:rsidR="00CE3BD6">
        <w:t>-12</w:t>
      </w:r>
      <w:r w:rsidR="00145258">
        <w:t xml:space="preserve"> of its founding affidavit) averred that:</w:t>
      </w:r>
    </w:p>
    <w:p w:rsidR="00145258" w:rsidRPr="00CE3BD6" w:rsidRDefault="00145258" w:rsidP="00257651">
      <w:pPr>
        <w:spacing w:line="360" w:lineRule="auto"/>
        <w:ind w:firstLine="720"/>
        <w:jc w:val="both"/>
        <w:rPr>
          <w:sz w:val="10"/>
          <w:szCs w:val="10"/>
        </w:rPr>
      </w:pPr>
    </w:p>
    <w:p w:rsidR="00CE3BD6" w:rsidRDefault="00145258" w:rsidP="00FC4A91">
      <w:pPr>
        <w:ind w:left="720"/>
        <w:contextualSpacing/>
        <w:jc w:val="both"/>
        <w:rPr>
          <w:sz w:val="22"/>
          <w:szCs w:val="22"/>
        </w:rPr>
      </w:pPr>
      <w:r w:rsidRPr="00FC4A91">
        <w:rPr>
          <w:sz w:val="22"/>
          <w:szCs w:val="22"/>
        </w:rPr>
        <w:t>“</w:t>
      </w:r>
      <w:r w:rsidR="003519EF" w:rsidRPr="00FC4A91">
        <w:rPr>
          <w:sz w:val="22"/>
          <w:szCs w:val="22"/>
        </w:rPr>
        <w:t xml:space="preserve">On 9 November 2021 and prior to the results of the tender bids, the applicant submitted </w:t>
      </w:r>
      <w:r w:rsidR="00053AAB" w:rsidRPr="00FC4A91">
        <w:rPr>
          <w:sz w:val="22"/>
          <w:szCs w:val="22"/>
        </w:rPr>
        <w:t>a notice to the</w:t>
      </w:r>
      <w:r w:rsidR="005F5763">
        <w:rPr>
          <w:sz w:val="22"/>
          <w:szCs w:val="22"/>
        </w:rPr>
        <w:t xml:space="preserve"> second</w:t>
      </w:r>
      <w:r w:rsidR="00053AAB" w:rsidRPr="00FC4A91">
        <w:rPr>
          <w:sz w:val="22"/>
          <w:szCs w:val="22"/>
        </w:rPr>
        <w:t xml:space="preserve"> respondent challenging as restrictive, unreasonable and anti-competitive, a condition inserted by the</w:t>
      </w:r>
      <w:r w:rsidR="005F5763">
        <w:rPr>
          <w:sz w:val="22"/>
          <w:szCs w:val="22"/>
        </w:rPr>
        <w:t xml:space="preserve"> first</w:t>
      </w:r>
      <w:r w:rsidR="00053AAB" w:rsidRPr="00FC4A91">
        <w:rPr>
          <w:sz w:val="22"/>
          <w:szCs w:val="22"/>
        </w:rPr>
        <w:t xml:space="preserve"> respondent under </w:t>
      </w:r>
      <w:r w:rsidR="0097103F">
        <w:rPr>
          <w:sz w:val="22"/>
          <w:szCs w:val="22"/>
        </w:rPr>
        <w:t xml:space="preserve">tender number </w:t>
      </w:r>
      <w:r w:rsidR="00053AAB" w:rsidRPr="00FC4A91">
        <w:rPr>
          <w:sz w:val="22"/>
          <w:szCs w:val="22"/>
        </w:rPr>
        <w:t>ZPCR29-</w:t>
      </w:r>
      <w:r w:rsidR="00D84C97">
        <w:rPr>
          <w:sz w:val="22"/>
          <w:szCs w:val="22"/>
        </w:rPr>
        <w:t>20</w:t>
      </w:r>
      <w:r w:rsidR="00053AAB" w:rsidRPr="00FC4A91">
        <w:rPr>
          <w:sz w:val="22"/>
          <w:szCs w:val="22"/>
        </w:rPr>
        <w:t>21</w:t>
      </w:r>
      <w:r w:rsidR="005F5763">
        <w:rPr>
          <w:sz w:val="22"/>
          <w:szCs w:val="22"/>
        </w:rPr>
        <w:t>. The challenge to the second respondent was made in accordance with s 73 (1) of the Public Procurement and Disposal of Public Assets Act [</w:t>
      </w:r>
      <w:r w:rsidR="005F5763" w:rsidRPr="00D0505F">
        <w:rPr>
          <w:i/>
          <w:sz w:val="22"/>
          <w:szCs w:val="22"/>
        </w:rPr>
        <w:t>Chapter 22:23</w:t>
      </w:r>
      <w:r w:rsidR="005F5763">
        <w:rPr>
          <w:sz w:val="22"/>
          <w:szCs w:val="22"/>
        </w:rPr>
        <w:t>]”</w:t>
      </w:r>
    </w:p>
    <w:p w:rsidR="00CE3BD6" w:rsidRDefault="00CE3BD6" w:rsidP="00FC4A91">
      <w:pPr>
        <w:ind w:left="720"/>
        <w:contextualSpacing/>
        <w:jc w:val="both"/>
        <w:rPr>
          <w:sz w:val="22"/>
          <w:szCs w:val="22"/>
        </w:rPr>
      </w:pPr>
      <w:r>
        <w:rPr>
          <w:sz w:val="22"/>
          <w:szCs w:val="22"/>
        </w:rPr>
        <w:t>…</w:t>
      </w:r>
    </w:p>
    <w:p w:rsidR="00145258" w:rsidRPr="00FC4A91" w:rsidRDefault="00CE3BD6" w:rsidP="00FC4A91">
      <w:pPr>
        <w:ind w:left="720"/>
        <w:contextualSpacing/>
        <w:jc w:val="both"/>
        <w:rPr>
          <w:sz w:val="22"/>
          <w:szCs w:val="22"/>
        </w:rPr>
      </w:pPr>
      <w:r>
        <w:rPr>
          <w:sz w:val="22"/>
          <w:szCs w:val="22"/>
        </w:rPr>
        <w:t xml:space="preserve">The </w:t>
      </w:r>
      <w:r w:rsidR="00BA582C">
        <w:rPr>
          <w:sz w:val="22"/>
          <w:szCs w:val="22"/>
        </w:rPr>
        <w:t>basis of the challenge emanated from clause 10 of the tender</w:t>
      </w:r>
      <w:r w:rsidR="009777D9">
        <w:rPr>
          <w:sz w:val="22"/>
          <w:szCs w:val="22"/>
        </w:rPr>
        <w:t xml:space="preserve"> documents which required that bidders must be holders of a SAP licen</w:t>
      </w:r>
      <w:r w:rsidR="001C4EBC">
        <w:rPr>
          <w:sz w:val="22"/>
          <w:szCs w:val="22"/>
        </w:rPr>
        <w:t xml:space="preserve">ce. The applicant challenged this clause as taking away competition against the spirit of the competition law legislation in this country. Further, the applicant </w:t>
      </w:r>
      <w:r w:rsidR="00803A1D">
        <w:rPr>
          <w:sz w:val="22"/>
          <w:szCs w:val="22"/>
        </w:rPr>
        <w:t>challenged this on the basis that the clause constituted a restrictive business practice which does not promote competition amongst bidders”.</w:t>
      </w:r>
      <w:r w:rsidR="00053AAB" w:rsidRPr="00FC4A91">
        <w:rPr>
          <w:sz w:val="22"/>
          <w:szCs w:val="22"/>
        </w:rPr>
        <w:t xml:space="preserve"> </w:t>
      </w:r>
    </w:p>
    <w:p w:rsidR="00145258" w:rsidRPr="0081575F" w:rsidRDefault="00145258" w:rsidP="0081575F">
      <w:pPr>
        <w:spacing w:line="360" w:lineRule="auto"/>
        <w:jc w:val="both"/>
        <w:rPr>
          <w:sz w:val="16"/>
          <w:szCs w:val="16"/>
        </w:rPr>
      </w:pPr>
    </w:p>
    <w:p w:rsidR="0081575F" w:rsidRDefault="0081575F" w:rsidP="0081575F">
      <w:pPr>
        <w:spacing w:line="360" w:lineRule="auto"/>
        <w:jc w:val="both"/>
      </w:pPr>
      <w:r>
        <w:t xml:space="preserve">Additionally, </w:t>
      </w:r>
      <w:r w:rsidR="00D0505F">
        <w:t>in para</w:t>
      </w:r>
      <w:r w:rsidR="006131EE">
        <w:t xml:space="preserve"> 17</w:t>
      </w:r>
      <w:r>
        <w:t xml:space="preserve"> of its founding affidav</w:t>
      </w:r>
      <w:r w:rsidR="006131EE">
        <w:t>it, the applicant submitted as follows:</w:t>
      </w:r>
    </w:p>
    <w:p w:rsidR="006131EE" w:rsidRPr="0069233F" w:rsidRDefault="006131EE" w:rsidP="00F60FCA">
      <w:pPr>
        <w:jc w:val="both"/>
        <w:rPr>
          <w:sz w:val="14"/>
          <w:szCs w:val="14"/>
        </w:rPr>
      </w:pPr>
    </w:p>
    <w:p w:rsidR="006131EE" w:rsidRPr="00F60FCA" w:rsidRDefault="006131EE" w:rsidP="00F60FCA">
      <w:pPr>
        <w:ind w:left="720"/>
        <w:jc w:val="both"/>
        <w:rPr>
          <w:sz w:val="22"/>
          <w:szCs w:val="22"/>
        </w:rPr>
      </w:pPr>
      <w:r w:rsidRPr="00F60FCA">
        <w:rPr>
          <w:sz w:val="22"/>
          <w:szCs w:val="22"/>
        </w:rPr>
        <w:t>“Whilst a challenge was pending as against the tender process of the first respondent</w:t>
      </w:r>
      <w:r w:rsidR="00F60FCA" w:rsidRPr="00F60FCA">
        <w:rPr>
          <w:sz w:val="22"/>
          <w:szCs w:val="22"/>
        </w:rPr>
        <w:t>, the same proceeded to grant a tender to a company called</w:t>
      </w:r>
      <w:r w:rsidR="00F60FCA">
        <w:rPr>
          <w:sz w:val="22"/>
          <w:szCs w:val="22"/>
        </w:rPr>
        <w:t xml:space="preserve"> Tano Digital Solutions (</w:t>
      </w:r>
      <w:r w:rsidR="005311AE">
        <w:rPr>
          <w:sz w:val="22"/>
          <w:szCs w:val="22"/>
        </w:rPr>
        <w:t>Private) Limite</w:t>
      </w:r>
      <w:r w:rsidR="00F60FCA">
        <w:rPr>
          <w:sz w:val="22"/>
          <w:szCs w:val="22"/>
        </w:rPr>
        <w:t>d. The tender was made notwithstanding the pending process before the regulatory authority</w:t>
      </w:r>
      <w:r w:rsidR="00914288">
        <w:rPr>
          <w:sz w:val="22"/>
          <w:szCs w:val="22"/>
        </w:rPr>
        <w:t>, the second respondent. This was unlawful and irregular”.</w:t>
      </w:r>
    </w:p>
    <w:p w:rsidR="0081575F" w:rsidRPr="00D15499" w:rsidRDefault="00145258" w:rsidP="00D15499">
      <w:pPr>
        <w:spacing w:line="360" w:lineRule="auto"/>
        <w:jc w:val="both"/>
        <w:rPr>
          <w:sz w:val="16"/>
          <w:szCs w:val="16"/>
        </w:rPr>
      </w:pPr>
      <w:r>
        <w:t xml:space="preserve"> </w:t>
      </w:r>
    </w:p>
    <w:p w:rsidR="00DA1CE5" w:rsidRPr="000030E1" w:rsidRDefault="00D15499" w:rsidP="00D15499">
      <w:pPr>
        <w:spacing w:line="360" w:lineRule="auto"/>
        <w:jc w:val="both"/>
      </w:pPr>
      <w:r>
        <w:t>I observe that the first respondent</w:t>
      </w:r>
      <w:r w:rsidR="00DA1CE5">
        <w:t>,</w:t>
      </w:r>
      <w:r>
        <w:t xml:space="preserve"> </w:t>
      </w:r>
      <w:r w:rsidR="00D0505F">
        <w:t>(in para</w:t>
      </w:r>
      <w:r w:rsidR="00DA1CE5">
        <w:t xml:space="preserve"> 9 of its opposing affidavit), in a blanket response to paragraphs 14-28 of the applicant’s affidavit did not address </w:t>
      </w:r>
      <w:r w:rsidR="00BF444A">
        <w:t>the issues</w:t>
      </w:r>
      <w:r w:rsidR="00785369">
        <w:t xml:space="preserve"> raised by the applicant above. The answer </w:t>
      </w:r>
      <w:r w:rsidR="007A5121">
        <w:t xml:space="preserve">it gave is that </w:t>
      </w:r>
      <w:r w:rsidR="007A5121" w:rsidRPr="000030E1">
        <w:rPr>
          <w:i/>
        </w:rPr>
        <w:t>“the present tender has been done to correct the irregularities”.</w:t>
      </w:r>
      <w:r w:rsidR="00E47DF4">
        <w:t xml:space="preserve"> It has also not eluded my notice that the second respondent did not file any opposition to the appli</w:t>
      </w:r>
      <w:r w:rsidR="008E0205">
        <w:t>cation before me, which means that what the applicant said concerning the second respondent is taken as having been admitted.</w:t>
      </w:r>
      <w:r w:rsidR="00E20746">
        <w:t xml:space="preserve"> (See </w:t>
      </w:r>
      <w:r w:rsidR="00E20746" w:rsidRPr="00302B67">
        <w:rPr>
          <w:i/>
        </w:rPr>
        <w:t xml:space="preserve">Fawcett Security Operations </w:t>
      </w:r>
      <w:r w:rsidR="00E20746" w:rsidRPr="00D0505F">
        <w:t>v</w:t>
      </w:r>
      <w:r w:rsidR="00E20746" w:rsidRPr="00302B67">
        <w:rPr>
          <w:i/>
        </w:rPr>
        <w:t xml:space="preserve"> Director of Customs &amp; </w:t>
      </w:r>
      <w:r w:rsidR="00E20746" w:rsidRPr="00302B67">
        <w:rPr>
          <w:i/>
        </w:rPr>
        <w:lastRenderedPageBreak/>
        <w:t xml:space="preserve">Excise </w:t>
      </w:r>
      <w:r w:rsidR="00E20746">
        <w:t xml:space="preserve">1993 (2) ZLR 121 (SC). </w:t>
      </w:r>
      <w:r w:rsidR="000030E1">
        <w:rPr>
          <w:i/>
        </w:rPr>
        <w:t xml:space="preserve"> </w:t>
      </w:r>
      <w:r w:rsidR="000030E1">
        <w:t xml:space="preserve">Thus, the </w:t>
      </w:r>
      <w:r w:rsidR="00D46F42">
        <w:t xml:space="preserve">inevitable conclusion I make is that the </w:t>
      </w:r>
      <w:r w:rsidR="000030E1">
        <w:t xml:space="preserve">applicant’s averments were not challenged by either the first or </w:t>
      </w:r>
      <w:r w:rsidR="003F7C96">
        <w:t>second respondent</w:t>
      </w:r>
      <w:r w:rsidR="00D46F42">
        <w:t>.</w:t>
      </w:r>
    </w:p>
    <w:p w:rsidR="00D15499" w:rsidRDefault="00DA1CE5" w:rsidP="00D15499">
      <w:pPr>
        <w:spacing w:line="360" w:lineRule="auto"/>
        <w:jc w:val="both"/>
      </w:pPr>
      <w:r>
        <w:t xml:space="preserve"> </w:t>
      </w:r>
    </w:p>
    <w:p w:rsidR="00E42BF8" w:rsidRDefault="00E42BF8" w:rsidP="00257651">
      <w:pPr>
        <w:spacing w:line="360" w:lineRule="auto"/>
        <w:ind w:firstLine="720"/>
        <w:jc w:val="both"/>
      </w:pPr>
      <w:r>
        <w:t>The a</w:t>
      </w:r>
      <w:r w:rsidR="00D0505F">
        <w:t>pplicant proceeded (in para</w:t>
      </w:r>
      <w:r>
        <w:t xml:space="preserve"> 32 of its founding affidavit) to assert that</w:t>
      </w:r>
      <w:r w:rsidR="00C82F09">
        <w:t xml:space="preserve">, when the decision of the review panel was set aside in HC 1737/22, its expectation was that the procuring entity </w:t>
      </w:r>
      <w:r w:rsidR="00A754AC">
        <w:t>would continue with the old tender process and determine the successful bidder.</w:t>
      </w:r>
      <w:r w:rsidR="00DA459B">
        <w:t xml:space="preserve"> </w:t>
      </w:r>
      <w:r w:rsidR="00080D3B">
        <w:t xml:space="preserve">In this respect, I am mindful that the </w:t>
      </w:r>
      <w:r w:rsidR="004A167D">
        <w:t>pending appeal to the second respondent has not yet been determined</w:t>
      </w:r>
      <w:r w:rsidR="00A0072A">
        <w:t xml:space="preserve">, a fact not denied by </w:t>
      </w:r>
      <w:r w:rsidR="004A167D">
        <w:t xml:space="preserve">the </w:t>
      </w:r>
      <w:r w:rsidR="00A0072A">
        <w:t>regulator</w:t>
      </w:r>
      <w:r w:rsidR="004A167D">
        <w:t xml:space="preserve">. </w:t>
      </w:r>
      <w:r w:rsidR="00DA459B">
        <w:t>Instead of doing that, the applicant submitted that ZIMDEF flighted a new tender on 9 September 2022.</w:t>
      </w:r>
      <w:r w:rsidR="00D0505F">
        <w:t xml:space="preserve"> Again, (in para</w:t>
      </w:r>
      <w:r w:rsidR="00F131A4">
        <w:t xml:space="preserve"> 12 of its opposing affidavit) in a blanket answer to paragraphs 30-33 of the </w:t>
      </w:r>
      <w:r w:rsidR="002E18BC">
        <w:t xml:space="preserve">applicant’s affidavit, the first respondent </w:t>
      </w:r>
      <w:r w:rsidR="00B310DD">
        <w:t xml:space="preserve">did not specifically deal with the applicant’s averments. </w:t>
      </w:r>
      <w:r w:rsidR="00121814">
        <w:t xml:space="preserve">In a nutshell, its </w:t>
      </w:r>
      <w:r w:rsidR="00677F7A">
        <w:t xml:space="preserve">unequivocal intransigent </w:t>
      </w:r>
      <w:r w:rsidR="00121814">
        <w:t xml:space="preserve">response was that the decision </w:t>
      </w:r>
      <w:r w:rsidR="00121814" w:rsidRPr="00121814">
        <w:rPr>
          <w:i/>
        </w:rPr>
        <w:t xml:space="preserve">“to restart the tender process is the correct procedure at law”. </w:t>
      </w:r>
    </w:p>
    <w:p w:rsidR="008D38FE" w:rsidRDefault="00B001E7" w:rsidP="00257651">
      <w:pPr>
        <w:spacing w:line="360" w:lineRule="auto"/>
        <w:ind w:firstLine="720"/>
        <w:jc w:val="both"/>
      </w:pPr>
      <w:r>
        <w:t xml:space="preserve">At the hearing of the matter on 12 October 2022, </w:t>
      </w:r>
      <w:r w:rsidR="002D1D17">
        <w:t>t</w:t>
      </w:r>
      <w:r w:rsidR="0025234F">
        <w:t xml:space="preserve">he </w:t>
      </w:r>
      <w:r w:rsidR="002D1D17">
        <w:t>applicant submitted</w:t>
      </w:r>
      <w:r w:rsidR="0025234F">
        <w:t xml:space="preserve"> that th</w:t>
      </w:r>
      <w:r w:rsidR="00385329">
        <w:t xml:space="preserve">e interim protection order was issued with the consent of all parties, who agreed that they would argue for the final relief when </w:t>
      </w:r>
      <w:r w:rsidR="0001162D">
        <w:t>they returned</w:t>
      </w:r>
      <w:r w:rsidR="00F45A8B">
        <w:t xml:space="preserve"> to court</w:t>
      </w:r>
      <w:r w:rsidR="00AF3894">
        <w:t>.</w:t>
      </w:r>
      <w:r w:rsidR="00F861CF">
        <w:t xml:space="preserve"> </w:t>
      </w:r>
      <w:r w:rsidR="00A87A1B">
        <w:t>I</w:t>
      </w:r>
      <w:r w:rsidR="00273EED">
        <w:t>t i</w:t>
      </w:r>
      <w:r w:rsidR="00C05D26">
        <w:t>s common cause that the arguments now relate to the f</w:t>
      </w:r>
      <w:r w:rsidR="00A87A1B">
        <w:t>inal relief which reads</w:t>
      </w:r>
      <w:r w:rsidR="00C05D26">
        <w:t>:</w:t>
      </w:r>
    </w:p>
    <w:p w:rsidR="00360056" w:rsidRPr="005F7D49" w:rsidRDefault="00360056" w:rsidP="00257651">
      <w:pPr>
        <w:spacing w:line="360" w:lineRule="auto"/>
        <w:ind w:firstLine="720"/>
        <w:jc w:val="both"/>
        <w:rPr>
          <w:sz w:val="12"/>
          <w:szCs w:val="12"/>
        </w:rPr>
      </w:pPr>
    </w:p>
    <w:p w:rsidR="00360056" w:rsidRDefault="00360056" w:rsidP="00257651">
      <w:pPr>
        <w:spacing w:line="360" w:lineRule="auto"/>
        <w:ind w:firstLine="720"/>
        <w:jc w:val="both"/>
        <w:rPr>
          <w:sz w:val="22"/>
          <w:szCs w:val="22"/>
        </w:rPr>
      </w:pPr>
      <w:r w:rsidRPr="00BC275B">
        <w:rPr>
          <w:sz w:val="22"/>
          <w:szCs w:val="22"/>
        </w:rPr>
        <w:t>“</w:t>
      </w:r>
      <w:r w:rsidR="0037060C" w:rsidRPr="00BC275B">
        <w:rPr>
          <w:sz w:val="22"/>
          <w:szCs w:val="22"/>
        </w:rPr>
        <w:t>TERMS OF FINAL ORDER SOUGHT</w:t>
      </w:r>
    </w:p>
    <w:p w:rsidR="00BC275B" w:rsidRDefault="00BC275B" w:rsidP="002E0282">
      <w:pPr>
        <w:ind w:left="720"/>
        <w:jc w:val="both"/>
        <w:rPr>
          <w:sz w:val="22"/>
          <w:szCs w:val="22"/>
        </w:rPr>
      </w:pPr>
      <w:r>
        <w:rPr>
          <w:sz w:val="22"/>
          <w:szCs w:val="22"/>
        </w:rPr>
        <w:t xml:space="preserve">That you show cause to this honourable court why a final order should not be made in the following terms: </w:t>
      </w:r>
    </w:p>
    <w:p w:rsidR="003C3896" w:rsidRPr="0097151E" w:rsidRDefault="003C3896" w:rsidP="002E0282">
      <w:pPr>
        <w:ind w:left="720"/>
        <w:jc w:val="both"/>
        <w:rPr>
          <w:sz w:val="12"/>
          <w:szCs w:val="12"/>
        </w:rPr>
      </w:pPr>
    </w:p>
    <w:p w:rsidR="000F5F55" w:rsidRDefault="008612EE" w:rsidP="002E0282">
      <w:pPr>
        <w:pStyle w:val="ListParagraph"/>
        <w:numPr>
          <w:ilvl w:val="0"/>
          <w:numId w:val="24"/>
        </w:numPr>
        <w:jc w:val="both"/>
        <w:rPr>
          <w:sz w:val="22"/>
          <w:szCs w:val="22"/>
        </w:rPr>
      </w:pPr>
      <w:r>
        <w:rPr>
          <w:sz w:val="22"/>
          <w:szCs w:val="22"/>
        </w:rPr>
        <w:t>The interim relief be and is hereby confirmed.</w:t>
      </w:r>
    </w:p>
    <w:p w:rsidR="003C3896" w:rsidRPr="003C3896" w:rsidRDefault="003C3896" w:rsidP="003C3896">
      <w:pPr>
        <w:pStyle w:val="ListParagraph"/>
        <w:ind w:left="1080"/>
        <w:jc w:val="both"/>
        <w:rPr>
          <w:sz w:val="6"/>
          <w:szCs w:val="6"/>
        </w:rPr>
      </w:pPr>
    </w:p>
    <w:p w:rsidR="00307942" w:rsidRDefault="008612EE" w:rsidP="002E0282">
      <w:pPr>
        <w:pStyle w:val="ListParagraph"/>
        <w:numPr>
          <w:ilvl w:val="0"/>
          <w:numId w:val="24"/>
        </w:numPr>
        <w:jc w:val="both"/>
        <w:rPr>
          <w:sz w:val="22"/>
          <w:szCs w:val="22"/>
        </w:rPr>
      </w:pPr>
      <w:r>
        <w:rPr>
          <w:sz w:val="22"/>
          <w:szCs w:val="22"/>
        </w:rPr>
        <w:t>The procurement process initiated by the first respondent who administers the Zimbabwe Manpower Develo</w:t>
      </w:r>
      <w:r w:rsidR="006B58E6">
        <w:rPr>
          <w:sz w:val="22"/>
          <w:szCs w:val="22"/>
        </w:rPr>
        <w:t xml:space="preserve">pment Fund under reference Domestic ZPCR 33-2022 be and is hereby cancelled and </w:t>
      </w:r>
      <w:r w:rsidR="009B12DF">
        <w:rPr>
          <w:sz w:val="22"/>
          <w:szCs w:val="22"/>
        </w:rPr>
        <w:t>nullified</w:t>
      </w:r>
      <w:r w:rsidR="003C3896">
        <w:rPr>
          <w:sz w:val="22"/>
          <w:szCs w:val="22"/>
        </w:rPr>
        <w:t>.</w:t>
      </w:r>
    </w:p>
    <w:p w:rsidR="003C3896" w:rsidRPr="003C3896" w:rsidRDefault="003C3896" w:rsidP="003C3896">
      <w:pPr>
        <w:jc w:val="both"/>
        <w:rPr>
          <w:sz w:val="6"/>
          <w:szCs w:val="6"/>
        </w:rPr>
      </w:pPr>
    </w:p>
    <w:p w:rsidR="0037060C" w:rsidRDefault="00307942" w:rsidP="00E94F98">
      <w:pPr>
        <w:pStyle w:val="ListParagraph"/>
        <w:numPr>
          <w:ilvl w:val="0"/>
          <w:numId w:val="24"/>
        </w:numPr>
        <w:jc w:val="both"/>
        <w:rPr>
          <w:sz w:val="22"/>
          <w:szCs w:val="22"/>
        </w:rPr>
      </w:pPr>
      <w:r>
        <w:rPr>
          <w:sz w:val="22"/>
          <w:szCs w:val="22"/>
        </w:rPr>
        <w:t>The first respondent shall pay costs of</w:t>
      </w:r>
      <w:r w:rsidR="002E0282">
        <w:rPr>
          <w:sz w:val="22"/>
          <w:szCs w:val="22"/>
        </w:rPr>
        <w:t xml:space="preserve"> this application on a legal pr</w:t>
      </w:r>
      <w:r>
        <w:rPr>
          <w:sz w:val="22"/>
          <w:szCs w:val="22"/>
        </w:rPr>
        <w:t>actiti</w:t>
      </w:r>
      <w:r w:rsidR="002E0282">
        <w:rPr>
          <w:sz w:val="22"/>
          <w:szCs w:val="22"/>
        </w:rPr>
        <w:t>oner and client scale</w:t>
      </w:r>
      <w:r w:rsidR="003C3896">
        <w:rPr>
          <w:sz w:val="22"/>
          <w:szCs w:val="22"/>
        </w:rPr>
        <w:t>”</w:t>
      </w:r>
      <w:r w:rsidR="002E0282">
        <w:rPr>
          <w:sz w:val="22"/>
          <w:szCs w:val="22"/>
        </w:rPr>
        <w:t>.</w:t>
      </w:r>
    </w:p>
    <w:p w:rsidR="00E94F98" w:rsidRPr="00E94F98" w:rsidRDefault="00E94F98" w:rsidP="00E94F98">
      <w:pPr>
        <w:pStyle w:val="ListParagraph"/>
        <w:rPr>
          <w:sz w:val="22"/>
          <w:szCs w:val="22"/>
        </w:rPr>
      </w:pPr>
    </w:p>
    <w:p w:rsidR="00E94F98" w:rsidRDefault="00E94F98" w:rsidP="00E94F98">
      <w:pPr>
        <w:jc w:val="both"/>
        <w:rPr>
          <w:sz w:val="22"/>
          <w:szCs w:val="22"/>
        </w:rPr>
      </w:pPr>
    </w:p>
    <w:p w:rsidR="00E94F98" w:rsidRPr="00E94F98" w:rsidRDefault="00E94F98" w:rsidP="00E94F98">
      <w:pPr>
        <w:spacing w:line="360" w:lineRule="auto"/>
        <w:contextualSpacing/>
        <w:jc w:val="both"/>
        <w:rPr>
          <w:b/>
        </w:rPr>
      </w:pPr>
      <w:r w:rsidRPr="00E94F98">
        <w:rPr>
          <w:b/>
        </w:rPr>
        <w:t xml:space="preserve">The points </w:t>
      </w:r>
      <w:r w:rsidRPr="00D0505F">
        <w:rPr>
          <w:b/>
          <w:i/>
        </w:rPr>
        <w:t>in limine</w:t>
      </w:r>
    </w:p>
    <w:p w:rsidR="00FD281E" w:rsidRDefault="001256A9" w:rsidP="00E94F98">
      <w:pPr>
        <w:spacing w:line="360" w:lineRule="auto"/>
        <w:ind w:firstLine="720"/>
        <w:contextualSpacing/>
        <w:jc w:val="both"/>
      </w:pPr>
      <w:r>
        <w:t xml:space="preserve">Three preliminary points were raised by the first respondent, namely, </w:t>
      </w:r>
      <w:r w:rsidR="00AB1245">
        <w:t>(a) non-joinder of ZIMDEF;</w:t>
      </w:r>
      <w:r w:rsidR="00AC06FB">
        <w:t xml:space="preserve"> </w:t>
      </w:r>
      <w:r w:rsidR="006363A1">
        <w:t>(b</w:t>
      </w:r>
      <w:r w:rsidR="00AB1245">
        <w:t xml:space="preserve">) </w:t>
      </w:r>
      <w:r w:rsidR="00AC06FB">
        <w:t>that the application</w:t>
      </w:r>
      <w:r w:rsidR="00B0403A">
        <w:t xml:space="preserve"> is improperly before the court</w:t>
      </w:r>
      <w:r w:rsidR="006363A1">
        <w:t xml:space="preserve">; and (b) no cause of action had been pleaded </w:t>
      </w:r>
      <w:r w:rsidR="006363A1" w:rsidRPr="00304541">
        <w:rPr>
          <w:i/>
        </w:rPr>
        <w:t>in casu</w:t>
      </w:r>
      <w:r w:rsidR="006363A1">
        <w:t>;</w:t>
      </w:r>
      <w:r w:rsidR="0014604A">
        <w:t xml:space="preserve"> The parties agreed to adopt a rolled-up approach where I would hear the points </w:t>
      </w:r>
      <w:r w:rsidR="0014604A" w:rsidRPr="00304541">
        <w:rPr>
          <w:i/>
        </w:rPr>
        <w:t xml:space="preserve">in </w:t>
      </w:r>
      <w:r w:rsidR="0014604A" w:rsidRPr="00C7435D">
        <w:rPr>
          <w:i/>
        </w:rPr>
        <w:t>limine</w:t>
      </w:r>
      <w:r w:rsidR="0014604A">
        <w:t xml:space="preserve"> and merits at th</w:t>
      </w:r>
      <w:r w:rsidR="008A05EE">
        <w:t xml:space="preserve">e same time </w:t>
      </w:r>
      <w:r w:rsidR="00C050F9">
        <w:t>and</w:t>
      </w:r>
      <w:r w:rsidR="00982E2E">
        <w:t xml:space="preserve"> give my</w:t>
      </w:r>
      <w:r w:rsidR="001B5183">
        <w:t xml:space="preserve"> j</w:t>
      </w:r>
      <w:r w:rsidR="00982E2E">
        <w:t>udgment dealing with everything</w:t>
      </w:r>
      <w:r w:rsidR="00C050F9">
        <w:t xml:space="preserve"> at the conclusion of all arguments</w:t>
      </w:r>
      <w:r w:rsidR="001B5183">
        <w:t>.</w:t>
      </w:r>
      <w:r w:rsidR="00AB1245">
        <w:t xml:space="preserve"> </w:t>
      </w:r>
      <w:r w:rsidR="002B2174">
        <w:t>Let me first deal with the issue of non-joinder of ZIMDEF</w:t>
      </w:r>
      <w:r w:rsidR="00FD281E">
        <w:t>.</w:t>
      </w:r>
    </w:p>
    <w:p w:rsidR="008A6497" w:rsidRDefault="008A6497" w:rsidP="008A6497">
      <w:pPr>
        <w:spacing w:line="360" w:lineRule="auto"/>
        <w:contextualSpacing/>
        <w:jc w:val="both"/>
        <w:rPr>
          <w:b/>
          <w:i/>
        </w:rPr>
      </w:pPr>
    </w:p>
    <w:p w:rsidR="008A6497" w:rsidRDefault="008A6497" w:rsidP="008A6497">
      <w:pPr>
        <w:spacing w:line="360" w:lineRule="auto"/>
        <w:contextualSpacing/>
        <w:jc w:val="both"/>
        <w:rPr>
          <w:b/>
          <w:i/>
        </w:rPr>
      </w:pPr>
    </w:p>
    <w:p w:rsidR="008A6497" w:rsidRDefault="008A6497" w:rsidP="008A6497">
      <w:pPr>
        <w:spacing w:line="360" w:lineRule="auto"/>
        <w:contextualSpacing/>
        <w:jc w:val="both"/>
        <w:rPr>
          <w:b/>
          <w:i/>
        </w:rPr>
      </w:pPr>
    </w:p>
    <w:p w:rsidR="008A6497" w:rsidRPr="008A6497" w:rsidRDefault="008A6497" w:rsidP="008A6497">
      <w:pPr>
        <w:spacing w:line="360" w:lineRule="auto"/>
        <w:contextualSpacing/>
        <w:jc w:val="both"/>
        <w:rPr>
          <w:b/>
          <w:i/>
        </w:rPr>
      </w:pPr>
      <w:r w:rsidRPr="008A6497">
        <w:rPr>
          <w:b/>
          <w:i/>
        </w:rPr>
        <w:t>The non-joinder of ZIMDEF</w:t>
      </w:r>
    </w:p>
    <w:p w:rsidR="00D0505F" w:rsidRDefault="00FD281E" w:rsidP="00B46627">
      <w:pPr>
        <w:spacing w:line="360" w:lineRule="auto"/>
        <w:jc w:val="both"/>
        <w:rPr>
          <w:shd w:val="clear" w:color="auto" w:fill="FFFFFF"/>
        </w:rPr>
      </w:pPr>
      <w:r>
        <w:tab/>
        <w:t xml:space="preserve">The applicant submitted that this point was ill-taken </w:t>
      </w:r>
      <w:r w:rsidR="00855FF1">
        <w:t>because under HC 1737/22</w:t>
      </w:r>
      <w:r w:rsidR="000C7037">
        <w:t xml:space="preserve">, it was argued that ZIMDEF was not a legal </w:t>
      </w:r>
      <w:r w:rsidR="000C7037" w:rsidRPr="000005A4">
        <w:rPr>
          <w:i/>
        </w:rPr>
        <w:t>persona</w:t>
      </w:r>
      <w:r w:rsidR="000C7037">
        <w:t xml:space="preserve"> and could not be sued. </w:t>
      </w:r>
      <w:r w:rsidR="00D0505F">
        <w:t>Essentially, the first</w:t>
      </w:r>
      <w:r w:rsidR="00B46627">
        <w:t xml:space="preserve"> respondent’s argument was that </w:t>
      </w:r>
      <w:r w:rsidR="00B9380E">
        <w:t xml:space="preserve">ZIMDEF did not exist as an entity with capacity to sue and be sued at law. It seems to me to be cheeky for the </w:t>
      </w:r>
      <w:r w:rsidR="00D0505F">
        <w:t>first</w:t>
      </w:r>
      <w:r w:rsidR="00263FE9">
        <w:t xml:space="preserve"> respondent to now</w:t>
      </w:r>
      <w:r w:rsidR="00960AF4">
        <w:t xml:space="preserve"> contend that ZIMDEF should</w:t>
      </w:r>
      <w:r w:rsidR="00F9127B">
        <w:t xml:space="preserve"> be joined to these proceedings. </w:t>
      </w:r>
      <w:r w:rsidR="009F6E8E">
        <w:t>At any rate, r</w:t>
      </w:r>
      <w:r w:rsidR="00D0505F">
        <w:t xml:space="preserve"> </w:t>
      </w:r>
      <w:r w:rsidR="009F6E8E">
        <w:t>32 (11) of the High Court Rules, 2021</w:t>
      </w:r>
      <w:r w:rsidR="00EC79FF">
        <w:t xml:space="preserve"> (r</w:t>
      </w:r>
      <w:r w:rsidR="00D0505F">
        <w:t xml:space="preserve"> </w:t>
      </w:r>
      <w:r w:rsidR="00EC79FF">
        <w:t>87 of the High Court Rules, 1971)</w:t>
      </w:r>
      <w:r w:rsidR="009F6E8E">
        <w:t>, provides that a cause shall</w:t>
      </w:r>
      <w:r w:rsidR="00782FF2">
        <w:t xml:space="preserve"> </w:t>
      </w:r>
      <w:r w:rsidR="00CD37B5">
        <w:t xml:space="preserve">not </w:t>
      </w:r>
      <w:r w:rsidR="00782FF2">
        <w:t>be dismissed</w:t>
      </w:r>
      <w:r w:rsidR="008011DC">
        <w:t xml:space="preserve"> by reason of misjo</w:t>
      </w:r>
      <w:r w:rsidR="00BD2658">
        <w:t xml:space="preserve">inder or non-joinder of a party. </w:t>
      </w:r>
      <w:r w:rsidR="00460588">
        <w:t xml:space="preserve">(See </w:t>
      </w:r>
      <w:r w:rsidR="00460588">
        <w:rPr>
          <w:i/>
        </w:rPr>
        <w:t xml:space="preserve">Sobuza Gula-Ndebele </w:t>
      </w:r>
      <w:r w:rsidR="00460588" w:rsidRPr="00D0505F">
        <w:t xml:space="preserve">v </w:t>
      </w:r>
      <w:r w:rsidR="00460588">
        <w:rPr>
          <w:i/>
        </w:rPr>
        <w:t>Chinembiri Bhunu N.O</w:t>
      </w:r>
      <w:r w:rsidR="00460588">
        <w:t>. SC 29-11).</w:t>
      </w:r>
      <w:r w:rsidR="00477F60">
        <w:t xml:space="preserve"> </w:t>
      </w:r>
      <w:r w:rsidR="006846DE">
        <w:rPr>
          <w:shd w:val="clear" w:color="auto" w:fill="FFFFFF"/>
        </w:rPr>
        <w:t> Therefore</w:t>
      </w:r>
      <w:r w:rsidR="00EA233F">
        <w:rPr>
          <w:shd w:val="clear" w:color="auto" w:fill="FFFFFF"/>
        </w:rPr>
        <w:t xml:space="preserve">, </w:t>
      </w:r>
      <w:r w:rsidR="00EA233F" w:rsidRPr="00EA233F">
        <w:rPr>
          <w:shd w:val="clear" w:color="auto" w:fill="FFFFFF"/>
        </w:rPr>
        <w:t xml:space="preserve">if </w:t>
      </w:r>
      <w:r w:rsidR="00EA233F">
        <w:rPr>
          <w:shd w:val="clear" w:color="auto" w:fill="FFFFFF"/>
        </w:rPr>
        <w:t xml:space="preserve">the </w:t>
      </w:r>
      <w:r w:rsidR="00C32203">
        <w:rPr>
          <w:shd w:val="clear" w:color="auto" w:fill="FFFFFF"/>
        </w:rPr>
        <w:t>first respondent</w:t>
      </w:r>
      <w:r w:rsidR="00EA233F">
        <w:rPr>
          <w:shd w:val="clear" w:color="auto" w:fill="FFFFFF"/>
        </w:rPr>
        <w:t xml:space="preserve"> </w:t>
      </w:r>
      <w:r w:rsidR="001F7644">
        <w:rPr>
          <w:shd w:val="clear" w:color="auto" w:fill="FFFFFF"/>
        </w:rPr>
        <w:t>f</w:t>
      </w:r>
      <w:r w:rsidR="00EA233F">
        <w:rPr>
          <w:shd w:val="clear" w:color="auto" w:fill="FFFFFF"/>
        </w:rPr>
        <w:t>elt that ZIMDEF</w:t>
      </w:r>
      <w:r w:rsidR="00C32203">
        <w:rPr>
          <w:shd w:val="clear" w:color="auto" w:fill="FFFFFF"/>
        </w:rPr>
        <w:t xml:space="preserve"> should</w:t>
      </w:r>
      <w:r w:rsidR="00EA233F" w:rsidRPr="00EA233F">
        <w:rPr>
          <w:shd w:val="clear" w:color="auto" w:fill="FFFFFF"/>
        </w:rPr>
        <w:t xml:space="preserve"> be joined to these proceedings</w:t>
      </w:r>
      <w:r w:rsidR="001F7644">
        <w:rPr>
          <w:shd w:val="clear" w:color="auto" w:fill="FFFFFF"/>
        </w:rPr>
        <w:t>, nothing precluded it from</w:t>
      </w:r>
      <w:r w:rsidR="00C32203">
        <w:rPr>
          <w:shd w:val="clear" w:color="auto" w:fill="FFFFFF"/>
        </w:rPr>
        <w:t xml:space="preserve"> applying </w:t>
      </w:r>
      <w:r w:rsidR="00884471">
        <w:rPr>
          <w:shd w:val="clear" w:color="auto" w:fill="FFFFFF"/>
        </w:rPr>
        <w:t xml:space="preserve">for </w:t>
      </w:r>
      <w:r w:rsidR="00D94F83">
        <w:rPr>
          <w:shd w:val="clear" w:color="auto" w:fill="FFFFFF"/>
        </w:rPr>
        <w:t xml:space="preserve">ZIMDEF’s </w:t>
      </w:r>
      <w:r w:rsidR="00884471">
        <w:rPr>
          <w:shd w:val="clear" w:color="auto" w:fill="FFFFFF"/>
        </w:rPr>
        <w:t xml:space="preserve">joinder. </w:t>
      </w:r>
      <w:r w:rsidR="001B60F0">
        <w:rPr>
          <w:shd w:val="clear" w:color="auto" w:fill="FFFFFF"/>
        </w:rPr>
        <w:t>In this regard, r</w:t>
      </w:r>
      <w:r w:rsidR="00D0505F">
        <w:rPr>
          <w:shd w:val="clear" w:color="auto" w:fill="FFFFFF"/>
        </w:rPr>
        <w:t xml:space="preserve"> </w:t>
      </w:r>
      <w:r w:rsidR="001B60F0">
        <w:rPr>
          <w:shd w:val="clear" w:color="auto" w:fill="FFFFFF"/>
        </w:rPr>
        <w:t>32 (11) permits</w:t>
      </w:r>
      <w:r w:rsidR="001C19B3">
        <w:rPr>
          <w:shd w:val="clear" w:color="auto" w:fill="FFFFFF"/>
        </w:rPr>
        <w:t xml:space="preserve"> any of the parties and the court to join any party who the court considers necessary to the disposition of the matter before it. </w:t>
      </w:r>
      <w:r w:rsidR="00906E48">
        <w:rPr>
          <w:shd w:val="clear" w:color="auto" w:fill="FFFFFF"/>
        </w:rPr>
        <w:t>Moreover,</w:t>
      </w:r>
      <w:r w:rsidR="007B1719">
        <w:rPr>
          <w:shd w:val="clear" w:color="auto" w:fill="FFFFFF"/>
        </w:rPr>
        <w:t xml:space="preserve"> s47 of the Manpower Planning and Development Act</w:t>
      </w:r>
      <w:r w:rsidR="00A04998">
        <w:rPr>
          <w:shd w:val="clear" w:color="auto" w:fill="FFFFFF"/>
        </w:rPr>
        <w:t xml:space="preserve"> </w:t>
      </w:r>
      <w:r w:rsidR="00D0505F">
        <w:rPr>
          <w:shd w:val="clear" w:color="auto" w:fill="FFFFFF"/>
        </w:rPr>
        <w:t xml:space="preserve"> </w:t>
      </w:r>
    </w:p>
    <w:p w:rsidR="00257651" w:rsidRDefault="00A04998" w:rsidP="00B46627">
      <w:pPr>
        <w:spacing w:line="360" w:lineRule="auto"/>
        <w:jc w:val="both"/>
      </w:pPr>
      <w:r>
        <w:rPr>
          <w:shd w:val="clear" w:color="auto" w:fill="FFFFFF"/>
        </w:rPr>
        <w:t>[</w:t>
      </w:r>
      <w:r w:rsidRPr="00D0505F">
        <w:rPr>
          <w:i/>
          <w:shd w:val="clear" w:color="auto" w:fill="FFFFFF"/>
        </w:rPr>
        <w:t>Cha</w:t>
      </w:r>
      <w:r w:rsidR="00906E48" w:rsidRPr="00D0505F">
        <w:rPr>
          <w:i/>
          <w:shd w:val="clear" w:color="auto" w:fill="FFFFFF"/>
        </w:rPr>
        <w:t>pter 28:02</w:t>
      </w:r>
      <w:r w:rsidR="00906E48">
        <w:rPr>
          <w:shd w:val="clear" w:color="auto" w:fill="FFFFFF"/>
        </w:rPr>
        <w:t>] provides that</w:t>
      </w:r>
      <w:r>
        <w:rPr>
          <w:shd w:val="clear" w:color="auto" w:fill="FFFFFF"/>
        </w:rPr>
        <w:t xml:space="preserve"> ZMDEF</w:t>
      </w:r>
      <w:r w:rsidR="00906E48">
        <w:rPr>
          <w:shd w:val="clear" w:color="auto" w:fill="FFFFFF"/>
        </w:rPr>
        <w:t>, which was established by s</w:t>
      </w:r>
      <w:r w:rsidR="00D0505F">
        <w:rPr>
          <w:shd w:val="clear" w:color="auto" w:fill="FFFFFF"/>
        </w:rPr>
        <w:t xml:space="preserve"> </w:t>
      </w:r>
      <w:r w:rsidR="00906E48">
        <w:rPr>
          <w:shd w:val="clear" w:color="auto" w:fill="FFFFFF"/>
        </w:rPr>
        <w:t xml:space="preserve">23 of </w:t>
      </w:r>
      <w:r w:rsidR="006D2868">
        <w:rPr>
          <w:shd w:val="clear" w:color="auto" w:fill="FFFFFF"/>
        </w:rPr>
        <w:t>the Zimbabwe Manpo</w:t>
      </w:r>
      <w:r w:rsidR="0023272D">
        <w:rPr>
          <w:shd w:val="clear" w:color="auto" w:fill="FFFFFF"/>
        </w:rPr>
        <w:t>wer Development Act, 1984 (No</w:t>
      </w:r>
      <w:r w:rsidR="006D2868">
        <w:rPr>
          <w:shd w:val="clear" w:color="auto" w:fill="FFFFFF"/>
        </w:rPr>
        <w:t xml:space="preserve"> 36 of </w:t>
      </w:r>
      <w:r w:rsidR="00326CFE">
        <w:rPr>
          <w:shd w:val="clear" w:color="auto" w:fill="FFFFFF"/>
        </w:rPr>
        <w:t>1984)</w:t>
      </w:r>
      <w:r w:rsidR="005B2D6E">
        <w:rPr>
          <w:shd w:val="clear" w:color="auto" w:fill="FFFFFF"/>
        </w:rPr>
        <w:t xml:space="preserve"> [now repealed]</w:t>
      </w:r>
      <w:r w:rsidR="00326CFE">
        <w:rPr>
          <w:shd w:val="clear" w:color="auto" w:fill="FFFFFF"/>
        </w:rPr>
        <w:t xml:space="preserve">, shall continue in existence under </w:t>
      </w:r>
      <w:r w:rsidR="00D0505F">
        <w:rPr>
          <w:shd w:val="clear" w:color="auto" w:fill="FFFFFF"/>
        </w:rPr>
        <w:t>the new Act [</w:t>
      </w:r>
      <w:r w:rsidR="005B2D6E">
        <w:rPr>
          <w:shd w:val="clear" w:color="auto" w:fill="FFFFFF"/>
        </w:rPr>
        <w:t xml:space="preserve">i.e </w:t>
      </w:r>
      <w:r w:rsidR="005B2D6E" w:rsidRPr="00D0505F">
        <w:rPr>
          <w:i/>
          <w:shd w:val="clear" w:color="auto" w:fill="FFFFFF"/>
        </w:rPr>
        <w:t>Chapter 28:02</w:t>
      </w:r>
      <w:r w:rsidR="00D0505F">
        <w:rPr>
          <w:shd w:val="clear" w:color="auto" w:fill="FFFFFF"/>
        </w:rPr>
        <w:t>]</w:t>
      </w:r>
      <w:r w:rsidR="005B2D6E">
        <w:rPr>
          <w:shd w:val="clear" w:color="auto" w:fill="FFFFFF"/>
        </w:rPr>
        <w:t>.</w:t>
      </w:r>
      <w:r w:rsidR="00326CFE">
        <w:rPr>
          <w:shd w:val="clear" w:color="auto" w:fill="FFFFFF"/>
        </w:rPr>
        <w:t xml:space="preserve"> </w:t>
      </w:r>
      <w:r w:rsidR="00477F60" w:rsidRPr="00447EEE">
        <w:rPr>
          <w:i/>
        </w:rPr>
        <w:t>Adv Ndlovu</w:t>
      </w:r>
      <w:r w:rsidR="00477F60">
        <w:t xml:space="preserve"> </w:t>
      </w:r>
      <w:r w:rsidR="00974ED3">
        <w:t xml:space="preserve">for the applicant, submitted that </w:t>
      </w:r>
      <w:r w:rsidR="00F11BC1">
        <w:t>to the extent that the first respondent is a trustee of ZIMDEF</w:t>
      </w:r>
      <w:r w:rsidR="00366B6F">
        <w:t xml:space="preserve"> in terms of s23 of the repealed statute</w:t>
      </w:r>
      <w:r w:rsidR="00F11BC1">
        <w:t xml:space="preserve">, </w:t>
      </w:r>
      <w:r w:rsidR="00974ED3">
        <w:t>the first respond</w:t>
      </w:r>
      <w:r w:rsidR="00366B6F">
        <w:t>ent was</w:t>
      </w:r>
      <w:r w:rsidR="006560BE">
        <w:t xml:space="preserve"> correctly cited</w:t>
      </w:r>
      <w:r w:rsidR="00974ED3">
        <w:t>, and I agree with him.</w:t>
      </w:r>
      <w:r w:rsidR="00136E56">
        <w:t xml:space="preserve"> </w:t>
      </w:r>
      <w:r w:rsidR="00692BC7">
        <w:t>Accordingly, I dismiss t</w:t>
      </w:r>
      <w:r w:rsidR="003C5257">
        <w:t xml:space="preserve">he point </w:t>
      </w:r>
      <w:r w:rsidR="003C5257" w:rsidRPr="00447EEE">
        <w:rPr>
          <w:i/>
        </w:rPr>
        <w:t>in limine</w:t>
      </w:r>
      <w:r w:rsidR="0023272D">
        <w:t xml:space="preserve"> </w:t>
      </w:r>
      <w:r w:rsidR="00692BC7">
        <w:t>for lack of</w:t>
      </w:r>
      <w:r w:rsidR="0023272D">
        <w:t xml:space="preserve"> merit</w:t>
      </w:r>
      <w:r w:rsidR="00692BC7">
        <w:t>.</w:t>
      </w:r>
    </w:p>
    <w:p w:rsidR="00CE26A3" w:rsidRPr="00B10050" w:rsidRDefault="00CE26A3" w:rsidP="00B46627">
      <w:pPr>
        <w:spacing w:line="360" w:lineRule="auto"/>
        <w:jc w:val="both"/>
        <w:rPr>
          <w:sz w:val="16"/>
          <w:szCs w:val="16"/>
        </w:rPr>
      </w:pPr>
    </w:p>
    <w:p w:rsidR="00CE26A3" w:rsidRPr="008B3997" w:rsidRDefault="00CE26A3" w:rsidP="00B46627">
      <w:pPr>
        <w:spacing w:line="360" w:lineRule="auto"/>
        <w:jc w:val="both"/>
        <w:rPr>
          <w:b/>
          <w:i/>
        </w:rPr>
      </w:pPr>
      <w:r w:rsidRPr="008B3997">
        <w:rPr>
          <w:b/>
          <w:i/>
        </w:rPr>
        <w:t xml:space="preserve">That the application is not properly before the </w:t>
      </w:r>
      <w:r w:rsidR="008B3997" w:rsidRPr="008B3997">
        <w:rPr>
          <w:b/>
          <w:i/>
        </w:rPr>
        <w:t>court</w:t>
      </w:r>
    </w:p>
    <w:p w:rsidR="00351FA6" w:rsidRDefault="00672516" w:rsidP="00351FA6">
      <w:pPr>
        <w:spacing w:line="360" w:lineRule="auto"/>
        <w:jc w:val="both"/>
      </w:pPr>
      <w:r>
        <w:tab/>
      </w:r>
      <w:r w:rsidR="002D782A">
        <w:t>I now move on to consider the</w:t>
      </w:r>
      <w:r w:rsidR="006560BE">
        <w:t xml:space="preserve"> objection that this application is not properly before the court</w:t>
      </w:r>
      <w:r w:rsidR="00CA26DB">
        <w:t xml:space="preserve">. The first respondent’s argument was that the applicant was required to follow the procedure laid down in the </w:t>
      </w:r>
      <w:r w:rsidR="00BC57D5">
        <w:t>Public Procurement Act.</w:t>
      </w:r>
      <w:r w:rsidR="00351FA6">
        <w:t xml:space="preserve"> It was submitted by the applicant that it had complied with s73 and s74 of the Public Procurement Act</w:t>
      </w:r>
      <w:r w:rsidR="006A1823">
        <w:t xml:space="preserve"> and the first respondent had ignored the applicant’s challenge.</w:t>
      </w:r>
      <w:r w:rsidR="000F6BEB">
        <w:t xml:space="preserve"> It is relevant to look at these provisions in order to have a proper perspective of the </w:t>
      </w:r>
      <w:r w:rsidR="002F6056">
        <w:t xml:space="preserve">point </w:t>
      </w:r>
      <w:r w:rsidR="002F6056" w:rsidRPr="00081053">
        <w:rPr>
          <w:i/>
        </w:rPr>
        <w:t>in</w:t>
      </w:r>
      <w:r w:rsidR="002F6056">
        <w:t xml:space="preserve"> </w:t>
      </w:r>
      <w:r w:rsidR="002F6056" w:rsidRPr="002F6056">
        <w:rPr>
          <w:i/>
        </w:rPr>
        <w:t>limine</w:t>
      </w:r>
      <w:r w:rsidR="002F6056">
        <w:t xml:space="preserve"> raised by the first respondent. </w:t>
      </w:r>
      <w:r w:rsidR="00F90608">
        <w:t>I</w:t>
      </w:r>
      <w:r w:rsidR="00351FA6">
        <w:t>n terms of section 73 (1) of the Public</w:t>
      </w:r>
      <w:r w:rsidR="00F90608">
        <w:t xml:space="preserve"> Procurement Act, what must be done is</w:t>
      </w:r>
      <w:r w:rsidR="00351FA6">
        <w:t xml:space="preserve"> that:</w:t>
      </w:r>
    </w:p>
    <w:p w:rsidR="00351FA6" w:rsidRPr="0013411B" w:rsidRDefault="00351FA6" w:rsidP="00351FA6">
      <w:pPr>
        <w:spacing w:line="360" w:lineRule="auto"/>
        <w:jc w:val="both"/>
        <w:rPr>
          <w:sz w:val="6"/>
          <w:szCs w:val="6"/>
        </w:rPr>
      </w:pPr>
    </w:p>
    <w:p w:rsidR="00351FA6" w:rsidRDefault="00351FA6" w:rsidP="00351FA6">
      <w:pPr>
        <w:ind w:left="720"/>
        <w:jc w:val="both"/>
        <w:rPr>
          <w:sz w:val="22"/>
          <w:szCs w:val="22"/>
        </w:rPr>
      </w:pPr>
      <w:r w:rsidRPr="00C02F98">
        <w:rPr>
          <w:sz w:val="22"/>
          <w:szCs w:val="22"/>
        </w:rPr>
        <w:lastRenderedPageBreak/>
        <w:t>“A potential or actual bidder in procurement proceedings who claims to have suffered, or to be likely to suffer, loss or injury due to a breach of a duty imposed on a procuring entity by or under this Act, may challenge the procurement proceedings by lodging a written notice with the procuring entity in accordance with this section”.</w:t>
      </w:r>
    </w:p>
    <w:p w:rsidR="00C16101" w:rsidRPr="00C02F98" w:rsidRDefault="00C16101" w:rsidP="00C16101">
      <w:pPr>
        <w:jc w:val="both"/>
        <w:rPr>
          <w:sz w:val="22"/>
          <w:szCs w:val="22"/>
        </w:rPr>
      </w:pPr>
    </w:p>
    <w:p w:rsidR="00BF7184" w:rsidRPr="00D51209" w:rsidRDefault="00893190" w:rsidP="00B46627">
      <w:pPr>
        <w:spacing w:line="360" w:lineRule="auto"/>
        <w:jc w:val="both"/>
      </w:pPr>
      <w:r>
        <w:t xml:space="preserve">Let me start by repeating what I said earlier, that </w:t>
      </w:r>
      <w:r w:rsidR="00161DA7">
        <w:t xml:space="preserve">this application comes very soon after </w:t>
      </w:r>
      <w:r w:rsidR="0021629A">
        <w:t>the one I determined in HC 1737/22.</w:t>
      </w:r>
      <w:r>
        <w:t xml:space="preserve"> </w:t>
      </w:r>
      <w:r w:rsidR="00263B42">
        <w:t>As such, I am aware that a</w:t>
      </w:r>
      <w:r w:rsidR="002D606B">
        <w:t xml:space="preserve"> challenge on the inclusion of the inclusion of the SAP licence condition was </w:t>
      </w:r>
      <w:r>
        <w:t xml:space="preserve">made and </w:t>
      </w:r>
      <w:r w:rsidR="008D2B39">
        <w:t>the appeal to</w:t>
      </w:r>
      <w:r w:rsidR="0079062D">
        <w:t xml:space="preserve"> the second respondent is</w:t>
      </w:r>
      <w:r>
        <w:t xml:space="preserve"> awaiting determination. </w:t>
      </w:r>
      <w:r w:rsidR="00450189">
        <w:t>Counsel for the applicant contend</w:t>
      </w:r>
      <w:r w:rsidR="00063579">
        <w:t xml:space="preserve">s that </w:t>
      </w:r>
      <w:r w:rsidR="001E4BE1">
        <w:t xml:space="preserve">following the internal remedy provided by s73 is a mere academic exercise. </w:t>
      </w:r>
      <w:r w:rsidR="007908EF">
        <w:t xml:space="preserve">Given that the appeal in respect of a challenge to </w:t>
      </w:r>
      <w:r w:rsidR="003B552C">
        <w:t xml:space="preserve">tender number ZPCR29-2021 is still pending, it is easy to understand </w:t>
      </w:r>
      <w:r w:rsidR="00450189">
        <w:t>this</w:t>
      </w:r>
      <w:r w:rsidR="00DF3E21">
        <w:t xml:space="preserve"> argument. Obviously</w:t>
      </w:r>
      <w:r>
        <w:t>, the purpose of such a challenge is to ensure that the tender is not awarded to a competing bidder until it is decided, otherwise its objective is not achieved.</w:t>
      </w:r>
      <w:r w:rsidR="00DD6761">
        <w:t xml:space="preserve"> The law in this country is that an alternative remedy must be reasonable, adequate and effective.</w:t>
      </w:r>
      <w:r w:rsidR="007A035C">
        <w:t xml:space="preserve"> (See</w:t>
      </w:r>
      <w:r w:rsidR="007C6E35">
        <w:t xml:space="preserve"> </w:t>
      </w:r>
      <w:r w:rsidR="007A035C" w:rsidRPr="00C5303B">
        <w:rPr>
          <w:i/>
        </w:rPr>
        <w:t xml:space="preserve">Tribac (Pvt) Ltd </w:t>
      </w:r>
      <w:r w:rsidR="007A035C" w:rsidRPr="00D0505F">
        <w:t>v</w:t>
      </w:r>
      <w:r w:rsidR="007A035C" w:rsidRPr="00C5303B">
        <w:rPr>
          <w:i/>
        </w:rPr>
        <w:t xml:space="preserve"> Tobacco Marketing Board</w:t>
      </w:r>
      <w:r w:rsidR="007A035C">
        <w:t xml:space="preserve"> 1996 (2) ZLR 56 (SC). </w:t>
      </w:r>
      <w:r w:rsidR="001819BA">
        <w:t>In this context, I observe that</w:t>
      </w:r>
      <w:r w:rsidR="007C6E35">
        <w:t xml:space="preserve"> the statutory regime created by s73 of the Public Procurement Act does not provide for suspension of the tender process pending a decision on the challenge.</w:t>
      </w:r>
      <w:r w:rsidR="00787162">
        <w:t xml:space="preserve"> In my view, such a remedy can hardly be described as effective.</w:t>
      </w:r>
    </w:p>
    <w:p w:rsidR="00831794" w:rsidRDefault="00831794" w:rsidP="00B46627">
      <w:pPr>
        <w:spacing w:line="360" w:lineRule="auto"/>
        <w:jc w:val="both"/>
      </w:pPr>
      <w:r>
        <w:tab/>
        <w:t xml:space="preserve">The first respondent also submitted that </w:t>
      </w:r>
      <w:r w:rsidR="005A7C36">
        <w:t xml:space="preserve">the applicant ought to have utilized s74 of the Public Procurement Act and filed </w:t>
      </w:r>
      <w:r w:rsidR="00DE3712">
        <w:t>an application for review before a review panel constituted in term</w:t>
      </w:r>
      <w:r w:rsidR="00467C52">
        <w:t>s of s75 (4) of the Act</w:t>
      </w:r>
      <w:r w:rsidR="00DE3712">
        <w:t>.</w:t>
      </w:r>
      <w:r w:rsidR="00F51D75">
        <w:t xml:space="preserve"> </w:t>
      </w:r>
      <w:r w:rsidR="00CA55BE">
        <w:t xml:space="preserve">I am unable to consider the s73 separately from s74, because </w:t>
      </w:r>
      <w:r w:rsidR="002A0FD8">
        <w:t xml:space="preserve">I am aware that </w:t>
      </w:r>
      <w:r w:rsidR="00CA55BE">
        <w:t xml:space="preserve">whilst an appeal was </w:t>
      </w:r>
      <w:r w:rsidR="002A0FD8">
        <w:t>pending consideration</w:t>
      </w:r>
      <w:r w:rsidR="00013F14">
        <w:t>, the review panel in HC 1737/22 proceeded to review the applicant’</w:t>
      </w:r>
      <w:r w:rsidR="00581779">
        <w:t xml:space="preserve">s challenge. </w:t>
      </w:r>
      <w:r w:rsidR="00BC7C0C">
        <w:t>It is my view that d</w:t>
      </w:r>
      <w:r w:rsidR="00581779">
        <w:t>isrega</w:t>
      </w:r>
      <w:r w:rsidR="009E4440">
        <w:t>r</w:t>
      </w:r>
      <w:r w:rsidR="00581779">
        <w:t>ding</w:t>
      </w:r>
      <w:r w:rsidR="009E4440">
        <w:t xml:space="preserve"> a statutorily sanctioned process and going ahead with the review while an appeal was </w:t>
      </w:r>
      <w:r w:rsidR="00E23506">
        <w:t xml:space="preserve">awaiting decision </w:t>
      </w:r>
      <w:r w:rsidR="00367451">
        <w:t>is telling abou</w:t>
      </w:r>
      <w:r w:rsidR="0098105B">
        <w:t>t the inadequacy of the remedy.</w:t>
      </w:r>
      <w:r w:rsidR="00E1243D">
        <w:t xml:space="preserve"> In this respect</w:t>
      </w:r>
      <w:r w:rsidR="00E1243D" w:rsidRPr="00AA2003">
        <w:rPr>
          <w:i/>
        </w:rPr>
        <w:t>, Mhungu</w:t>
      </w:r>
      <w:r w:rsidR="00E1243D">
        <w:t xml:space="preserve"> v </w:t>
      </w:r>
      <w:r w:rsidR="00E1243D" w:rsidRPr="00AA2003">
        <w:rPr>
          <w:i/>
        </w:rPr>
        <w:t>Mtindi</w:t>
      </w:r>
      <w:r w:rsidR="00E1243D">
        <w:t xml:space="preserve"> 1986 (2) ZLR 171 (SC) at 173A-B, a court is allowed </w:t>
      </w:r>
      <w:r w:rsidR="00AA2003">
        <w:t>to refer</w:t>
      </w:r>
      <w:r w:rsidR="00E1243D">
        <w:t xml:space="preserve"> to </w:t>
      </w:r>
      <w:r w:rsidR="00AA2003">
        <w:t>its own records and take note of their contents.  At</w:t>
      </w:r>
      <w:r w:rsidR="00C83C44">
        <w:t xml:space="preserve"> any rate, </w:t>
      </w:r>
      <w:r w:rsidR="00BC42A5">
        <w:t xml:space="preserve">it is trite </w:t>
      </w:r>
      <w:r w:rsidR="00C83C44">
        <w:t>that the existence of a domestic or alternative remedy does not take away the right to approach this</w:t>
      </w:r>
      <w:r w:rsidR="00D83476">
        <w:t xml:space="preserve"> court seeking redress</w:t>
      </w:r>
      <w:r w:rsidR="00C83C44">
        <w:t xml:space="preserve">. </w:t>
      </w:r>
      <w:r w:rsidR="00BC42A5">
        <w:t xml:space="preserve">For this proposition of law, </w:t>
      </w:r>
      <w:r w:rsidR="00C83C44" w:rsidRPr="003D33AB">
        <w:rPr>
          <w:i/>
        </w:rPr>
        <w:t xml:space="preserve">Gwaradzimba N O </w:t>
      </w:r>
      <w:r w:rsidR="00C83C44" w:rsidRPr="00D0505F">
        <w:t>v</w:t>
      </w:r>
      <w:r w:rsidR="00C83C44" w:rsidRPr="003D33AB">
        <w:rPr>
          <w:i/>
        </w:rPr>
        <w:t xml:space="preserve"> Gurta </w:t>
      </w:r>
      <w:r w:rsidR="00C83C44">
        <w:t>AG SC 10-15</w:t>
      </w:r>
      <w:r w:rsidR="00CA5C44">
        <w:t xml:space="preserve"> is apposite</w:t>
      </w:r>
      <w:r w:rsidR="00C83C44">
        <w:t xml:space="preserve">. </w:t>
      </w:r>
      <w:r w:rsidR="00CA5C44">
        <w:t>For these reasons,</w:t>
      </w:r>
      <w:r w:rsidR="0098105B">
        <w:t xml:space="preserve"> there is no merit in the point </w:t>
      </w:r>
      <w:r w:rsidR="0098105B" w:rsidRPr="00D0505F">
        <w:rPr>
          <w:i/>
        </w:rPr>
        <w:t>in limine</w:t>
      </w:r>
      <w:r w:rsidR="0098105B">
        <w:t>, and I dismiss it.</w:t>
      </w:r>
      <w:r w:rsidR="00581779">
        <w:t xml:space="preserve"> </w:t>
      </w:r>
      <w:r w:rsidR="00CB3803">
        <w:t>I will now examine the final preliminary objection that the application does not disclose a cause of action.</w:t>
      </w:r>
    </w:p>
    <w:p w:rsidR="00D51209" w:rsidRPr="00D51209" w:rsidRDefault="00D51209" w:rsidP="00B46627">
      <w:pPr>
        <w:spacing w:line="360" w:lineRule="auto"/>
        <w:jc w:val="both"/>
        <w:rPr>
          <w:sz w:val="14"/>
          <w:szCs w:val="14"/>
        </w:rPr>
      </w:pPr>
    </w:p>
    <w:p w:rsidR="00AA2003" w:rsidRDefault="00AA2003" w:rsidP="00B46627">
      <w:pPr>
        <w:spacing w:line="360" w:lineRule="auto"/>
        <w:jc w:val="both"/>
        <w:rPr>
          <w:b/>
          <w:i/>
        </w:rPr>
      </w:pPr>
    </w:p>
    <w:p w:rsidR="00AA2003" w:rsidRDefault="00AA2003" w:rsidP="00B46627">
      <w:pPr>
        <w:spacing w:line="360" w:lineRule="auto"/>
        <w:jc w:val="both"/>
        <w:rPr>
          <w:b/>
          <w:i/>
        </w:rPr>
      </w:pPr>
    </w:p>
    <w:p w:rsidR="00D51209" w:rsidRPr="00D51209" w:rsidRDefault="00D51209" w:rsidP="00B46627">
      <w:pPr>
        <w:spacing w:line="360" w:lineRule="auto"/>
        <w:jc w:val="both"/>
        <w:rPr>
          <w:b/>
          <w:i/>
        </w:rPr>
      </w:pPr>
      <w:r w:rsidRPr="00D51209">
        <w:rPr>
          <w:b/>
          <w:i/>
        </w:rPr>
        <w:lastRenderedPageBreak/>
        <w:t>That the application does not disclose a cause of action</w:t>
      </w:r>
    </w:p>
    <w:p w:rsidR="00484333" w:rsidRDefault="00C84164" w:rsidP="007D6A05">
      <w:pPr>
        <w:pStyle w:val="NormalWeb"/>
        <w:shd w:val="clear" w:color="auto" w:fill="FFFFFF"/>
        <w:spacing w:before="0" w:beforeAutospacing="0" w:after="240" w:afterAutospacing="0" w:line="360" w:lineRule="auto"/>
        <w:jc w:val="both"/>
      </w:pPr>
      <w:r>
        <w:tab/>
        <w:t xml:space="preserve">The first respondent argued that the applicant had not pleaded a cause of action for the relief </w:t>
      </w:r>
      <w:r w:rsidR="007D6A05">
        <w:t xml:space="preserve">that is </w:t>
      </w:r>
      <w:r>
        <w:t xml:space="preserve">sought. </w:t>
      </w:r>
      <w:r w:rsidR="002D56BA">
        <w:t>I need to briefly examine the law on what constitutes a “cause of action” to</w:t>
      </w:r>
      <w:r w:rsidR="00C92821">
        <w:t xml:space="preserve"> determine if there is merit in the preliminary point</w:t>
      </w:r>
      <w:r w:rsidR="007D6A05">
        <w:t xml:space="preserve"> taken by the first respondent. </w:t>
      </w:r>
      <w:r w:rsidR="0087129D">
        <w:t xml:space="preserve">Perhaps it is </w:t>
      </w:r>
      <w:r w:rsidR="00A21F4A">
        <w:t>useful</w:t>
      </w:r>
      <w:r w:rsidR="0087129D">
        <w:t xml:space="preserve"> to </w:t>
      </w:r>
      <w:r w:rsidR="00986040">
        <w:t xml:space="preserve">start by stating </w:t>
      </w:r>
      <w:r w:rsidR="0087129D">
        <w:t xml:space="preserve">what is elementary. </w:t>
      </w:r>
      <w:r w:rsidR="00484333">
        <w:t xml:space="preserve">The pleadings </w:t>
      </w:r>
      <w:r w:rsidR="00F10661">
        <w:t xml:space="preserve">of a party </w:t>
      </w:r>
      <w:r w:rsidR="00484333">
        <w:t xml:space="preserve">must state in clear terms the applicant or, in the case of an action, the plaintiff’s cause of action. In my view, </w:t>
      </w:r>
      <w:r w:rsidR="00484333" w:rsidRPr="00DD33B5">
        <w:t>the purpose of pleadings is to clarify the issues between the parties that require d</w:t>
      </w:r>
      <w:r w:rsidR="00484333">
        <w:t xml:space="preserve">etermination by a court of </w:t>
      </w:r>
      <w:r w:rsidR="00B34F98">
        <w:t>law. T</w:t>
      </w:r>
      <w:r w:rsidR="00484333">
        <w:t xml:space="preserve">he courts </w:t>
      </w:r>
      <w:r w:rsidR="00B34F98">
        <w:t xml:space="preserve">have said this </w:t>
      </w:r>
      <w:r w:rsidR="00484333">
        <w:t xml:space="preserve">in a number of cases. For example, in </w:t>
      </w:r>
      <w:r w:rsidR="00484333" w:rsidRPr="00952A9F">
        <w:rPr>
          <w:i/>
        </w:rPr>
        <w:t xml:space="preserve">Durbach </w:t>
      </w:r>
      <w:r w:rsidR="00484333" w:rsidRPr="00D0505F">
        <w:t>v</w:t>
      </w:r>
      <w:r w:rsidR="00484333" w:rsidRPr="00952A9F">
        <w:rPr>
          <w:i/>
        </w:rPr>
        <w:t xml:space="preserve"> Fairway Hotel Ltd</w:t>
      </w:r>
      <w:r w:rsidR="00484333" w:rsidRPr="0050600D">
        <w:t xml:space="preserve"> 1949 (3) SA 1081 (SR)</w:t>
      </w:r>
      <w:r w:rsidR="00484333">
        <w:t xml:space="preserve">, the court made </w:t>
      </w:r>
      <w:r w:rsidR="00621C6C">
        <w:t>these self-explanatory</w:t>
      </w:r>
      <w:r w:rsidR="00484333">
        <w:t xml:space="preserve"> remarks: </w:t>
      </w:r>
    </w:p>
    <w:p w:rsidR="00484333" w:rsidRPr="00C91F3A" w:rsidRDefault="00484333" w:rsidP="00466258">
      <w:pPr>
        <w:pStyle w:val="NormalWeb"/>
        <w:shd w:val="clear" w:color="auto" w:fill="FFFFFF"/>
        <w:spacing w:before="0" w:beforeAutospacing="0" w:after="240" w:afterAutospacing="0"/>
        <w:ind w:left="720"/>
        <w:jc w:val="both"/>
        <w:rPr>
          <w:sz w:val="22"/>
          <w:szCs w:val="22"/>
        </w:rPr>
      </w:pPr>
      <w:r>
        <w:rPr>
          <w:sz w:val="22"/>
          <w:szCs w:val="22"/>
        </w:rPr>
        <w:t>“</w:t>
      </w:r>
      <w:r w:rsidRPr="00C91F3A">
        <w:rPr>
          <w:sz w:val="22"/>
          <w:szCs w:val="22"/>
        </w:rPr>
        <w:t>The whole purpose of pleadings is to bring clearly to the notice of the court and the parties to an action the issues upon</w:t>
      </w:r>
      <w:r>
        <w:rPr>
          <w:sz w:val="22"/>
          <w:szCs w:val="22"/>
        </w:rPr>
        <w:t xml:space="preserve"> which reliance is to be placed”.</w:t>
      </w:r>
    </w:p>
    <w:p w:rsidR="00484333" w:rsidRPr="00943035" w:rsidRDefault="00466258" w:rsidP="00466258">
      <w:pPr>
        <w:pStyle w:val="NormalWeb"/>
        <w:shd w:val="clear" w:color="auto" w:fill="FFFFFF"/>
        <w:spacing w:before="0" w:beforeAutospacing="0" w:after="120" w:afterAutospacing="0" w:line="360" w:lineRule="auto"/>
        <w:jc w:val="both"/>
        <w:rPr>
          <w:rFonts w:ascii="Arial" w:hAnsi="Arial" w:cs="Arial"/>
          <w:sz w:val="21"/>
          <w:szCs w:val="21"/>
        </w:rPr>
      </w:pPr>
      <w:r>
        <w:t>Let me</w:t>
      </w:r>
      <w:r w:rsidR="00484333">
        <w:t xml:space="preserve"> point out that the law on what constitutes a cause of action is settled in this jurisdiction. In this respect, this court has stated time and again that</w:t>
      </w:r>
      <w:r w:rsidR="00484333" w:rsidRPr="00080E39">
        <w:rPr>
          <w:color w:val="4A4A4A"/>
        </w:rPr>
        <w:t xml:space="preserve"> a cause of action c</w:t>
      </w:r>
      <w:r w:rsidR="00484333">
        <w:rPr>
          <w:color w:val="4A4A4A"/>
        </w:rPr>
        <w:t xml:space="preserve">onsists of all the facts that must be pleaded in order to establish the relief that is sought by that party. </w:t>
      </w:r>
      <w:r w:rsidR="00484333" w:rsidRPr="00943035">
        <w:t>In </w:t>
      </w:r>
      <w:r w:rsidR="00484333" w:rsidRPr="00943035">
        <w:rPr>
          <w:i/>
          <w:iCs/>
        </w:rPr>
        <w:t xml:space="preserve">Patel </w:t>
      </w:r>
      <w:r w:rsidR="00484333" w:rsidRPr="00D0505F">
        <w:rPr>
          <w:iCs/>
        </w:rPr>
        <w:t xml:space="preserve">v </w:t>
      </w:r>
      <w:r w:rsidR="00484333" w:rsidRPr="00943035">
        <w:rPr>
          <w:i/>
          <w:iCs/>
        </w:rPr>
        <w:t>Controller of Customs and Excise</w:t>
      </w:r>
      <w:r w:rsidR="00484333" w:rsidRPr="00943035">
        <w:t xml:space="preserve"> 1982 (2) ZLR (HC) 82 at 86C-E </w:t>
      </w:r>
      <w:r w:rsidR="00D0505F" w:rsidRPr="00D0505F">
        <w:rPr>
          <w:smallCaps/>
        </w:rPr>
        <w:t>gubbay</w:t>
      </w:r>
      <w:r w:rsidR="00D0505F" w:rsidRPr="00943035">
        <w:t xml:space="preserve"> </w:t>
      </w:r>
      <w:r w:rsidR="00484333" w:rsidRPr="00943035">
        <w:t>J (as he then was) stated that:</w:t>
      </w:r>
    </w:p>
    <w:p w:rsidR="00484333" w:rsidRPr="00943035" w:rsidRDefault="00484333" w:rsidP="00484333">
      <w:pPr>
        <w:shd w:val="clear" w:color="auto" w:fill="FFFFFF"/>
        <w:spacing w:after="165"/>
        <w:ind w:left="720"/>
        <w:jc w:val="both"/>
        <w:rPr>
          <w:rFonts w:ascii="Arial" w:hAnsi="Arial" w:cs="Arial"/>
          <w:sz w:val="21"/>
          <w:szCs w:val="21"/>
          <w:lang w:val="en-ZW" w:eastAsia="en-ZW"/>
        </w:rPr>
      </w:pPr>
      <w:r w:rsidRPr="00943035">
        <w:rPr>
          <w:lang w:val="en-ZW" w:eastAsia="en-ZW"/>
        </w:rPr>
        <w:t>"In Controller of </w:t>
      </w:r>
      <w:r w:rsidRPr="00943035">
        <w:rPr>
          <w:i/>
          <w:iCs/>
          <w:lang w:val="en-ZW" w:eastAsia="en-ZW"/>
        </w:rPr>
        <w:t xml:space="preserve">Customs </w:t>
      </w:r>
      <w:r w:rsidRPr="00D0505F">
        <w:rPr>
          <w:iCs/>
          <w:lang w:val="en-ZW" w:eastAsia="en-ZW"/>
        </w:rPr>
        <w:t xml:space="preserve">v </w:t>
      </w:r>
      <w:r w:rsidRPr="00943035">
        <w:rPr>
          <w:i/>
          <w:iCs/>
          <w:lang w:val="en-ZW" w:eastAsia="en-ZW"/>
        </w:rPr>
        <w:t>Guiffre</w:t>
      </w:r>
      <w:r w:rsidRPr="00943035">
        <w:rPr>
          <w:lang w:val="en-ZW" w:eastAsia="en-ZW"/>
        </w:rPr>
        <w:t> 1971 (2) SA 81 (R) at 84A, BECK J, in </w:t>
      </w:r>
      <w:r w:rsidRPr="00943035">
        <w:rPr>
          <w:i/>
          <w:iCs/>
          <w:lang w:val="en-ZW" w:eastAsia="en-ZW"/>
        </w:rPr>
        <w:t xml:space="preserve">Abrahamse &amp; Sons </w:t>
      </w:r>
      <w:r w:rsidRPr="00D0505F">
        <w:rPr>
          <w:iCs/>
          <w:lang w:val="en-ZW" w:eastAsia="en-ZW"/>
        </w:rPr>
        <w:t>v</w:t>
      </w:r>
      <w:r w:rsidRPr="00943035">
        <w:rPr>
          <w:i/>
          <w:iCs/>
          <w:lang w:val="en-ZW" w:eastAsia="en-ZW"/>
        </w:rPr>
        <w:t xml:space="preserve"> SA Railways and Harbours</w:t>
      </w:r>
      <w:r w:rsidRPr="00943035">
        <w:rPr>
          <w:lang w:val="en-ZW" w:eastAsia="en-ZW"/>
        </w:rPr>
        <w:t xml:space="preserve"> 1933 CPD 626 at 637 </w:t>
      </w:r>
      <w:r w:rsidR="00D0505F" w:rsidRPr="00D0505F">
        <w:rPr>
          <w:smallCaps/>
          <w:lang w:val="en-ZW" w:eastAsia="en-ZW"/>
        </w:rPr>
        <w:t>watermeyer</w:t>
      </w:r>
      <w:r w:rsidR="00D0505F" w:rsidRPr="00943035">
        <w:rPr>
          <w:lang w:val="en-ZW" w:eastAsia="en-ZW"/>
        </w:rPr>
        <w:t xml:space="preserve"> </w:t>
      </w:r>
      <w:r w:rsidRPr="00943035">
        <w:rPr>
          <w:lang w:val="en-ZW" w:eastAsia="en-ZW"/>
        </w:rPr>
        <w:t>J stated:</w:t>
      </w:r>
    </w:p>
    <w:p w:rsidR="00484333" w:rsidRPr="00943035" w:rsidRDefault="00484333" w:rsidP="00484333">
      <w:pPr>
        <w:shd w:val="clear" w:color="auto" w:fill="FFFFFF"/>
        <w:spacing w:after="165"/>
        <w:ind w:left="1440"/>
        <w:jc w:val="both"/>
        <w:rPr>
          <w:lang w:val="en-ZW" w:eastAsia="en-ZW"/>
        </w:rPr>
      </w:pPr>
      <w:r w:rsidRPr="00943035">
        <w:rPr>
          <w:lang w:val="en-ZW" w:eastAsia="en-ZW"/>
        </w:rPr>
        <w:t>"The proper legal meaning of the expression 'cause of action' is </w:t>
      </w:r>
      <w:r w:rsidRPr="00943035">
        <w:rPr>
          <w:u w:val="single"/>
          <w:lang w:val="en-ZW" w:eastAsia="en-ZW"/>
        </w:rPr>
        <w:t>the entire set of facts</w:t>
      </w:r>
      <w:r w:rsidRPr="00943035">
        <w:rPr>
          <w:lang w:val="en-ZW" w:eastAsia="en-ZW"/>
        </w:rPr>
        <w:t> which gives rise to an enforceable claim and </w:t>
      </w:r>
      <w:r w:rsidRPr="00943035">
        <w:rPr>
          <w:u w:val="single"/>
          <w:lang w:val="en-ZW" w:eastAsia="en-ZW"/>
        </w:rPr>
        <w:t>includes every act which is material to be proved to entitle a plaintiff to succeed in his claim</w:t>
      </w:r>
      <w:r w:rsidRPr="00943035">
        <w:rPr>
          <w:lang w:val="en-ZW" w:eastAsia="en-ZW"/>
        </w:rPr>
        <w:t xml:space="preserve">. It includes all that a plaintiff must set out in his declaration in order to disclose a cause of action. Such cause of action does not 'arise' or 'accrue' until the occurrence of the last of such facts and consequently the last of such facts is sometimes loosely spoken of as the cause of action. (See Halsbury, vol 1, sec 3, and the cases there cited.) </w:t>
      </w:r>
      <w:r w:rsidRPr="00943035">
        <w:rPr>
          <w:b/>
          <w:lang w:val="en-ZW" w:eastAsia="en-ZW"/>
        </w:rPr>
        <w:t>[My own emphasis].</w:t>
      </w:r>
    </w:p>
    <w:p w:rsidR="00484333" w:rsidRPr="00F65BE2" w:rsidRDefault="00484333" w:rsidP="00484333">
      <w:pPr>
        <w:pStyle w:val="NormalWeb"/>
        <w:shd w:val="clear" w:color="auto" w:fill="FFFFFF"/>
        <w:spacing w:before="0" w:beforeAutospacing="0" w:after="120" w:afterAutospacing="0" w:line="360" w:lineRule="auto"/>
        <w:ind w:firstLine="720"/>
        <w:jc w:val="both"/>
        <w:rPr>
          <w:sz w:val="22"/>
          <w:szCs w:val="22"/>
        </w:rPr>
      </w:pPr>
      <w:r>
        <w:rPr>
          <w:rStyle w:val="Emphasis"/>
        </w:rPr>
        <w:t xml:space="preserve">The same point was reinstated in </w:t>
      </w:r>
      <w:r w:rsidRPr="005026C9">
        <w:rPr>
          <w:rStyle w:val="Emphasis"/>
        </w:rPr>
        <w:t>Peebles </w:t>
      </w:r>
      <w:r w:rsidRPr="005026C9">
        <w:t>v </w:t>
      </w:r>
      <w:r w:rsidRPr="005026C9">
        <w:rPr>
          <w:rStyle w:val="Emphasis"/>
        </w:rPr>
        <w:t>Dairiboard Zimbabwe (Pvt) Ltd</w:t>
      </w:r>
      <w:r>
        <w:t xml:space="preserve"> 1999 (1) ZLR 41 (H) at 54E-F, when the concept </w:t>
      </w:r>
      <w:r w:rsidRPr="0016767D">
        <w:rPr>
          <w:i/>
        </w:rPr>
        <w:t>“cause of action”</w:t>
      </w:r>
      <w:r>
        <w:t xml:space="preserve"> was defined by </w:t>
      </w:r>
      <w:r w:rsidR="00304541" w:rsidRPr="00304541">
        <w:rPr>
          <w:smallCaps/>
        </w:rPr>
        <w:t>malaba</w:t>
      </w:r>
      <w:r>
        <w:t xml:space="preserve"> J (as he then was) to mean</w:t>
      </w:r>
      <w:r w:rsidRPr="005026C9">
        <w:t>:</w:t>
      </w:r>
    </w:p>
    <w:p w:rsidR="00484333" w:rsidRPr="00F65BE2" w:rsidRDefault="00E45171" w:rsidP="00484333">
      <w:pPr>
        <w:pStyle w:val="NormalWeb"/>
        <w:shd w:val="clear" w:color="auto" w:fill="FFFFFF"/>
        <w:spacing w:before="0" w:beforeAutospacing="0"/>
        <w:ind w:left="720"/>
        <w:jc w:val="both"/>
        <w:rPr>
          <w:sz w:val="22"/>
          <w:szCs w:val="22"/>
        </w:rPr>
      </w:pPr>
      <w:r>
        <w:rPr>
          <w:sz w:val="22"/>
          <w:szCs w:val="22"/>
        </w:rPr>
        <w:t>“</w:t>
      </w:r>
      <w:r w:rsidR="00E72B5C">
        <w:rPr>
          <w:sz w:val="22"/>
          <w:szCs w:val="22"/>
        </w:rPr>
        <w:t xml:space="preserve">… </w:t>
      </w:r>
      <w:r>
        <w:rPr>
          <w:sz w:val="22"/>
          <w:szCs w:val="22"/>
        </w:rPr>
        <w:t xml:space="preserve">every fact which it would be necessary for the plaintiff to prove if traversed in </w:t>
      </w:r>
      <w:r w:rsidR="00304541">
        <w:rPr>
          <w:sz w:val="22"/>
          <w:szCs w:val="22"/>
        </w:rPr>
        <w:t>order</w:t>
      </w:r>
      <w:r>
        <w:rPr>
          <w:sz w:val="22"/>
          <w:szCs w:val="22"/>
        </w:rPr>
        <w:t xml:space="preserve"> to support his right to the judgment of the court</w:t>
      </w:r>
      <w:r w:rsidR="00484333" w:rsidRPr="00F65BE2">
        <w:rPr>
          <w:sz w:val="22"/>
          <w:szCs w:val="22"/>
        </w:rPr>
        <w:t>”.</w:t>
      </w:r>
    </w:p>
    <w:p w:rsidR="00484333" w:rsidRDefault="00484333" w:rsidP="00484333">
      <w:pPr>
        <w:spacing w:line="360" w:lineRule="auto"/>
        <w:jc w:val="both"/>
      </w:pPr>
      <w:r>
        <w:t xml:space="preserve">See also, </w:t>
      </w:r>
      <w:r w:rsidRPr="00F349C5">
        <w:rPr>
          <w:i/>
        </w:rPr>
        <w:t xml:space="preserve">Abrahamse &amp; Sons </w:t>
      </w:r>
      <w:r w:rsidRPr="00304541">
        <w:t>v</w:t>
      </w:r>
      <w:r w:rsidRPr="00F349C5">
        <w:rPr>
          <w:i/>
        </w:rPr>
        <w:t xml:space="preserve"> SA Railways and Harbours</w:t>
      </w:r>
      <w:r>
        <w:t xml:space="preserve"> 1933 CPD 626 at 637.</w:t>
      </w:r>
    </w:p>
    <w:p w:rsidR="007D6A05" w:rsidRPr="0051740A" w:rsidRDefault="007D6A05" w:rsidP="001E060B">
      <w:pPr>
        <w:spacing w:line="360" w:lineRule="auto"/>
        <w:jc w:val="both"/>
        <w:rPr>
          <w:sz w:val="12"/>
          <w:szCs w:val="12"/>
        </w:rPr>
      </w:pPr>
    </w:p>
    <w:p w:rsidR="001E060B" w:rsidRDefault="0051740A" w:rsidP="0051740A">
      <w:pPr>
        <w:spacing w:line="360" w:lineRule="auto"/>
        <w:ind w:firstLine="720"/>
        <w:jc w:val="both"/>
      </w:pPr>
      <w:r>
        <w:lastRenderedPageBreak/>
        <w:t xml:space="preserve">Now I return to the basis of </w:t>
      </w:r>
      <w:r w:rsidR="00905402">
        <w:t xml:space="preserve">the first respondent’s point </w:t>
      </w:r>
      <w:r w:rsidR="00905402" w:rsidRPr="00447EEE">
        <w:rPr>
          <w:i/>
        </w:rPr>
        <w:t>in</w:t>
      </w:r>
      <w:r w:rsidR="00905402">
        <w:t xml:space="preserve"> </w:t>
      </w:r>
      <w:r w:rsidR="00905402" w:rsidRPr="00905402">
        <w:rPr>
          <w:i/>
        </w:rPr>
        <w:t>limine</w:t>
      </w:r>
      <w:r w:rsidR="00905402">
        <w:t xml:space="preserve">. </w:t>
      </w:r>
      <w:r w:rsidR="007D6A05">
        <w:t xml:space="preserve">Its submission was that, as the applicant had not participated in tender number ZPCR33/22, he cannot seek to interdict that process as it would not meet the requirements for an interdict. The applicant disagreed and maintained that it had set out the cause of action in its application. It contended that the parties cited </w:t>
      </w:r>
      <w:r w:rsidR="007D6A05" w:rsidRPr="00447EEE">
        <w:rPr>
          <w:i/>
        </w:rPr>
        <w:t>in casu</w:t>
      </w:r>
      <w:r w:rsidR="007D6A05">
        <w:t xml:space="preserve"> are those against whom t</w:t>
      </w:r>
      <w:r w:rsidR="002F15A0">
        <w:t xml:space="preserve">he order in HC 1737/22 operate. The applicant </w:t>
      </w:r>
      <w:r w:rsidR="007D6A05">
        <w:t>submitted that a judicial finding was made by this court that the first and second respondents had conducted the tender process unlawfully by ignoring s73, s74 and s75 of the Public Procurement Act. It is common cause that the interim relief was granted by consent of the parties. The applicant s</w:t>
      </w:r>
      <w:r w:rsidR="00E667B8">
        <w:t>eeks, as final relief, the cancellation</w:t>
      </w:r>
      <w:r w:rsidR="007D6A05">
        <w:t xml:space="preserve"> and </w:t>
      </w:r>
      <w:r w:rsidR="00E667B8">
        <w:t>nullification of</w:t>
      </w:r>
      <w:r w:rsidR="007D6A05">
        <w:t xml:space="preserve"> the</w:t>
      </w:r>
      <w:r w:rsidR="007D6A05" w:rsidRPr="001E060B">
        <w:t xml:space="preserve"> procurement process i</w:t>
      </w:r>
      <w:r w:rsidR="00E667B8">
        <w:t>nitiated</w:t>
      </w:r>
      <w:r w:rsidR="007D6A05" w:rsidRPr="001E060B">
        <w:t xml:space="preserve"> under</w:t>
      </w:r>
      <w:r w:rsidR="007D6A05">
        <w:t xml:space="preserve"> tender</w:t>
      </w:r>
      <w:r w:rsidR="007D6A05" w:rsidRPr="001E060B">
        <w:t xml:space="preserve"> reference Domestic ZPCR 33-2022</w:t>
      </w:r>
      <w:r w:rsidR="007D6A05">
        <w:t>. The basis for this is that the first respondent cannot be allowed to institute</w:t>
      </w:r>
      <w:r w:rsidR="00AA2003">
        <w:t xml:space="preserve"> a</w:t>
      </w:r>
      <w:r w:rsidR="007D6A05">
        <w:t xml:space="preserve"> new procurement process as it violates s 28 (2) and s 73 of the Public Procurement Act,</w:t>
      </w:r>
      <w:r w:rsidR="002F15A0">
        <w:t xml:space="preserve"> and I have already </w:t>
      </w:r>
      <w:r w:rsidR="006C06E5">
        <w:t>summarized the applicant’s pleadings in that respect</w:t>
      </w:r>
      <w:r w:rsidR="00D802E8">
        <w:t>. To me t</w:t>
      </w:r>
      <w:r w:rsidR="007D6A05">
        <w:t>he pleadings are clear on the relief that the applicant seeks</w:t>
      </w:r>
      <w:r w:rsidR="00AA2003">
        <w:t xml:space="preserve"> and its foundation</w:t>
      </w:r>
      <w:r w:rsidR="004277F0">
        <w:t>. T</w:t>
      </w:r>
      <w:r w:rsidR="007D6A05">
        <w:t xml:space="preserve">here is </w:t>
      </w:r>
      <w:r w:rsidR="004277F0">
        <w:t xml:space="preserve">therefore </w:t>
      </w:r>
      <w:r w:rsidR="007D6A05">
        <w:t>no basis for the submission that no cause of action has been pleaded.</w:t>
      </w:r>
      <w:r w:rsidR="004277F0">
        <w:t xml:space="preserve"> </w:t>
      </w:r>
      <w:r w:rsidR="007A1F57">
        <w:t xml:space="preserve">I </w:t>
      </w:r>
      <w:r w:rsidR="004277F0">
        <w:t xml:space="preserve">will also </w:t>
      </w:r>
      <w:r w:rsidR="007A1F57">
        <w:t xml:space="preserve">dismiss this point </w:t>
      </w:r>
      <w:r w:rsidR="007A1F57" w:rsidRPr="00304541">
        <w:rPr>
          <w:i/>
        </w:rPr>
        <w:t>in limine</w:t>
      </w:r>
      <w:r w:rsidR="007A1F57">
        <w:t>.</w:t>
      </w:r>
    </w:p>
    <w:p w:rsidR="00257651" w:rsidRDefault="00484333" w:rsidP="00792895">
      <w:pPr>
        <w:spacing w:line="360" w:lineRule="auto"/>
        <w:jc w:val="both"/>
      </w:pPr>
      <w:r>
        <w:tab/>
      </w:r>
    </w:p>
    <w:p w:rsidR="008D38FE" w:rsidRPr="008D38FE" w:rsidRDefault="00792895" w:rsidP="00A22475">
      <w:pPr>
        <w:spacing w:line="360" w:lineRule="auto"/>
        <w:jc w:val="both"/>
        <w:rPr>
          <w:b/>
        </w:rPr>
      </w:pPr>
      <w:r>
        <w:rPr>
          <w:b/>
        </w:rPr>
        <w:t>Merits</w:t>
      </w:r>
      <w:r w:rsidR="008D38FE" w:rsidRPr="008D38FE">
        <w:rPr>
          <w:b/>
        </w:rPr>
        <w:t xml:space="preserve"> of the case</w:t>
      </w:r>
    </w:p>
    <w:p w:rsidR="00D109F3" w:rsidRDefault="00D109F3" w:rsidP="00A22475">
      <w:pPr>
        <w:spacing w:line="360" w:lineRule="auto"/>
        <w:jc w:val="both"/>
      </w:pPr>
      <w:r>
        <w:tab/>
      </w:r>
      <w:r w:rsidR="004F6333">
        <w:t>The applicant contended that by ins</w:t>
      </w:r>
      <w:r w:rsidR="002E3685">
        <w:t>tituting a fresh tender process, the first respondent violated and ignored s73, s74 and s75 of the Public Procurement Act</w:t>
      </w:r>
      <w:r w:rsidR="002B414E">
        <w:t xml:space="preserve"> in a contemptuous manner. I have already observed in this judgment that </w:t>
      </w:r>
      <w:r w:rsidR="009C532E">
        <w:t xml:space="preserve">the first respondent continued with the tender process despite an appeal which was lodged by the applicant and is still pending. </w:t>
      </w:r>
      <w:r w:rsidR="006A3897">
        <w:t>The appeal required a decision on the propriety or otherwise of including a condition which required</w:t>
      </w:r>
      <w:r w:rsidR="004F6333">
        <w:t xml:space="preserve"> </w:t>
      </w:r>
      <w:r w:rsidR="00470CE1">
        <w:t xml:space="preserve">a bidder to hold a SAP license. Despite the pendency of an appeal on this issue, the </w:t>
      </w:r>
      <w:r w:rsidR="00E73BD9">
        <w:t>review panel proceeded to hear and determine the review on the applicant’s challenge to the tender process.</w:t>
      </w:r>
      <w:r w:rsidR="00884749">
        <w:t xml:space="preserve"> In fact, as arg</w:t>
      </w:r>
      <w:r w:rsidR="00AA2003">
        <w:t>ued by Counsel for the applicant</w:t>
      </w:r>
      <w:r w:rsidR="00884749">
        <w:t xml:space="preserve">, the review panel went on to </w:t>
      </w:r>
      <w:r w:rsidR="00773A27">
        <w:t>state as follows</w:t>
      </w:r>
      <w:r w:rsidR="00B575D3">
        <w:t>:</w:t>
      </w:r>
    </w:p>
    <w:p w:rsidR="00B575D3" w:rsidRPr="000C72B0" w:rsidRDefault="00B575D3" w:rsidP="000F26EA">
      <w:pPr>
        <w:jc w:val="both"/>
        <w:rPr>
          <w:sz w:val="12"/>
          <w:szCs w:val="12"/>
        </w:rPr>
      </w:pPr>
    </w:p>
    <w:p w:rsidR="00B575D3" w:rsidRDefault="00B575D3" w:rsidP="000F26EA">
      <w:pPr>
        <w:ind w:left="720"/>
        <w:jc w:val="both"/>
        <w:rPr>
          <w:sz w:val="22"/>
          <w:szCs w:val="22"/>
        </w:rPr>
      </w:pPr>
      <w:r w:rsidRPr="000F26EA">
        <w:rPr>
          <w:sz w:val="22"/>
          <w:szCs w:val="22"/>
        </w:rPr>
        <w:t>“Ultimately, there was only one issue to decide the challenge</w:t>
      </w:r>
      <w:r w:rsidR="00B607A4" w:rsidRPr="000F26EA">
        <w:rPr>
          <w:sz w:val="22"/>
          <w:szCs w:val="22"/>
        </w:rPr>
        <w:t>:</w:t>
      </w:r>
      <w:r w:rsidRPr="000F26EA">
        <w:rPr>
          <w:sz w:val="22"/>
          <w:szCs w:val="22"/>
        </w:rPr>
        <w:t xml:space="preserve"> </w:t>
      </w:r>
      <w:r w:rsidR="00B607A4" w:rsidRPr="000F26EA">
        <w:rPr>
          <w:sz w:val="22"/>
          <w:szCs w:val="22"/>
        </w:rPr>
        <w:t>whether the inclusion of clause 10 of the bidding procedures was lawful.</w:t>
      </w:r>
      <w:r w:rsidR="009A2800" w:rsidRPr="000F26EA">
        <w:rPr>
          <w:sz w:val="22"/>
          <w:szCs w:val="22"/>
        </w:rPr>
        <w:t xml:space="preserve"> Clause 10 of the bidding procedures reads as follows:</w:t>
      </w:r>
    </w:p>
    <w:p w:rsidR="00BF149A" w:rsidRPr="00BF149A" w:rsidRDefault="00BF149A" w:rsidP="000F26EA">
      <w:pPr>
        <w:ind w:left="720"/>
        <w:jc w:val="both"/>
        <w:rPr>
          <w:sz w:val="6"/>
          <w:szCs w:val="6"/>
        </w:rPr>
      </w:pPr>
    </w:p>
    <w:p w:rsidR="009A2800" w:rsidRPr="000F26EA" w:rsidRDefault="002C7B27" w:rsidP="000F26EA">
      <w:pPr>
        <w:ind w:left="1440"/>
        <w:jc w:val="both"/>
        <w:rPr>
          <w:sz w:val="22"/>
          <w:szCs w:val="22"/>
        </w:rPr>
      </w:pPr>
      <w:r w:rsidRPr="000F26EA">
        <w:rPr>
          <w:sz w:val="22"/>
          <w:szCs w:val="22"/>
        </w:rPr>
        <w:t>‘10. Bidding companies</w:t>
      </w:r>
      <w:r w:rsidR="00F527CD" w:rsidRPr="000F26EA">
        <w:rPr>
          <w:sz w:val="22"/>
          <w:szCs w:val="22"/>
        </w:rPr>
        <w:t xml:space="preserve"> should provide proof of being a SAP certified partner to </w:t>
      </w:r>
      <w:r w:rsidR="00114088" w:rsidRPr="000F26EA">
        <w:rPr>
          <w:sz w:val="22"/>
          <w:szCs w:val="22"/>
        </w:rPr>
        <w:t>carry out the required services’.</w:t>
      </w:r>
      <w:r w:rsidR="009A2800" w:rsidRPr="000F26EA">
        <w:rPr>
          <w:sz w:val="22"/>
          <w:szCs w:val="22"/>
        </w:rPr>
        <w:t xml:space="preserve"> </w:t>
      </w:r>
    </w:p>
    <w:p w:rsidR="00924D99" w:rsidRPr="000F26EA" w:rsidRDefault="00924D99" w:rsidP="000F26EA">
      <w:pPr>
        <w:jc w:val="both"/>
        <w:rPr>
          <w:sz w:val="22"/>
          <w:szCs w:val="22"/>
        </w:rPr>
      </w:pPr>
      <w:r w:rsidRPr="000F26EA">
        <w:rPr>
          <w:sz w:val="22"/>
          <w:szCs w:val="22"/>
        </w:rPr>
        <w:tab/>
        <w:t>…</w:t>
      </w:r>
    </w:p>
    <w:p w:rsidR="00924D99" w:rsidRPr="000F26EA" w:rsidRDefault="00924D99" w:rsidP="000F26EA">
      <w:pPr>
        <w:ind w:left="720"/>
        <w:jc w:val="both"/>
        <w:rPr>
          <w:sz w:val="22"/>
          <w:szCs w:val="22"/>
        </w:rPr>
      </w:pPr>
      <w:r w:rsidRPr="000F26EA">
        <w:rPr>
          <w:sz w:val="22"/>
          <w:szCs w:val="22"/>
        </w:rPr>
        <w:t xml:space="preserve">The panel is unable to agree with the applicant that clause 10 </w:t>
      </w:r>
      <w:r w:rsidR="00E55463" w:rsidRPr="000F26EA">
        <w:rPr>
          <w:sz w:val="22"/>
          <w:szCs w:val="22"/>
        </w:rPr>
        <w:t xml:space="preserve">is problematic. The requirement to be </w:t>
      </w:r>
      <w:r w:rsidR="000F26EA" w:rsidRPr="000F26EA">
        <w:rPr>
          <w:sz w:val="22"/>
          <w:szCs w:val="22"/>
        </w:rPr>
        <w:t>a SAP partner does not appear to be onerous”.</w:t>
      </w:r>
      <w:r w:rsidR="00E55463" w:rsidRPr="000F26EA">
        <w:rPr>
          <w:sz w:val="22"/>
          <w:szCs w:val="22"/>
        </w:rPr>
        <w:t xml:space="preserve"> </w:t>
      </w:r>
    </w:p>
    <w:p w:rsidR="007729AE" w:rsidRDefault="007729AE" w:rsidP="00304C44">
      <w:pPr>
        <w:jc w:val="both"/>
      </w:pPr>
    </w:p>
    <w:p w:rsidR="008449C4" w:rsidRDefault="00AA15C6" w:rsidP="00BF149A">
      <w:pPr>
        <w:spacing w:line="360" w:lineRule="auto"/>
        <w:jc w:val="both"/>
      </w:pPr>
      <w:r>
        <w:lastRenderedPageBreak/>
        <w:t>The applicant</w:t>
      </w:r>
      <w:r w:rsidR="00650156">
        <w:t xml:space="preserve"> argued that</w:t>
      </w:r>
      <w:r>
        <w:t>,</w:t>
      </w:r>
      <w:r w:rsidR="00650156">
        <w:t xml:space="preserve"> </w:t>
      </w:r>
      <w:r>
        <w:t xml:space="preserve">in HC 1737/22, this court set aside the decision of the review panel including </w:t>
      </w:r>
      <w:r w:rsidR="00BF149A">
        <w:t>its finding above</w:t>
      </w:r>
      <w:r w:rsidR="00773A27">
        <w:t xml:space="preserve">, which pronounce on the propriety of Clause 10 of the </w:t>
      </w:r>
      <w:r w:rsidR="0088278B">
        <w:t>bidding documents.</w:t>
      </w:r>
      <w:r w:rsidR="00CB1DE1">
        <w:t xml:space="preserve"> </w:t>
      </w:r>
      <w:r w:rsidR="0061251A">
        <w:t xml:space="preserve">There can be no doubt that once set aside, the above conclusions on Clause 10 were also set </w:t>
      </w:r>
      <w:r w:rsidR="003C79DC">
        <w:t xml:space="preserve">aside, and for a good reason I must say. </w:t>
      </w:r>
      <w:r w:rsidR="00CB1DE1">
        <w:t>I</w:t>
      </w:r>
      <w:r w:rsidR="0031543E">
        <w:t>n the first tender process</w:t>
      </w:r>
      <w:r w:rsidR="003C79DC">
        <w:t xml:space="preserve"> (under tender number ZPCR29-2021</w:t>
      </w:r>
      <w:r w:rsidR="00E850F8">
        <w:t>)</w:t>
      </w:r>
      <w:r w:rsidR="0031543E">
        <w:t xml:space="preserve">, </w:t>
      </w:r>
      <w:r w:rsidR="00CB1DE1">
        <w:t xml:space="preserve">the </w:t>
      </w:r>
      <w:r w:rsidR="0031543E">
        <w:t>first respondent should have allowed</w:t>
      </w:r>
      <w:r w:rsidR="006444D7">
        <w:t xml:space="preserve"> the internal appeal to be</w:t>
      </w:r>
      <w:r w:rsidR="00D75D88">
        <w:t xml:space="preserve"> concluded</w:t>
      </w:r>
      <w:r w:rsidR="006444D7">
        <w:t xml:space="preserve"> in order for a decisive position </w:t>
      </w:r>
      <w:r w:rsidR="0008028D">
        <w:t xml:space="preserve">on Clause 10 </w:t>
      </w:r>
      <w:r w:rsidR="006444D7">
        <w:t xml:space="preserve">to </w:t>
      </w:r>
      <w:r w:rsidR="0008028D">
        <w:t>come out</w:t>
      </w:r>
      <w:r w:rsidR="0031543E">
        <w:t xml:space="preserve">. </w:t>
      </w:r>
      <w:r w:rsidR="00D75D88">
        <w:t>T</w:t>
      </w:r>
      <w:r w:rsidR="008449C4">
        <w:t>he importance of doing so is underlined by s 28 (3) of the Public Procurement Act which provides:</w:t>
      </w:r>
    </w:p>
    <w:p w:rsidR="008449C4" w:rsidRPr="00B26C18" w:rsidRDefault="008449C4" w:rsidP="00BF149A">
      <w:pPr>
        <w:spacing w:line="360" w:lineRule="auto"/>
        <w:jc w:val="both"/>
        <w:rPr>
          <w:sz w:val="8"/>
          <w:szCs w:val="8"/>
        </w:rPr>
      </w:pPr>
    </w:p>
    <w:p w:rsidR="003072C6" w:rsidRDefault="008449C4" w:rsidP="00B26C18">
      <w:pPr>
        <w:ind w:left="720"/>
        <w:jc w:val="both"/>
        <w:rPr>
          <w:sz w:val="22"/>
          <w:szCs w:val="22"/>
        </w:rPr>
      </w:pPr>
      <w:r w:rsidRPr="00B26C18">
        <w:rPr>
          <w:sz w:val="22"/>
          <w:szCs w:val="22"/>
        </w:rPr>
        <w:t>“</w:t>
      </w:r>
      <w:r w:rsidR="00C45AE5" w:rsidRPr="007015AD">
        <w:rPr>
          <w:sz w:val="22"/>
          <w:szCs w:val="22"/>
          <w:u w:val="single"/>
        </w:rPr>
        <w:t>Procuring entities shall not impose eligibility criteria that are unduly restrictive or designed to reduce competition</w:t>
      </w:r>
      <w:r w:rsidR="00C45AE5" w:rsidRPr="00B26C18">
        <w:rPr>
          <w:sz w:val="22"/>
          <w:szCs w:val="22"/>
        </w:rPr>
        <w:t xml:space="preserve"> and shall prepare them for each procurement requirement</w:t>
      </w:r>
      <w:r w:rsidR="00B26C18" w:rsidRPr="00B26C18">
        <w:rPr>
          <w:sz w:val="22"/>
          <w:szCs w:val="22"/>
        </w:rPr>
        <w:t>, taking into account the size, complexity and technical requirements of the proposed procurement contract”.</w:t>
      </w:r>
    </w:p>
    <w:p w:rsidR="008449C4" w:rsidRPr="00B26C18" w:rsidRDefault="00C45AE5" w:rsidP="00B26C18">
      <w:pPr>
        <w:ind w:left="720"/>
        <w:jc w:val="both"/>
        <w:rPr>
          <w:sz w:val="22"/>
          <w:szCs w:val="22"/>
        </w:rPr>
      </w:pPr>
      <w:r w:rsidRPr="00B26C18">
        <w:rPr>
          <w:sz w:val="22"/>
          <w:szCs w:val="22"/>
        </w:rPr>
        <w:t xml:space="preserve"> </w:t>
      </w:r>
      <w:r w:rsidR="007015AD" w:rsidRPr="003072C6">
        <w:rPr>
          <w:b/>
          <w:sz w:val="22"/>
          <w:szCs w:val="22"/>
        </w:rPr>
        <w:t>[My own emphasis]</w:t>
      </w:r>
    </w:p>
    <w:p w:rsidR="007015AD" w:rsidRPr="00226803" w:rsidRDefault="007015AD" w:rsidP="00BF149A">
      <w:pPr>
        <w:spacing w:line="360" w:lineRule="auto"/>
        <w:jc w:val="both"/>
        <w:rPr>
          <w:sz w:val="20"/>
          <w:szCs w:val="20"/>
        </w:rPr>
      </w:pPr>
    </w:p>
    <w:p w:rsidR="00E16EED" w:rsidRDefault="006444D7" w:rsidP="00BF149A">
      <w:pPr>
        <w:spacing w:line="360" w:lineRule="auto"/>
        <w:jc w:val="both"/>
      </w:pPr>
      <w:r>
        <w:t xml:space="preserve">  </w:t>
      </w:r>
      <w:r w:rsidR="00BF149A">
        <w:t xml:space="preserve"> </w:t>
      </w:r>
      <w:r w:rsidR="00226803">
        <w:t>Because of the above provision and the fact that</w:t>
      </w:r>
      <w:r w:rsidR="00377B75">
        <w:t xml:space="preserve"> no decision was made on the pending appeal</w:t>
      </w:r>
      <w:r w:rsidR="00226803">
        <w:t xml:space="preserve"> </w:t>
      </w:r>
      <w:r w:rsidR="00032A02">
        <w:t xml:space="preserve">in respect of tender number ZPCR29-202, the applicant contended that the first respondent could not </w:t>
      </w:r>
      <w:r w:rsidR="00A57123">
        <w:t>institute a parallel tender process in the face of another unterminated process.</w:t>
      </w:r>
      <w:r w:rsidR="00C05BA3">
        <w:t xml:space="preserve"> </w:t>
      </w:r>
      <w:r w:rsidR="00061056">
        <w:t>It is significant</w:t>
      </w:r>
      <w:r w:rsidR="00C05BA3">
        <w:t xml:space="preserve"> that both the first respondent and its Cou</w:t>
      </w:r>
      <w:r w:rsidR="009D029D">
        <w:t>nsel have not said or provided anything to show that the</w:t>
      </w:r>
      <w:r w:rsidR="00C05BA3">
        <w:t xml:space="preserve"> appeal </w:t>
      </w:r>
      <w:r w:rsidR="009D029D">
        <w:t>was</w:t>
      </w:r>
      <w:r w:rsidR="00C05BA3">
        <w:t xml:space="preserve"> determined. </w:t>
      </w:r>
      <w:r w:rsidR="007D60FA">
        <w:t xml:space="preserve"> I have already dealt with </w:t>
      </w:r>
      <w:r w:rsidR="0079062D">
        <w:t xml:space="preserve">this. </w:t>
      </w:r>
      <w:r w:rsidR="007B285E">
        <w:t>Of course, t</w:t>
      </w:r>
      <w:r w:rsidR="00A942B9">
        <w:t xml:space="preserve">hat process </w:t>
      </w:r>
      <w:r w:rsidR="00DA2EEC">
        <w:t>m</w:t>
      </w:r>
      <w:r w:rsidR="007B285E">
        <w:t xml:space="preserve">ust be completed in order to bring </w:t>
      </w:r>
      <w:r w:rsidR="00DC65F7">
        <w:t>tender number ZPCR29-2021 to a conclusion</w:t>
      </w:r>
      <w:r w:rsidR="00DA2EEC">
        <w:t>. In my view, the</w:t>
      </w:r>
      <w:r w:rsidR="00E70F2B">
        <w:t xml:space="preserve"> pen</w:t>
      </w:r>
      <w:r w:rsidR="00DA2EEC">
        <w:t xml:space="preserve">dency of that appeal </w:t>
      </w:r>
      <w:r w:rsidR="00A942B9">
        <w:t xml:space="preserve">gives the applicant </w:t>
      </w:r>
      <w:r w:rsidR="00DA2EEC">
        <w:t xml:space="preserve">the right </w:t>
      </w:r>
      <w:r w:rsidR="00A942B9">
        <w:t>to make the application for an interdict which is before me.</w:t>
      </w:r>
      <w:r w:rsidR="00304541">
        <w:t xml:space="preserve"> </w:t>
      </w:r>
      <w:r w:rsidR="00A30CE9">
        <w:t xml:space="preserve"> Additionally, the </w:t>
      </w:r>
      <w:r w:rsidR="00212D5B">
        <w:t xml:space="preserve">first respondent cannot sustain the </w:t>
      </w:r>
      <w:r w:rsidR="00A30CE9">
        <w:t xml:space="preserve">argument </w:t>
      </w:r>
      <w:r w:rsidR="00212D5B">
        <w:t xml:space="preserve">that the tender </w:t>
      </w:r>
      <w:r w:rsidR="004824D4">
        <w:t>which is subject of these proceedings was done in order to correct irregularities. If anything, this</w:t>
      </w:r>
      <w:r w:rsidR="007D60FA">
        <w:t xml:space="preserve"> new</w:t>
      </w:r>
      <w:r w:rsidR="004824D4">
        <w:t xml:space="preserve"> tender compounds the irregularities since </w:t>
      </w:r>
      <w:r w:rsidR="00E23D22">
        <w:t xml:space="preserve">the tender under number ZPCR29-2021 remains uncompleted until a decision is made on the appeal. </w:t>
      </w:r>
      <w:r w:rsidR="00E16EED">
        <w:t xml:space="preserve">It is not enough for the first respondent to argue that the judgment in HC 1737/22 </w:t>
      </w:r>
      <w:r w:rsidR="00D90FC4">
        <w:t>was set aside on the ground that the panel was not properly constituted</w:t>
      </w:r>
      <w:r w:rsidR="00DA26D1">
        <w:t xml:space="preserve">, and the first respondent was at liberty to start the process anew. </w:t>
      </w:r>
      <w:r w:rsidR="00264309">
        <w:t xml:space="preserve">Rather, the correct position was to deal with the unfinished business of the appeal first. </w:t>
      </w:r>
      <w:r w:rsidR="00003248">
        <w:t xml:space="preserve">It is apparent that the first respondent is unaware of the relief that the applicant is seeking. </w:t>
      </w:r>
      <w:r w:rsidR="003015A5">
        <w:t>L</w:t>
      </w:r>
      <w:r w:rsidR="00FC1FC9">
        <w:t>et me set out</w:t>
      </w:r>
      <w:r w:rsidR="003015A5">
        <w:t xml:space="preserve"> once again the </w:t>
      </w:r>
      <w:r w:rsidR="00EB38DA">
        <w:t>terms, of</w:t>
      </w:r>
      <w:r w:rsidR="003015A5">
        <w:t xml:space="preserve"> the final order sought, which are as follows:</w:t>
      </w:r>
    </w:p>
    <w:p w:rsidR="003015A5" w:rsidRPr="0086444D" w:rsidRDefault="003015A5" w:rsidP="00BF149A">
      <w:pPr>
        <w:spacing w:line="360" w:lineRule="auto"/>
        <w:jc w:val="both"/>
        <w:rPr>
          <w:sz w:val="16"/>
          <w:szCs w:val="16"/>
        </w:rPr>
      </w:pPr>
    </w:p>
    <w:p w:rsidR="003015A5" w:rsidRDefault="003015A5" w:rsidP="003015A5">
      <w:pPr>
        <w:ind w:left="720"/>
        <w:jc w:val="both"/>
        <w:rPr>
          <w:sz w:val="22"/>
          <w:szCs w:val="22"/>
        </w:rPr>
      </w:pPr>
      <w:r>
        <w:t>“</w:t>
      </w:r>
      <w:r>
        <w:rPr>
          <w:sz w:val="22"/>
          <w:szCs w:val="22"/>
        </w:rPr>
        <w:t xml:space="preserve">That you show cause to this honourable court why a final order should not be made in the following terms: </w:t>
      </w:r>
    </w:p>
    <w:p w:rsidR="003015A5" w:rsidRPr="0097151E" w:rsidRDefault="003015A5" w:rsidP="003015A5">
      <w:pPr>
        <w:ind w:left="720"/>
        <w:jc w:val="both"/>
        <w:rPr>
          <w:sz w:val="12"/>
          <w:szCs w:val="12"/>
        </w:rPr>
      </w:pPr>
    </w:p>
    <w:p w:rsidR="003015A5" w:rsidRDefault="003015A5" w:rsidP="003015A5">
      <w:pPr>
        <w:pStyle w:val="ListParagraph"/>
        <w:numPr>
          <w:ilvl w:val="0"/>
          <w:numId w:val="24"/>
        </w:numPr>
        <w:jc w:val="both"/>
        <w:rPr>
          <w:sz w:val="22"/>
          <w:szCs w:val="22"/>
        </w:rPr>
      </w:pPr>
      <w:r>
        <w:rPr>
          <w:sz w:val="22"/>
          <w:szCs w:val="22"/>
        </w:rPr>
        <w:t>The interim relief be and is hereby confirmed.</w:t>
      </w:r>
    </w:p>
    <w:p w:rsidR="003015A5" w:rsidRPr="003C3896" w:rsidRDefault="003015A5" w:rsidP="003015A5">
      <w:pPr>
        <w:pStyle w:val="ListParagraph"/>
        <w:ind w:left="1080"/>
        <w:jc w:val="both"/>
        <w:rPr>
          <w:sz w:val="6"/>
          <w:szCs w:val="6"/>
        </w:rPr>
      </w:pPr>
    </w:p>
    <w:p w:rsidR="003015A5" w:rsidRDefault="003015A5" w:rsidP="003015A5">
      <w:pPr>
        <w:pStyle w:val="ListParagraph"/>
        <w:numPr>
          <w:ilvl w:val="0"/>
          <w:numId w:val="24"/>
        </w:numPr>
        <w:jc w:val="both"/>
        <w:rPr>
          <w:sz w:val="22"/>
          <w:szCs w:val="22"/>
        </w:rPr>
      </w:pPr>
      <w:r>
        <w:rPr>
          <w:sz w:val="22"/>
          <w:szCs w:val="22"/>
        </w:rPr>
        <w:lastRenderedPageBreak/>
        <w:t>The procurement process initiated by the first respondent who administers the Zimbabwe Manpower Development Fund under reference Domestic ZPCR 33-2022 be and is hereby cancelled and nullified.</w:t>
      </w:r>
    </w:p>
    <w:p w:rsidR="003015A5" w:rsidRPr="003C3896" w:rsidRDefault="003015A5" w:rsidP="003015A5">
      <w:pPr>
        <w:jc w:val="both"/>
        <w:rPr>
          <w:sz w:val="6"/>
          <w:szCs w:val="6"/>
        </w:rPr>
      </w:pPr>
    </w:p>
    <w:p w:rsidR="003015A5" w:rsidRPr="000F5F55" w:rsidRDefault="003015A5" w:rsidP="003015A5">
      <w:pPr>
        <w:pStyle w:val="ListParagraph"/>
        <w:numPr>
          <w:ilvl w:val="0"/>
          <w:numId w:val="24"/>
        </w:numPr>
        <w:jc w:val="both"/>
        <w:rPr>
          <w:sz w:val="22"/>
          <w:szCs w:val="22"/>
        </w:rPr>
      </w:pPr>
      <w:r>
        <w:rPr>
          <w:sz w:val="22"/>
          <w:szCs w:val="22"/>
        </w:rPr>
        <w:t>The first respondent shall pay costs of this application on a legal practitioner and client scale”.</w:t>
      </w:r>
    </w:p>
    <w:p w:rsidR="003015A5" w:rsidRDefault="003015A5" w:rsidP="00BF149A">
      <w:pPr>
        <w:spacing w:line="360" w:lineRule="auto"/>
        <w:jc w:val="both"/>
      </w:pPr>
    </w:p>
    <w:p w:rsidR="00112BEB" w:rsidRDefault="00D52A1E" w:rsidP="00BF149A">
      <w:pPr>
        <w:spacing w:line="360" w:lineRule="auto"/>
        <w:jc w:val="both"/>
      </w:pPr>
      <w:r>
        <w:t xml:space="preserve">For the avoidance of doubt, the interim relief </w:t>
      </w:r>
      <w:r w:rsidR="00112BEB">
        <w:t>to be confirmed, which was granted by consent</w:t>
      </w:r>
      <w:r w:rsidR="00D73EBD">
        <w:t xml:space="preserve">, </w:t>
      </w:r>
      <w:r w:rsidR="00D73EBD" w:rsidRPr="00C76CE7">
        <w:rPr>
          <w:i/>
        </w:rPr>
        <w:t>inter alia</w:t>
      </w:r>
      <w:r w:rsidR="00D73EBD">
        <w:t>,</w:t>
      </w:r>
      <w:r w:rsidR="00112BEB">
        <w:t xml:space="preserve"> reads as follows:</w:t>
      </w:r>
    </w:p>
    <w:p w:rsidR="00112BEB" w:rsidRDefault="00112BEB" w:rsidP="00C77627">
      <w:pPr>
        <w:pStyle w:val="ListParagraph"/>
        <w:ind w:left="1080"/>
        <w:jc w:val="both"/>
        <w:rPr>
          <w:sz w:val="22"/>
          <w:szCs w:val="22"/>
        </w:rPr>
      </w:pPr>
      <w:r>
        <w:t>“</w:t>
      </w:r>
      <w:r>
        <w:rPr>
          <w:sz w:val="22"/>
          <w:szCs w:val="22"/>
        </w:rPr>
        <w:t>The interim relief sought in HC 6461/22 be and is hereby granted in terms sought in the draft order, namely:</w:t>
      </w:r>
    </w:p>
    <w:p w:rsidR="00C77627" w:rsidRPr="00C77627" w:rsidRDefault="00C77627" w:rsidP="00C77627">
      <w:pPr>
        <w:pStyle w:val="ListParagraph"/>
        <w:ind w:left="1080"/>
        <w:jc w:val="both"/>
        <w:rPr>
          <w:sz w:val="4"/>
          <w:szCs w:val="4"/>
        </w:rPr>
      </w:pPr>
    </w:p>
    <w:p w:rsidR="00112BEB" w:rsidRPr="00C74B25" w:rsidRDefault="00112BEB" w:rsidP="00112BEB">
      <w:pPr>
        <w:pStyle w:val="ListParagraph"/>
        <w:ind w:left="1080"/>
        <w:jc w:val="both"/>
        <w:rPr>
          <w:sz w:val="4"/>
          <w:szCs w:val="4"/>
        </w:rPr>
      </w:pPr>
    </w:p>
    <w:p w:rsidR="00112BEB" w:rsidRDefault="00112BEB" w:rsidP="00112BEB">
      <w:pPr>
        <w:pStyle w:val="ListParagraph"/>
        <w:numPr>
          <w:ilvl w:val="0"/>
          <w:numId w:val="23"/>
        </w:numPr>
        <w:jc w:val="both"/>
        <w:rPr>
          <w:sz w:val="22"/>
          <w:szCs w:val="22"/>
        </w:rPr>
      </w:pPr>
      <w:r>
        <w:rPr>
          <w:sz w:val="22"/>
          <w:szCs w:val="22"/>
        </w:rPr>
        <w:t>The procurement process initiated by the first respondent who administers the Zimbabwe Manpower Development Fund under reference Domestic ZPCR 33-</w:t>
      </w:r>
      <w:r w:rsidR="00D73EBD">
        <w:rPr>
          <w:sz w:val="22"/>
          <w:szCs w:val="22"/>
        </w:rPr>
        <w:t>2022 be and is hereby suspended”.</w:t>
      </w:r>
    </w:p>
    <w:p w:rsidR="00571835" w:rsidRDefault="00571835" w:rsidP="00571835">
      <w:pPr>
        <w:pStyle w:val="ListParagraph"/>
        <w:ind w:left="1440"/>
        <w:jc w:val="both"/>
        <w:rPr>
          <w:sz w:val="22"/>
          <w:szCs w:val="22"/>
        </w:rPr>
      </w:pPr>
    </w:p>
    <w:p w:rsidR="00112BEB" w:rsidRPr="00DB26F4" w:rsidRDefault="00571835" w:rsidP="00447EEE">
      <w:pPr>
        <w:spacing w:line="360" w:lineRule="auto"/>
        <w:ind w:firstLine="720"/>
        <w:jc w:val="both"/>
      </w:pPr>
      <w:r w:rsidRPr="000C5E75">
        <w:t xml:space="preserve">It is evident from the </w:t>
      </w:r>
      <w:r w:rsidR="00027801" w:rsidRPr="000C5E75">
        <w:t xml:space="preserve">draft final order sought that the applicant desires the cancellation and nullification of the tender </w:t>
      </w:r>
      <w:r w:rsidR="00903ED7" w:rsidRPr="000C5E75">
        <w:t xml:space="preserve">initiated under Domestic ZPCR 33-2022. The basis for this relief has </w:t>
      </w:r>
      <w:r w:rsidR="000C5E75">
        <w:t xml:space="preserve">been set out in the application. In fact, it is common cause that </w:t>
      </w:r>
      <w:r w:rsidR="002D0979">
        <w:t xml:space="preserve">the appeal process under </w:t>
      </w:r>
      <w:r w:rsidR="001F3DBF">
        <w:t xml:space="preserve">tender number </w:t>
      </w:r>
      <w:r w:rsidR="002D0979">
        <w:t>ZPCR29-2021</w:t>
      </w:r>
      <w:r w:rsidR="001F3DBF">
        <w:t xml:space="preserve"> has not been finalized. </w:t>
      </w:r>
      <w:r w:rsidR="006A547D">
        <w:t xml:space="preserve">Thus, it is incompetent and unlawful, in my view, for the first respondent to start a new process which overrides </w:t>
      </w:r>
      <w:r w:rsidR="006F76C4">
        <w:t xml:space="preserve">a lawful statutory process. Consequently, I am satisfied that the applicant has established </w:t>
      </w:r>
      <w:r w:rsidR="00DB26F4">
        <w:t>the basis for the order sought.</w:t>
      </w:r>
      <w:r w:rsidR="006F76C4">
        <w:t xml:space="preserve"> </w:t>
      </w:r>
      <w:r w:rsidR="00E16EED" w:rsidRPr="000C5E75">
        <w:tab/>
      </w:r>
      <w:r w:rsidR="00E23D22" w:rsidRPr="000C5E75">
        <w:t xml:space="preserve"> </w:t>
      </w:r>
      <w:r w:rsidR="00C05BA3" w:rsidRPr="000C5E75">
        <w:t xml:space="preserve"> </w:t>
      </w:r>
    </w:p>
    <w:p w:rsidR="00D572E4" w:rsidRDefault="009735E9" w:rsidP="009735E9">
      <w:pPr>
        <w:spacing w:line="360" w:lineRule="auto"/>
        <w:ind w:firstLine="720"/>
        <w:jc w:val="both"/>
      </w:pPr>
      <w:r>
        <w:t>Let me look at the issue of costs. The starting point is that a</w:t>
      </w:r>
      <w:r w:rsidRPr="001D781C">
        <w:t>n award of costs is withi</w:t>
      </w:r>
      <w:r>
        <w:t>n the discretion of the court. The exercise of this discretion</w:t>
      </w:r>
      <w:r w:rsidRPr="001D781C">
        <w:t xml:space="preserve"> is guided by certain principles and guidelines. One of the general principles is that the successful party is entitled to costs.</w:t>
      </w:r>
      <w:r w:rsidR="00D704E5">
        <w:t xml:space="preserve"> The applicant has asked for costs on the scale of attorney and client. </w:t>
      </w:r>
      <w:r>
        <w:t xml:space="preserve">It is trite that an </w:t>
      </w:r>
      <w:r w:rsidR="00BD152F">
        <w:t>award of costs at this higher scale</w:t>
      </w:r>
      <w:r w:rsidRPr="001D781C">
        <w:t xml:space="preserve"> is a drastic measure, and one which should not be lightly resorted to except where the court is satisfied that there has been an attempt to abuse the process of the court or for</w:t>
      </w:r>
      <w:r w:rsidR="00BD152F">
        <w:t xml:space="preserve"> some other good reason. </w:t>
      </w:r>
      <w:r>
        <w:t>(</w:t>
      </w:r>
      <w:r w:rsidRPr="001D781C">
        <w:t xml:space="preserve">See </w:t>
      </w:r>
      <w:r w:rsidRPr="001D781C">
        <w:rPr>
          <w:i/>
        </w:rPr>
        <w:t xml:space="preserve">Gwinyayi </w:t>
      </w:r>
      <w:r w:rsidRPr="00081053">
        <w:t>v</w:t>
      </w:r>
      <w:r w:rsidRPr="001D781C">
        <w:rPr>
          <w:i/>
        </w:rPr>
        <w:t xml:space="preserve"> Nyaguwa</w:t>
      </w:r>
      <w:r w:rsidRPr="001D781C">
        <w:t xml:space="preserve"> 1982 (1) ZLR 136 at 138F</w:t>
      </w:r>
      <w:r>
        <w:t>)</w:t>
      </w:r>
      <w:r w:rsidRPr="001D781C">
        <w:t>.</w:t>
      </w:r>
      <w:r>
        <w:t xml:space="preserve"> </w:t>
      </w:r>
      <w:r w:rsidR="00B00C2E">
        <w:t xml:space="preserve">The first respondent has not claimed that the appeal </w:t>
      </w:r>
      <w:r w:rsidR="00642D11">
        <w:t xml:space="preserve">that </w:t>
      </w:r>
      <w:r w:rsidR="00B00C2E">
        <w:t xml:space="preserve">was lodged by the applicant </w:t>
      </w:r>
      <w:r w:rsidR="009E2AD8">
        <w:t>under tender number ZPCR29-2021 was decided. That being the case, it was cynical</w:t>
      </w:r>
      <w:r w:rsidR="00C43E83">
        <w:t xml:space="preserve"> (if not, foolhardy)</w:t>
      </w:r>
      <w:r w:rsidR="009E2AD8">
        <w:t xml:space="preserve"> of the first respondent to </w:t>
      </w:r>
      <w:r w:rsidR="00A8476F">
        <w:t xml:space="preserve">oppose the application and </w:t>
      </w:r>
      <w:r w:rsidR="009E2AD8">
        <w:t>resist the</w:t>
      </w:r>
      <w:r w:rsidR="00A8476F">
        <w:t xml:space="preserve"> relief being sought.</w:t>
      </w:r>
      <w:r w:rsidR="00462D52">
        <w:t xml:space="preserve"> </w:t>
      </w:r>
      <w:r w:rsidR="00D402A4">
        <w:t xml:space="preserve">I note that the second respondent did not </w:t>
      </w:r>
      <w:r w:rsidR="005B38A3">
        <w:t xml:space="preserve">oppose the application and rightly so, in my view. </w:t>
      </w:r>
      <w:r w:rsidR="00462D52">
        <w:t>Clearly, the</w:t>
      </w:r>
      <w:r w:rsidR="005B38A3">
        <w:t>re was no lawful basis for opposing the application</w:t>
      </w:r>
      <w:r w:rsidR="00DC45D1">
        <w:t xml:space="preserve"> and it smacks of abusing the court process. </w:t>
      </w:r>
    </w:p>
    <w:p w:rsidR="00F77CA1" w:rsidRPr="007207E3" w:rsidRDefault="00DC45D1" w:rsidP="009735E9">
      <w:pPr>
        <w:spacing w:line="360" w:lineRule="auto"/>
        <w:ind w:firstLine="720"/>
        <w:jc w:val="both"/>
      </w:pPr>
      <w:r>
        <w:t>The pending process is a lawful on</w:t>
      </w:r>
      <w:r w:rsidR="00214752">
        <w:t xml:space="preserve">e done in terms of the Public Procurement Act, and the argument that the respondent was entitled to </w:t>
      </w:r>
      <w:r w:rsidR="00FC7AFD">
        <w:t>start a new tender process</w:t>
      </w:r>
      <w:r w:rsidR="00A07BDF">
        <w:t xml:space="preserve">, which effectively overrides </w:t>
      </w:r>
      <w:r w:rsidR="00A07BDF">
        <w:lastRenderedPageBreak/>
        <w:t>the unresolved appeal,</w:t>
      </w:r>
      <w:r w:rsidR="003B4FA5">
        <w:t xml:space="preserve"> is most disingenuous</w:t>
      </w:r>
      <w:r w:rsidR="00FC7AFD">
        <w:t>.</w:t>
      </w:r>
      <w:r w:rsidR="004E6533">
        <w:t xml:space="preserve"> The apparent disregard of the law by the first respondent caused me concern. This is an appropriate case for this court to show its displeasure by awarding costs at the higher scale of attorney and client against the </w:t>
      </w:r>
      <w:r w:rsidR="00C40B6C">
        <w:t>first respondent.</w:t>
      </w:r>
      <w:r w:rsidR="009E2AD8">
        <w:t xml:space="preserve"> </w:t>
      </w:r>
    </w:p>
    <w:p w:rsidR="00CE37B8" w:rsidRDefault="00CE37B8" w:rsidP="0078604C">
      <w:pPr>
        <w:spacing w:line="360" w:lineRule="auto"/>
        <w:jc w:val="both"/>
        <w:rPr>
          <w:sz w:val="10"/>
          <w:szCs w:val="10"/>
        </w:rPr>
      </w:pPr>
    </w:p>
    <w:p w:rsidR="007E745E" w:rsidRDefault="007E745E" w:rsidP="0078604C">
      <w:pPr>
        <w:spacing w:line="360" w:lineRule="auto"/>
        <w:jc w:val="both"/>
        <w:rPr>
          <w:sz w:val="10"/>
          <w:szCs w:val="10"/>
        </w:rPr>
      </w:pPr>
    </w:p>
    <w:p w:rsidR="007E745E" w:rsidRDefault="007E745E" w:rsidP="0078604C">
      <w:pPr>
        <w:spacing w:line="360" w:lineRule="auto"/>
        <w:jc w:val="both"/>
        <w:rPr>
          <w:sz w:val="10"/>
          <w:szCs w:val="10"/>
        </w:rPr>
      </w:pPr>
    </w:p>
    <w:p w:rsidR="007E745E" w:rsidRDefault="007E745E" w:rsidP="0078604C">
      <w:pPr>
        <w:spacing w:line="360" w:lineRule="auto"/>
        <w:jc w:val="both"/>
        <w:rPr>
          <w:sz w:val="10"/>
          <w:szCs w:val="10"/>
        </w:rPr>
      </w:pPr>
    </w:p>
    <w:p w:rsidR="007E745E" w:rsidRDefault="007E745E" w:rsidP="0078604C">
      <w:pPr>
        <w:spacing w:line="360" w:lineRule="auto"/>
        <w:jc w:val="both"/>
        <w:rPr>
          <w:sz w:val="10"/>
          <w:szCs w:val="10"/>
        </w:rPr>
      </w:pPr>
    </w:p>
    <w:p w:rsidR="007E745E" w:rsidRPr="00E2223D" w:rsidRDefault="007E745E" w:rsidP="0078604C">
      <w:pPr>
        <w:spacing w:line="360" w:lineRule="auto"/>
        <w:jc w:val="both"/>
        <w:rPr>
          <w:sz w:val="10"/>
          <w:szCs w:val="10"/>
        </w:rPr>
      </w:pPr>
    </w:p>
    <w:p w:rsidR="00310D38" w:rsidRPr="00310D38" w:rsidRDefault="00CE37B8" w:rsidP="00310D38">
      <w:pPr>
        <w:spacing w:line="360" w:lineRule="auto"/>
        <w:jc w:val="both"/>
        <w:rPr>
          <w:b/>
        </w:rPr>
      </w:pPr>
      <w:r w:rsidRPr="00CE37B8">
        <w:rPr>
          <w:b/>
        </w:rPr>
        <w:t>Disposition</w:t>
      </w:r>
    </w:p>
    <w:p w:rsidR="00096FDB" w:rsidRDefault="00096FDB" w:rsidP="00096FDB">
      <w:pPr>
        <w:spacing w:line="360" w:lineRule="auto"/>
        <w:jc w:val="both"/>
      </w:pPr>
      <w:r>
        <w:t>Accordingly, I make the following order:</w:t>
      </w:r>
    </w:p>
    <w:p w:rsidR="00477776" w:rsidRPr="00477776" w:rsidRDefault="00477776" w:rsidP="00096FDB">
      <w:pPr>
        <w:spacing w:line="360" w:lineRule="auto"/>
        <w:jc w:val="both"/>
        <w:rPr>
          <w:sz w:val="10"/>
          <w:szCs w:val="10"/>
        </w:rPr>
      </w:pPr>
    </w:p>
    <w:p w:rsidR="007E745E" w:rsidRDefault="007E745E" w:rsidP="00477776">
      <w:pPr>
        <w:pStyle w:val="ListParagraph"/>
        <w:numPr>
          <w:ilvl w:val="0"/>
          <w:numId w:val="27"/>
        </w:numPr>
        <w:jc w:val="both"/>
      </w:pPr>
      <w:r>
        <w:t xml:space="preserve">The points </w:t>
      </w:r>
      <w:r w:rsidRPr="00081053">
        <w:rPr>
          <w:i/>
        </w:rPr>
        <w:t>in limine</w:t>
      </w:r>
      <w:r>
        <w:t xml:space="preserve"> raised under HC 6461/22 are hereby dismissed.</w:t>
      </w:r>
    </w:p>
    <w:p w:rsidR="007E745E" w:rsidRPr="00314AC7" w:rsidRDefault="007E745E" w:rsidP="007E745E">
      <w:pPr>
        <w:pStyle w:val="ListParagraph"/>
        <w:ind w:left="1080"/>
        <w:jc w:val="both"/>
        <w:rPr>
          <w:sz w:val="10"/>
          <w:szCs w:val="10"/>
        </w:rPr>
      </w:pPr>
    </w:p>
    <w:p w:rsidR="00477776" w:rsidRPr="00477776" w:rsidRDefault="00477776" w:rsidP="00477776">
      <w:pPr>
        <w:pStyle w:val="ListParagraph"/>
        <w:numPr>
          <w:ilvl w:val="0"/>
          <w:numId w:val="27"/>
        </w:numPr>
        <w:jc w:val="both"/>
      </w:pPr>
      <w:r w:rsidRPr="00477776">
        <w:t>The interim relief</w:t>
      </w:r>
      <w:r w:rsidR="002D0CDB">
        <w:t xml:space="preserve"> granted on 12 October 2022</w:t>
      </w:r>
      <w:r w:rsidRPr="00477776">
        <w:t xml:space="preserve"> be and is hereby confirmed.</w:t>
      </w:r>
    </w:p>
    <w:p w:rsidR="00477776" w:rsidRPr="00477776" w:rsidRDefault="00477776" w:rsidP="00477776">
      <w:pPr>
        <w:pStyle w:val="ListParagraph"/>
        <w:ind w:left="1080"/>
        <w:jc w:val="both"/>
        <w:rPr>
          <w:sz w:val="10"/>
          <w:szCs w:val="10"/>
        </w:rPr>
      </w:pPr>
    </w:p>
    <w:p w:rsidR="00477776" w:rsidRPr="00477776" w:rsidRDefault="00477776" w:rsidP="00011F95">
      <w:pPr>
        <w:pStyle w:val="ListParagraph"/>
        <w:numPr>
          <w:ilvl w:val="0"/>
          <w:numId w:val="27"/>
        </w:numPr>
        <w:spacing w:line="360" w:lineRule="auto"/>
        <w:ind w:left="1077" w:hanging="357"/>
        <w:contextualSpacing w:val="0"/>
        <w:jc w:val="both"/>
      </w:pPr>
      <w:r w:rsidRPr="00477776">
        <w:t>The procurement process initiated by the first respondent who administers the Zimbabwe Manpower Development Fund under reference Domestic ZPCR 33-2022 be and is hereby cancelled and nullified.</w:t>
      </w:r>
    </w:p>
    <w:p w:rsidR="00477776" w:rsidRPr="00FD5C04" w:rsidRDefault="00477776" w:rsidP="00477776">
      <w:pPr>
        <w:jc w:val="both"/>
        <w:rPr>
          <w:sz w:val="6"/>
          <w:szCs w:val="6"/>
        </w:rPr>
      </w:pPr>
    </w:p>
    <w:p w:rsidR="00477776" w:rsidRPr="00477776" w:rsidRDefault="00477776" w:rsidP="00011F95">
      <w:pPr>
        <w:pStyle w:val="ListParagraph"/>
        <w:numPr>
          <w:ilvl w:val="0"/>
          <w:numId w:val="27"/>
        </w:numPr>
        <w:spacing w:line="360" w:lineRule="auto"/>
        <w:ind w:left="1077" w:hanging="357"/>
        <w:jc w:val="both"/>
      </w:pPr>
      <w:r w:rsidRPr="00477776">
        <w:t>The first respondent shall pay costs of this application on a legal practitioner and client scale.</w:t>
      </w:r>
    </w:p>
    <w:p w:rsidR="00D31839" w:rsidRDefault="00D31839" w:rsidP="0078604C">
      <w:pPr>
        <w:jc w:val="both"/>
        <w:rPr>
          <w:i/>
        </w:rPr>
      </w:pPr>
    </w:p>
    <w:p w:rsidR="00642D11" w:rsidRDefault="00642D11" w:rsidP="0078604C">
      <w:pPr>
        <w:jc w:val="both"/>
        <w:rPr>
          <w:i/>
        </w:rPr>
      </w:pPr>
    </w:p>
    <w:p w:rsidR="0078604C" w:rsidRPr="00093F27" w:rsidRDefault="002B014D" w:rsidP="00E2223D">
      <w:pPr>
        <w:jc w:val="both"/>
      </w:pPr>
      <w:r>
        <w:rPr>
          <w:i/>
        </w:rPr>
        <w:t xml:space="preserve">Dube Manikai </w:t>
      </w:r>
      <w:r w:rsidR="00FD7537">
        <w:rPr>
          <w:i/>
        </w:rPr>
        <w:t>&amp; Hwacha</w:t>
      </w:r>
      <w:r w:rsidR="005D37E8">
        <w:t>, applicant’s</w:t>
      </w:r>
      <w:r w:rsidR="000F1D04">
        <w:t xml:space="preserve"> legal p</w:t>
      </w:r>
      <w:r w:rsidR="0078604C" w:rsidRPr="00093F27">
        <w:t>ractitioners</w:t>
      </w:r>
    </w:p>
    <w:p w:rsidR="00D17074" w:rsidRDefault="000E3DFF" w:rsidP="00E2223D">
      <w:pPr>
        <w:jc w:val="both"/>
      </w:pPr>
      <w:r>
        <w:rPr>
          <w:i/>
        </w:rPr>
        <w:t>Civil Division of the Attorney General’s Office</w:t>
      </w:r>
      <w:r w:rsidR="0078604C" w:rsidRPr="00093F27">
        <w:t>, 1</w:t>
      </w:r>
      <w:r w:rsidR="0078604C" w:rsidRPr="00093F27">
        <w:rPr>
          <w:vertAlign w:val="superscript"/>
        </w:rPr>
        <w:t>st</w:t>
      </w:r>
      <w:r w:rsidR="00955404">
        <w:t xml:space="preserve"> respondent’s</w:t>
      </w:r>
      <w:r w:rsidR="0078604C" w:rsidRPr="00093F27">
        <w:t xml:space="preserve"> legal practitioners</w:t>
      </w:r>
    </w:p>
    <w:p w:rsidR="006B0E19" w:rsidRPr="005A4D7A" w:rsidRDefault="00BD6DD9" w:rsidP="00E2223D">
      <w:pPr>
        <w:jc w:val="both"/>
      </w:pPr>
      <w:r w:rsidRPr="00BD6DD9">
        <w:rPr>
          <w:i/>
        </w:rPr>
        <w:t>Zvimba Legal Practice</w:t>
      </w:r>
      <w:r>
        <w:t>, 2</w:t>
      </w:r>
      <w:r w:rsidRPr="00BD6DD9">
        <w:rPr>
          <w:vertAlign w:val="superscript"/>
        </w:rPr>
        <w:t>nd</w:t>
      </w:r>
      <w:r>
        <w:t xml:space="preserve"> respondent’</w:t>
      </w:r>
      <w:r w:rsidR="00907C1C">
        <w:t>s legal practitio</w:t>
      </w:r>
      <w:r>
        <w:t>ners</w:t>
      </w:r>
    </w:p>
    <w:sectPr w:rsidR="006B0E19" w:rsidRPr="005A4D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600" w:rsidRDefault="00236600" w:rsidP="005A4D7A">
      <w:r>
        <w:separator/>
      </w:r>
    </w:p>
  </w:endnote>
  <w:endnote w:type="continuationSeparator" w:id="0">
    <w:p w:rsidR="00236600" w:rsidRDefault="00236600" w:rsidP="005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600" w:rsidRDefault="00236600" w:rsidP="005A4D7A">
      <w:r>
        <w:separator/>
      </w:r>
    </w:p>
  </w:footnote>
  <w:footnote w:type="continuationSeparator" w:id="0">
    <w:p w:rsidR="00236600" w:rsidRDefault="00236600" w:rsidP="005A4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29875"/>
      <w:docPartObj>
        <w:docPartGallery w:val="Page Numbers (Top of Page)"/>
        <w:docPartUnique/>
      </w:docPartObj>
    </w:sdtPr>
    <w:sdtEndPr>
      <w:rPr>
        <w:noProof/>
      </w:rPr>
    </w:sdtEndPr>
    <w:sdtContent>
      <w:p w:rsidR="005A4D7A" w:rsidRDefault="005A4D7A" w:rsidP="00D27A4B">
        <w:pPr>
          <w:pStyle w:val="Header"/>
          <w:jc w:val="right"/>
          <w:rPr>
            <w:noProof/>
          </w:rPr>
        </w:pPr>
        <w:r>
          <w:fldChar w:fldCharType="begin"/>
        </w:r>
        <w:r>
          <w:instrText xml:space="preserve"> PAGE   \* MERGEFORMAT </w:instrText>
        </w:r>
        <w:r>
          <w:fldChar w:fldCharType="separate"/>
        </w:r>
        <w:r w:rsidR="002C765A">
          <w:rPr>
            <w:noProof/>
          </w:rPr>
          <w:t>1</w:t>
        </w:r>
        <w:r>
          <w:rPr>
            <w:noProof/>
          </w:rPr>
          <w:fldChar w:fldCharType="end"/>
        </w:r>
      </w:p>
      <w:p w:rsidR="00B1216B" w:rsidRDefault="003F702F" w:rsidP="00D27A4B">
        <w:pPr>
          <w:pStyle w:val="Header"/>
          <w:jc w:val="right"/>
          <w:rPr>
            <w:noProof/>
          </w:rPr>
        </w:pPr>
        <w:r>
          <w:rPr>
            <w:noProof/>
          </w:rPr>
          <w:t>HH</w:t>
        </w:r>
        <w:r w:rsidR="000F18FB">
          <w:rPr>
            <w:noProof/>
          </w:rPr>
          <w:t xml:space="preserve">  795-22</w:t>
        </w:r>
      </w:p>
      <w:p w:rsidR="00ED3A10" w:rsidRDefault="00ED3A10" w:rsidP="00D27A4B">
        <w:pPr>
          <w:pStyle w:val="Header"/>
          <w:jc w:val="right"/>
          <w:rPr>
            <w:noProof/>
          </w:rPr>
        </w:pPr>
        <w:r>
          <w:rPr>
            <w:noProof/>
          </w:rPr>
          <w:t>HC 6461/22</w:t>
        </w:r>
      </w:p>
      <w:p w:rsidR="005A4D7A" w:rsidRDefault="00ED3A10" w:rsidP="00602A43">
        <w:pPr>
          <w:pStyle w:val="Header"/>
          <w:jc w:val="right"/>
          <w:rPr>
            <w:noProof/>
          </w:rPr>
        </w:pPr>
        <w:r>
          <w:rPr>
            <w:noProof/>
          </w:rPr>
          <w:t xml:space="preserve">Ref </w:t>
        </w:r>
        <w:r w:rsidR="009850E9">
          <w:rPr>
            <w:noProof/>
          </w:rPr>
          <w:t xml:space="preserve">Case: </w:t>
        </w:r>
        <w:r w:rsidR="000D4705">
          <w:rPr>
            <w:noProof/>
          </w:rPr>
          <w:t>HC 1737/22</w:t>
        </w:r>
      </w:p>
    </w:sdtContent>
  </w:sdt>
  <w:p w:rsidR="005A4D7A" w:rsidRDefault="005A4D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FA"/>
    <w:multiLevelType w:val="hybridMultilevel"/>
    <w:tmpl w:val="1A160BE4"/>
    <w:lvl w:ilvl="0" w:tplc="AAECC5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17563"/>
    <w:multiLevelType w:val="hybridMultilevel"/>
    <w:tmpl w:val="EA44D580"/>
    <w:lvl w:ilvl="0" w:tplc="535E9C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7D9316A"/>
    <w:multiLevelType w:val="hybridMultilevel"/>
    <w:tmpl w:val="65EA5B84"/>
    <w:lvl w:ilvl="0" w:tplc="ADE6CE6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BD46E87"/>
    <w:multiLevelType w:val="hybridMultilevel"/>
    <w:tmpl w:val="DBBA12B6"/>
    <w:lvl w:ilvl="0" w:tplc="04B2981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176402EF"/>
    <w:multiLevelType w:val="hybridMultilevel"/>
    <w:tmpl w:val="9848A3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80D6A09"/>
    <w:multiLevelType w:val="hybridMultilevel"/>
    <w:tmpl w:val="1B365332"/>
    <w:lvl w:ilvl="0" w:tplc="06E61B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B566D01"/>
    <w:multiLevelType w:val="hybridMultilevel"/>
    <w:tmpl w:val="A9D0178A"/>
    <w:lvl w:ilvl="0" w:tplc="1194D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45F0DA7"/>
    <w:multiLevelType w:val="hybridMultilevel"/>
    <w:tmpl w:val="027CBE7C"/>
    <w:lvl w:ilvl="0" w:tplc="C7B022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E2D262F"/>
    <w:multiLevelType w:val="hybridMultilevel"/>
    <w:tmpl w:val="C5EC6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2FE6911"/>
    <w:multiLevelType w:val="hybridMultilevel"/>
    <w:tmpl w:val="223E0B8C"/>
    <w:lvl w:ilvl="0" w:tplc="638A22BE">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73A7594"/>
    <w:multiLevelType w:val="hybridMultilevel"/>
    <w:tmpl w:val="24F40968"/>
    <w:lvl w:ilvl="0" w:tplc="ACE8E2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37711C82"/>
    <w:multiLevelType w:val="hybridMultilevel"/>
    <w:tmpl w:val="1B365332"/>
    <w:lvl w:ilvl="0" w:tplc="06E61B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44F53390"/>
    <w:multiLevelType w:val="hybridMultilevel"/>
    <w:tmpl w:val="EEA282F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4F94F51"/>
    <w:multiLevelType w:val="hybridMultilevel"/>
    <w:tmpl w:val="3E0E0702"/>
    <w:lvl w:ilvl="0" w:tplc="C58621CE">
      <w:start w:val="1"/>
      <w:numFmt w:val="bullet"/>
      <w:lvlText w:val=""/>
      <w:lvlJc w:val="left"/>
      <w:pPr>
        <w:ind w:left="1800" w:hanging="360"/>
      </w:pPr>
      <w:rPr>
        <w:rFonts w:ascii="Symbol" w:eastAsiaTheme="minorHAnsi" w:hAnsi="Symbol"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5" w15:restartNumberingAfterBreak="0">
    <w:nsid w:val="46D10756"/>
    <w:multiLevelType w:val="hybridMultilevel"/>
    <w:tmpl w:val="3986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5D6C38"/>
    <w:multiLevelType w:val="hybridMultilevel"/>
    <w:tmpl w:val="3432CC9A"/>
    <w:lvl w:ilvl="0" w:tplc="CC4050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4DA27B69"/>
    <w:multiLevelType w:val="hybridMultilevel"/>
    <w:tmpl w:val="EA44D580"/>
    <w:lvl w:ilvl="0" w:tplc="535E9C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1E6236B"/>
    <w:multiLevelType w:val="hybridMultilevel"/>
    <w:tmpl w:val="D2603F36"/>
    <w:lvl w:ilvl="0" w:tplc="AC7461B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9" w15:restartNumberingAfterBreak="0">
    <w:nsid w:val="54366E14"/>
    <w:multiLevelType w:val="hybridMultilevel"/>
    <w:tmpl w:val="7390EA22"/>
    <w:lvl w:ilvl="0" w:tplc="C85AB0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60C2408F"/>
    <w:multiLevelType w:val="hybridMultilevel"/>
    <w:tmpl w:val="B71E7ABA"/>
    <w:lvl w:ilvl="0" w:tplc="64C09A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6EBD16ED"/>
    <w:multiLevelType w:val="hybridMultilevel"/>
    <w:tmpl w:val="1E5620B0"/>
    <w:lvl w:ilvl="0" w:tplc="5EAED7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70304263"/>
    <w:multiLevelType w:val="hybridMultilevel"/>
    <w:tmpl w:val="6964899E"/>
    <w:lvl w:ilvl="0" w:tplc="150CE5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44E22E7"/>
    <w:multiLevelType w:val="hybridMultilevel"/>
    <w:tmpl w:val="09F691DA"/>
    <w:lvl w:ilvl="0" w:tplc="251AB3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7A112E97"/>
    <w:multiLevelType w:val="hybridMultilevel"/>
    <w:tmpl w:val="0A9C6762"/>
    <w:lvl w:ilvl="0" w:tplc="F32EF3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7AF67E24"/>
    <w:multiLevelType w:val="hybridMultilevel"/>
    <w:tmpl w:val="1B365332"/>
    <w:lvl w:ilvl="0" w:tplc="06E61B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E9E4F49"/>
    <w:multiLevelType w:val="hybridMultilevel"/>
    <w:tmpl w:val="75B8A838"/>
    <w:lvl w:ilvl="0" w:tplc="BD944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15"/>
  </w:num>
  <w:num w:numId="3">
    <w:abstractNumId w:val="26"/>
  </w:num>
  <w:num w:numId="4">
    <w:abstractNumId w:val="18"/>
  </w:num>
  <w:num w:numId="5">
    <w:abstractNumId w:val="10"/>
  </w:num>
  <w:num w:numId="6">
    <w:abstractNumId w:val="14"/>
  </w:num>
  <w:num w:numId="7">
    <w:abstractNumId w:val="13"/>
  </w:num>
  <w:num w:numId="8">
    <w:abstractNumId w:val="11"/>
  </w:num>
  <w:num w:numId="9">
    <w:abstractNumId w:val="0"/>
  </w:num>
  <w:num w:numId="10">
    <w:abstractNumId w:val="7"/>
  </w:num>
  <w:num w:numId="11">
    <w:abstractNumId w:val="19"/>
  </w:num>
  <w:num w:numId="12">
    <w:abstractNumId w:val="5"/>
  </w:num>
  <w:num w:numId="13">
    <w:abstractNumId w:val="22"/>
  </w:num>
  <w:num w:numId="14">
    <w:abstractNumId w:val="8"/>
  </w:num>
  <w:num w:numId="15">
    <w:abstractNumId w:val="16"/>
  </w:num>
  <w:num w:numId="16">
    <w:abstractNumId w:val="23"/>
  </w:num>
  <w:num w:numId="17">
    <w:abstractNumId w:val="24"/>
  </w:num>
  <w:num w:numId="18">
    <w:abstractNumId w:val="21"/>
  </w:num>
  <w:num w:numId="19">
    <w:abstractNumId w:val="20"/>
  </w:num>
  <w:num w:numId="20">
    <w:abstractNumId w:val="3"/>
  </w:num>
  <w:num w:numId="21">
    <w:abstractNumId w:val="9"/>
  </w:num>
  <w:num w:numId="22">
    <w:abstractNumId w:val="17"/>
  </w:num>
  <w:num w:numId="23">
    <w:abstractNumId w:val="4"/>
  </w:num>
  <w:num w:numId="24">
    <w:abstractNumId w:val="6"/>
  </w:num>
  <w:num w:numId="25">
    <w:abstractNumId w:val="12"/>
  </w:num>
  <w:num w:numId="26">
    <w:abstractNumId w:val="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7A"/>
    <w:rsid w:val="000005A4"/>
    <w:rsid w:val="0000187D"/>
    <w:rsid w:val="000030E1"/>
    <w:rsid w:val="00003248"/>
    <w:rsid w:val="00003953"/>
    <w:rsid w:val="00004164"/>
    <w:rsid w:val="00007F96"/>
    <w:rsid w:val="00010CCE"/>
    <w:rsid w:val="0001162D"/>
    <w:rsid w:val="00011F95"/>
    <w:rsid w:val="00012931"/>
    <w:rsid w:val="00012C1A"/>
    <w:rsid w:val="0001303B"/>
    <w:rsid w:val="00013906"/>
    <w:rsid w:val="00013F14"/>
    <w:rsid w:val="00014443"/>
    <w:rsid w:val="00014BFA"/>
    <w:rsid w:val="00020014"/>
    <w:rsid w:val="0002003E"/>
    <w:rsid w:val="000215B9"/>
    <w:rsid w:val="00022EF6"/>
    <w:rsid w:val="000265F0"/>
    <w:rsid w:val="00027801"/>
    <w:rsid w:val="00032A02"/>
    <w:rsid w:val="00032BF2"/>
    <w:rsid w:val="0003406E"/>
    <w:rsid w:val="000357E9"/>
    <w:rsid w:val="00036F12"/>
    <w:rsid w:val="0003708D"/>
    <w:rsid w:val="0004065F"/>
    <w:rsid w:val="00040C2D"/>
    <w:rsid w:val="00040C60"/>
    <w:rsid w:val="00043010"/>
    <w:rsid w:val="000437A6"/>
    <w:rsid w:val="00044584"/>
    <w:rsid w:val="00046BE2"/>
    <w:rsid w:val="00047BED"/>
    <w:rsid w:val="00051BCE"/>
    <w:rsid w:val="000520AD"/>
    <w:rsid w:val="00053AAB"/>
    <w:rsid w:val="000571B7"/>
    <w:rsid w:val="000571EE"/>
    <w:rsid w:val="00060409"/>
    <w:rsid w:val="000605BE"/>
    <w:rsid w:val="00060A39"/>
    <w:rsid w:val="00061056"/>
    <w:rsid w:val="000611E9"/>
    <w:rsid w:val="0006155D"/>
    <w:rsid w:val="0006233A"/>
    <w:rsid w:val="00062A1C"/>
    <w:rsid w:val="00063579"/>
    <w:rsid w:val="00065302"/>
    <w:rsid w:val="00066EA2"/>
    <w:rsid w:val="000672F9"/>
    <w:rsid w:val="00074002"/>
    <w:rsid w:val="0008028D"/>
    <w:rsid w:val="00080A17"/>
    <w:rsid w:val="00080D3B"/>
    <w:rsid w:val="00081053"/>
    <w:rsid w:val="00081C16"/>
    <w:rsid w:val="0008272E"/>
    <w:rsid w:val="000833BD"/>
    <w:rsid w:val="000849E7"/>
    <w:rsid w:val="000863D9"/>
    <w:rsid w:val="000865EA"/>
    <w:rsid w:val="0008695E"/>
    <w:rsid w:val="00086B01"/>
    <w:rsid w:val="0008712A"/>
    <w:rsid w:val="00090FF0"/>
    <w:rsid w:val="00092481"/>
    <w:rsid w:val="00092756"/>
    <w:rsid w:val="000941C4"/>
    <w:rsid w:val="000952B7"/>
    <w:rsid w:val="000965BC"/>
    <w:rsid w:val="00096FDB"/>
    <w:rsid w:val="0009791D"/>
    <w:rsid w:val="000A08BF"/>
    <w:rsid w:val="000A18AA"/>
    <w:rsid w:val="000A2D44"/>
    <w:rsid w:val="000A59D6"/>
    <w:rsid w:val="000A5B71"/>
    <w:rsid w:val="000A6E82"/>
    <w:rsid w:val="000A6F59"/>
    <w:rsid w:val="000B2344"/>
    <w:rsid w:val="000B3C15"/>
    <w:rsid w:val="000B5B04"/>
    <w:rsid w:val="000B5E2D"/>
    <w:rsid w:val="000B67D7"/>
    <w:rsid w:val="000B7869"/>
    <w:rsid w:val="000C3873"/>
    <w:rsid w:val="000C5E75"/>
    <w:rsid w:val="000C7037"/>
    <w:rsid w:val="000C72B0"/>
    <w:rsid w:val="000C7403"/>
    <w:rsid w:val="000D0456"/>
    <w:rsid w:val="000D059C"/>
    <w:rsid w:val="000D0B80"/>
    <w:rsid w:val="000D13E9"/>
    <w:rsid w:val="000D2E23"/>
    <w:rsid w:val="000D357B"/>
    <w:rsid w:val="000D4705"/>
    <w:rsid w:val="000D534A"/>
    <w:rsid w:val="000D71D6"/>
    <w:rsid w:val="000E0734"/>
    <w:rsid w:val="000E158A"/>
    <w:rsid w:val="000E203B"/>
    <w:rsid w:val="000E2799"/>
    <w:rsid w:val="000E3DFF"/>
    <w:rsid w:val="000E4218"/>
    <w:rsid w:val="000E4CF4"/>
    <w:rsid w:val="000E63BF"/>
    <w:rsid w:val="000F05BE"/>
    <w:rsid w:val="000F1321"/>
    <w:rsid w:val="000F17BB"/>
    <w:rsid w:val="000F18FB"/>
    <w:rsid w:val="000F1D04"/>
    <w:rsid w:val="000F26B8"/>
    <w:rsid w:val="000F26EA"/>
    <w:rsid w:val="000F3663"/>
    <w:rsid w:val="000F46AC"/>
    <w:rsid w:val="000F4A99"/>
    <w:rsid w:val="000F50B4"/>
    <w:rsid w:val="000F5F55"/>
    <w:rsid w:val="000F5F75"/>
    <w:rsid w:val="000F6BEB"/>
    <w:rsid w:val="00101A59"/>
    <w:rsid w:val="00101CBF"/>
    <w:rsid w:val="00102F47"/>
    <w:rsid w:val="0010433B"/>
    <w:rsid w:val="00104513"/>
    <w:rsid w:val="001052E7"/>
    <w:rsid w:val="00107CE0"/>
    <w:rsid w:val="001101E0"/>
    <w:rsid w:val="00112A55"/>
    <w:rsid w:val="00112BEB"/>
    <w:rsid w:val="00112DD4"/>
    <w:rsid w:val="00114088"/>
    <w:rsid w:val="00115AA3"/>
    <w:rsid w:val="00116A7B"/>
    <w:rsid w:val="00121814"/>
    <w:rsid w:val="00122F4E"/>
    <w:rsid w:val="001236A4"/>
    <w:rsid w:val="001256A9"/>
    <w:rsid w:val="0013411B"/>
    <w:rsid w:val="0013664C"/>
    <w:rsid w:val="00136D44"/>
    <w:rsid w:val="00136E56"/>
    <w:rsid w:val="001372B8"/>
    <w:rsid w:val="00140B63"/>
    <w:rsid w:val="00141FC5"/>
    <w:rsid w:val="001441E3"/>
    <w:rsid w:val="00144D7A"/>
    <w:rsid w:val="00145258"/>
    <w:rsid w:val="0014604A"/>
    <w:rsid w:val="0015003B"/>
    <w:rsid w:val="00150083"/>
    <w:rsid w:val="00150A60"/>
    <w:rsid w:val="00151177"/>
    <w:rsid w:val="0015159B"/>
    <w:rsid w:val="001528F8"/>
    <w:rsid w:val="001532D5"/>
    <w:rsid w:val="00153949"/>
    <w:rsid w:val="00153963"/>
    <w:rsid w:val="001550E0"/>
    <w:rsid w:val="00155A31"/>
    <w:rsid w:val="00155DC8"/>
    <w:rsid w:val="00156A14"/>
    <w:rsid w:val="00161DA7"/>
    <w:rsid w:val="0016302F"/>
    <w:rsid w:val="001643F1"/>
    <w:rsid w:val="0016503B"/>
    <w:rsid w:val="00165252"/>
    <w:rsid w:val="001656BC"/>
    <w:rsid w:val="001661E7"/>
    <w:rsid w:val="0016794A"/>
    <w:rsid w:val="00167D0D"/>
    <w:rsid w:val="00171E1D"/>
    <w:rsid w:val="001727A1"/>
    <w:rsid w:val="001762BA"/>
    <w:rsid w:val="001779FF"/>
    <w:rsid w:val="001819BA"/>
    <w:rsid w:val="00183DB7"/>
    <w:rsid w:val="00184EF8"/>
    <w:rsid w:val="001855D1"/>
    <w:rsid w:val="00185AC1"/>
    <w:rsid w:val="00186CF8"/>
    <w:rsid w:val="00187263"/>
    <w:rsid w:val="00187CCB"/>
    <w:rsid w:val="00193712"/>
    <w:rsid w:val="00193B99"/>
    <w:rsid w:val="00193CDE"/>
    <w:rsid w:val="00196FF9"/>
    <w:rsid w:val="001974A0"/>
    <w:rsid w:val="00197BA6"/>
    <w:rsid w:val="001A0DED"/>
    <w:rsid w:val="001A1536"/>
    <w:rsid w:val="001A1CAF"/>
    <w:rsid w:val="001A4C1C"/>
    <w:rsid w:val="001A5298"/>
    <w:rsid w:val="001A67E6"/>
    <w:rsid w:val="001A7A65"/>
    <w:rsid w:val="001B1B0A"/>
    <w:rsid w:val="001B2FEF"/>
    <w:rsid w:val="001B5102"/>
    <w:rsid w:val="001B5183"/>
    <w:rsid w:val="001B60F0"/>
    <w:rsid w:val="001B7083"/>
    <w:rsid w:val="001B7CAA"/>
    <w:rsid w:val="001C19B3"/>
    <w:rsid w:val="001C1FD5"/>
    <w:rsid w:val="001C2442"/>
    <w:rsid w:val="001C3F66"/>
    <w:rsid w:val="001C4EBC"/>
    <w:rsid w:val="001C5CAC"/>
    <w:rsid w:val="001C5E11"/>
    <w:rsid w:val="001D0246"/>
    <w:rsid w:val="001D142F"/>
    <w:rsid w:val="001D2AF6"/>
    <w:rsid w:val="001D4DA6"/>
    <w:rsid w:val="001D69CA"/>
    <w:rsid w:val="001D7347"/>
    <w:rsid w:val="001E060B"/>
    <w:rsid w:val="001E0F23"/>
    <w:rsid w:val="001E1BF3"/>
    <w:rsid w:val="001E2CB7"/>
    <w:rsid w:val="001E3A2E"/>
    <w:rsid w:val="001E3F92"/>
    <w:rsid w:val="001E4439"/>
    <w:rsid w:val="001E4BE1"/>
    <w:rsid w:val="001E4D55"/>
    <w:rsid w:val="001E67D3"/>
    <w:rsid w:val="001F09AE"/>
    <w:rsid w:val="001F3DBF"/>
    <w:rsid w:val="001F66F3"/>
    <w:rsid w:val="001F7644"/>
    <w:rsid w:val="001F79EA"/>
    <w:rsid w:val="002002B6"/>
    <w:rsid w:val="00203795"/>
    <w:rsid w:val="00210221"/>
    <w:rsid w:val="00210AA3"/>
    <w:rsid w:val="00212D5B"/>
    <w:rsid w:val="002135CB"/>
    <w:rsid w:val="00214036"/>
    <w:rsid w:val="00214752"/>
    <w:rsid w:val="0021498A"/>
    <w:rsid w:val="00216164"/>
    <w:rsid w:val="0021629A"/>
    <w:rsid w:val="0021673D"/>
    <w:rsid w:val="00217C33"/>
    <w:rsid w:val="00220BD8"/>
    <w:rsid w:val="00221641"/>
    <w:rsid w:val="00222C3C"/>
    <w:rsid w:val="00226803"/>
    <w:rsid w:val="0022768B"/>
    <w:rsid w:val="002300F9"/>
    <w:rsid w:val="002320CE"/>
    <w:rsid w:val="0023272D"/>
    <w:rsid w:val="002327DD"/>
    <w:rsid w:val="002328D7"/>
    <w:rsid w:val="00232A80"/>
    <w:rsid w:val="00234232"/>
    <w:rsid w:val="002343C5"/>
    <w:rsid w:val="002344AF"/>
    <w:rsid w:val="002349BB"/>
    <w:rsid w:val="00236600"/>
    <w:rsid w:val="00240C01"/>
    <w:rsid w:val="00243120"/>
    <w:rsid w:val="00243DD7"/>
    <w:rsid w:val="00245C7E"/>
    <w:rsid w:val="00251ECE"/>
    <w:rsid w:val="0025234F"/>
    <w:rsid w:val="00254367"/>
    <w:rsid w:val="002550CE"/>
    <w:rsid w:val="00255D8B"/>
    <w:rsid w:val="00256EB3"/>
    <w:rsid w:val="00257651"/>
    <w:rsid w:val="002576CB"/>
    <w:rsid w:val="00257F99"/>
    <w:rsid w:val="00260491"/>
    <w:rsid w:val="002610EF"/>
    <w:rsid w:val="00261F3E"/>
    <w:rsid w:val="00263B42"/>
    <w:rsid w:val="00263FE9"/>
    <w:rsid w:val="00264309"/>
    <w:rsid w:val="00264E2F"/>
    <w:rsid w:val="00266049"/>
    <w:rsid w:val="0027046C"/>
    <w:rsid w:val="00272EAD"/>
    <w:rsid w:val="0027320D"/>
    <w:rsid w:val="00273EED"/>
    <w:rsid w:val="002742EF"/>
    <w:rsid w:val="002761A5"/>
    <w:rsid w:val="00277300"/>
    <w:rsid w:val="002774CE"/>
    <w:rsid w:val="00277878"/>
    <w:rsid w:val="0028493F"/>
    <w:rsid w:val="002862F4"/>
    <w:rsid w:val="0028648E"/>
    <w:rsid w:val="002910A9"/>
    <w:rsid w:val="002912A6"/>
    <w:rsid w:val="002918E2"/>
    <w:rsid w:val="00293088"/>
    <w:rsid w:val="002A0A83"/>
    <w:rsid w:val="002A0FD8"/>
    <w:rsid w:val="002A24A6"/>
    <w:rsid w:val="002A2D84"/>
    <w:rsid w:val="002A2F2F"/>
    <w:rsid w:val="002A3CB3"/>
    <w:rsid w:val="002A3DBD"/>
    <w:rsid w:val="002A6F91"/>
    <w:rsid w:val="002B014D"/>
    <w:rsid w:val="002B10C2"/>
    <w:rsid w:val="002B112F"/>
    <w:rsid w:val="002B19E4"/>
    <w:rsid w:val="002B2174"/>
    <w:rsid w:val="002B414E"/>
    <w:rsid w:val="002B43D9"/>
    <w:rsid w:val="002B49EB"/>
    <w:rsid w:val="002C3CDA"/>
    <w:rsid w:val="002C61BE"/>
    <w:rsid w:val="002C765A"/>
    <w:rsid w:val="002C7B27"/>
    <w:rsid w:val="002D0349"/>
    <w:rsid w:val="002D06AD"/>
    <w:rsid w:val="002D0979"/>
    <w:rsid w:val="002D0CDB"/>
    <w:rsid w:val="002D1758"/>
    <w:rsid w:val="002D1D17"/>
    <w:rsid w:val="002D2D9C"/>
    <w:rsid w:val="002D34A3"/>
    <w:rsid w:val="002D4172"/>
    <w:rsid w:val="002D4E4F"/>
    <w:rsid w:val="002D54DA"/>
    <w:rsid w:val="002D56BA"/>
    <w:rsid w:val="002D606B"/>
    <w:rsid w:val="002D782A"/>
    <w:rsid w:val="002E0282"/>
    <w:rsid w:val="002E18BC"/>
    <w:rsid w:val="002E3685"/>
    <w:rsid w:val="002E4DFF"/>
    <w:rsid w:val="002F15A0"/>
    <w:rsid w:val="002F212A"/>
    <w:rsid w:val="002F286B"/>
    <w:rsid w:val="002F49D4"/>
    <w:rsid w:val="002F6056"/>
    <w:rsid w:val="003015A5"/>
    <w:rsid w:val="0030244B"/>
    <w:rsid w:val="00302E9F"/>
    <w:rsid w:val="00304541"/>
    <w:rsid w:val="00304588"/>
    <w:rsid w:val="00304C44"/>
    <w:rsid w:val="00305273"/>
    <w:rsid w:val="00306720"/>
    <w:rsid w:val="00306E52"/>
    <w:rsid w:val="003072C6"/>
    <w:rsid w:val="00307942"/>
    <w:rsid w:val="00307F4D"/>
    <w:rsid w:val="00310339"/>
    <w:rsid w:val="0031037A"/>
    <w:rsid w:val="00310778"/>
    <w:rsid w:val="00310D38"/>
    <w:rsid w:val="0031216D"/>
    <w:rsid w:val="003126EF"/>
    <w:rsid w:val="003128D2"/>
    <w:rsid w:val="00312C4F"/>
    <w:rsid w:val="00312EB5"/>
    <w:rsid w:val="0031337A"/>
    <w:rsid w:val="00314AC7"/>
    <w:rsid w:val="0031543E"/>
    <w:rsid w:val="00316234"/>
    <w:rsid w:val="00316D95"/>
    <w:rsid w:val="00321758"/>
    <w:rsid w:val="00325661"/>
    <w:rsid w:val="00325B0C"/>
    <w:rsid w:val="003269B4"/>
    <w:rsid w:val="00326CFE"/>
    <w:rsid w:val="0032732D"/>
    <w:rsid w:val="0033004C"/>
    <w:rsid w:val="00331C37"/>
    <w:rsid w:val="00332514"/>
    <w:rsid w:val="00334916"/>
    <w:rsid w:val="00337377"/>
    <w:rsid w:val="00337DAA"/>
    <w:rsid w:val="00340373"/>
    <w:rsid w:val="00340402"/>
    <w:rsid w:val="003414FF"/>
    <w:rsid w:val="00343ED4"/>
    <w:rsid w:val="00345AEE"/>
    <w:rsid w:val="003463B3"/>
    <w:rsid w:val="0034645B"/>
    <w:rsid w:val="00350971"/>
    <w:rsid w:val="00350B7A"/>
    <w:rsid w:val="003519EF"/>
    <w:rsid w:val="00351C59"/>
    <w:rsid w:val="00351FA6"/>
    <w:rsid w:val="00353742"/>
    <w:rsid w:val="00354636"/>
    <w:rsid w:val="00354EB8"/>
    <w:rsid w:val="00355663"/>
    <w:rsid w:val="00355D5A"/>
    <w:rsid w:val="003562FF"/>
    <w:rsid w:val="00360056"/>
    <w:rsid w:val="003612A4"/>
    <w:rsid w:val="00363C7C"/>
    <w:rsid w:val="00363C81"/>
    <w:rsid w:val="0036420F"/>
    <w:rsid w:val="003648FB"/>
    <w:rsid w:val="003663EA"/>
    <w:rsid w:val="00366B0E"/>
    <w:rsid w:val="00366B6F"/>
    <w:rsid w:val="00367451"/>
    <w:rsid w:val="0037060C"/>
    <w:rsid w:val="003713EA"/>
    <w:rsid w:val="00371ABD"/>
    <w:rsid w:val="00371CEC"/>
    <w:rsid w:val="0037316A"/>
    <w:rsid w:val="0037364A"/>
    <w:rsid w:val="00373C75"/>
    <w:rsid w:val="00376C8F"/>
    <w:rsid w:val="00377B75"/>
    <w:rsid w:val="00380111"/>
    <w:rsid w:val="003808BE"/>
    <w:rsid w:val="003816D7"/>
    <w:rsid w:val="00384ACD"/>
    <w:rsid w:val="00384EF9"/>
    <w:rsid w:val="00385329"/>
    <w:rsid w:val="003860C5"/>
    <w:rsid w:val="003870B1"/>
    <w:rsid w:val="0039064A"/>
    <w:rsid w:val="00391D01"/>
    <w:rsid w:val="00392EFF"/>
    <w:rsid w:val="003937C0"/>
    <w:rsid w:val="00393836"/>
    <w:rsid w:val="00393C3C"/>
    <w:rsid w:val="00393E70"/>
    <w:rsid w:val="003954C2"/>
    <w:rsid w:val="0039564B"/>
    <w:rsid w:val="00395ACD"/>
    <w:rsid w:val="003978B5"/>
    <w:rsid w:val="003A0179"/>
    <w:rsid w:val="003A0463"/>
    <w:rsid w:val="003A0F95"/>
    <w:rsid w:val="003A18C7"/>
    <w:rsid w:val="003A20F2"/>
    <w:rsid w:val="003A4E75"/>
    <w:rsid w:val="003A502D"/>
    <w:rsid w:val="003A7D71"/>
    <w:rsid w:val="003B47EA"/>
    <w:rsid w:val="003B4FA5"/>
    <w:rsid w:val="003B552C"/>
    <w:rsid w:val="003B63F3"/>
    <w:rsid w:val="003B7670"/>
    <w:rsid w:val="003C00A5"/>
    <w:rsid w:val="003C13D7"/>
    <w:rsid w:val="003C1DC3"/>
    <w:rsid w:val="003C218B"/>
    <w:rsid w:val="003C2FA6"/>
    <w:rsid w:val="003C3896"/>
    <w:rsid w:val="003C5257"/>
    <w:rsid w:val="003C79DC"/>
    <w:rsid w:val="003D16C4"/>
    <w:rsid w:val="003D1D4E"/>
    <w:rsid w:val="003D299C"/>
    <w:rsid w:val="003D2EB0"/>
    <w:rsid w:val="003D33AB"/>
    <w:rsid w:val="003D4FCB"/>
    <w:rsid w:val="003D5F32"/>
    <w:rsid w:val="003E04B0"/>
    <w:rsid w:val="003E2A69"/>
    <w:rsid w:val="003E3469"/>
    <w:rsid w:val="003E37CB"/>
    <w:rsid w:val="003F0CFB"/>
    <w:rsid w:val="003F16BA"/>
    <w:rsid w:val="003F1C07"/>
    <w:rsid w:val="003F38B8"/>
    <w:rsid w:val="003F6A14"/>
    <w:rsid w:val="003F702F"/>
    <w:rsid w:val="003F7C96"/>
    <w:rsid w:val="003F7E0D"/>
    <w:rsid w:val="00400F8F"/>
    <w:rsid w:val="00401C12"/>
    <w:rsid w:val="0040286C"/>
    <w:rsid w:val="00402A05"/>
    <w:rsid w:val="00404921"/>
    <w:rsid w:val="0040506B"/>
    <w:rsid w:val="00405C8D"/>
    <w:rsid w:val="00406705"/>
    <w:rsid w:val="0041406F"/>
    <w:rsid w:val="004169FF"/>
    <w:rsid w:val="00421154"/>
    <w:rsid w:val="00422286"/>
    <w:rsid w:val="004233D1"/>
    <w:rsid w:val="004267AE"/>
    <w:rsid w:val="004277F0"/>
    <w:rsid w:val="00427CD2"/>
    <w:rsid w:val="00427E63"/>
    <w:rsid w:val="00430154"/>
    <w:rsid w:val="004310ED"/>
    <w:rsid w:val="00433221"/>
    <w:rsid w:val="004346C9"/>
    <w:rsid w:val="00436CD4"/>
    <w:rsid w:val="00436E27"/>
    <w:rsid w:val="00437249"/>
    <w:rsid w:val="004372D1"/>
    <w:rsid w:val="00440149"/>
    <w:rsid w:val="00440FE6"/>
    <w:rsid w:val="00441319"/>
    <w:rsid w:val="0044147E"/>
    <w:rsid w:val="00442BE2"/>
    <w:rsid w:val="00442D09"/>
    <w:rsid w:val="004468B3"/>
    <w:rsid w:val="004469E5"/>
    <w:rsid w:val="00446C70"/>
    <w:rsid w:val="00447503"/>
    <w:rsid w:val="00447EEE"/>
    <w:rsid w:val="0045012B"/>
    <w:rsid w:val="00450189"/>
    <w:rsid w:val="00452044"/>
    <w:rsid w:val="00452212"/>
    <w:rsid w:val="0045356E"/>
    <w:rsid w:val="004539C5"/>
    <w:rsid w:val="004558E5"/>
    <w:rsid w:val="00457358"/>
    <w:rsid w:val="00460588"/>
    <w:rsid w:val="00461487"/>
    <w:rsid w:val="0046215A"/>
    <w:rsid w:val="00462817"/>
    <w:rsid w:val="00462D52"/>
    <w:rsid w:val="004633DB"/>
    <w:rsid w:val="00463FA9"/>
    <w:rsid w:val="004655E0"/>
    <w:rsid w:val="00465861"/>
    <w:rsid w:val="00466258"/>
    <w:rsid w:val="00467C02"/>
    <w:rsid w:val="00467C52"/>
    <w:rsid w:val="0047026A"/>
    <w:rsid w:val="00470CE1"/>
    <w:rsid w:val="00472847"/>
    <w:rsid w:val="0047320D"/>
    <w:rsid w:val="004736BD"/>
    <w:rsid w:val="0047483C"/>
    <w:rsid w:val="004760BC"/>
    <w:rsid w:val="00477776"/>
    <w:rsid w:val="00477F60"/>
    <w:rsid w:val="00480ADB"/>
    <w:rsid w:val="004824D4"/>
    <w:rsid w:val="004836D9"/>
    <w:rsid w:val="00483834"/>
    <w:rsid w:val="00483E55"/>
    <w:rsid w:val="00484333"/>
    <w:rsid w:val="0048505E"/>
    <w:rsid w:val="00486278"/>
    <w:rsid w:val="004879AE"/>
    <w:rsid w:val="004906BC"/>
    <w:rsid w:val="0049394A"/>
    <w:rsid w:val="00494246"/>
    <w:rsid w:val="00495E40"/>
    <w:rsid w:val="0049730D"/>
    <w:rsid w:val="004A0E96"/>
    <w:rsid w:val="004A167D"/>
    <w:rsid w:val="004A61A8"/>
    <w:rsid w:val="004A6B81"/>
    <w:rsid w:val="004B10DD"/>
    <w:rsid w:val="004B1110"/>
    <w:rsid w:val="004B1AD4"/>
    <w:rsid w:val="004B317E"/>
    <w:rsid w:val="004B5752"/>
    <w:rsid w:val="004B652A"/>
    <w:rsid w:val="004B682A"/>
    <w:rsid w:val="004B6C70"/>
    <w:rsid w:val="004B6F2C"/>
    <w:rsid w:val="004B73BD"/>
    <w:rsid w:val="004C01D6"/>
    <w:rsid w:val="004C1AE2"/>
    <w:rsid w:val="004C6E2F"/>
    <w:rsid w:val="004C7027"/>
    <w:rsid w:val="004D0172"/>
    <w:rsid w:val="004D0B65"/>
    <w:rsid w:val="004D0E53"/>
    <w:rsid w:val="004D1790"/>
    <w:rsid w:val="004D3C5A"/>
    <w:rsid w:val="004D4177"/>
    <w:rsid w:val="004D51E2"/>
    <w:rsid w:val="004D529D"/>
    <w:rsid w:val="004E0518"/>
    <w:rsid w:val="004E1CA6"/>
    <w:rsid w:val="004E2DB6"/>
    <w:rsid w:val="004E4712"/>
    <w:rsid w:val="004E4C63"/>
    <w:rsid w:val="004E6230"/>
    <w:rsid w:val="004E6533"/>
    <w:rsid w:val="004F10AC"/>
    <w:rsid w:val="004F1E2F"/>
    <w:rsid w:val="004F3423"/>
    <w:rsid w:val="004F4473"/>
    <w:rsid w:val="004F5CFC"/>
    <w:rsid w:val="004F6333"/>
    <w:rsid w:val="005005C2"/>
    <w:rsid w:val="005033BA"/>
    <w:rsid w:val="0050449E"/>
    <w:rsid w:val="005055C6"/>
    <w:rsid w:val="00507AF4"/>
    <w:rsid w:val="00510068"/>
    <w:rsid w:val="005117F8"/>
    <w:rsid w:val="005164E2"/>
    <w:rsid w:val="0051740A"/>
    <w:rsid w:val="00517B1E"/>
    <w:rsid w:val="0052055B"/>
    <w:rsid w:val="00522AE8"/>
    <w:rsid w:val="00522F84"/>
    <w:rsid w:val="00523588"/>
    <w:rsid w:val="00523AB5"/>
    <w:rsid w:val="00524B1A"/>
    <w:rsid w:val="00524B4B"/>
    <w:rsid w:val="00524BED"/>
    <w:rsid w:val="00525D2C"/>
    <w:rsid w:val="00526195"/>
    <w:rsid w:val="005303D6"/>
    <w:rsid w:val="00530CAF"/>
    <w:rsid w:val="005311AE"/>
    <w:rsid w:val="0053599B"/>
    <w:rsid w:val="00536DD0"/>
    <w:rsid w:val="00540006"/>
    <w:rsid w:val="00541615"/>
    <w:rsid w:val="00543B4A"/>
    <w:rsid w:val="00547640"/>
    <w:rsid w:val="00550006"/>
    <w:rsid w:val="00551279"/>
    <w:rsid w:val="00551345"/>
    <w:rsid w:val="00551BBE"/>
    <w:rsid w:val="005542E0"/>
    <w:rsid w:val="005566D4"/>
    <w:rsid w:val="0055781E"/>
    <w:rsid w:val="00557992"/>
    <w:rsid w:val="00561DF3"/>
    <w:rsid w:val="00564199"/>
    <w:rsid w:val="0056568A"/>
    <w:rsid w:val="00570DA7"/>
    <w:rsid w:val="00571835"/>
    <w:rsid w:val="00571A30"/>
    <w:rsid w:val="00572285"/>
    <w:rsid w:val="0057621F"/>
    <w:rsid w:val="00576AB1"/>
    <w:rsid w:val="00580A8B"/>
    <w:rsid w:val="0058139C"/>
    <w:rsid w:val="00581779"/>
    <w:rsid w:val="00582248"/>
    <w:rsid w:val="00582E57"/>
    <w:rsid w:val="00583972"/>
    <w:rsid w:val="00584013"/>
    <w:rsid w:val="0058439D"/>
    <w:rsid w:val="00585ADB"/>
    <w:rsid w:val="005907B6"/>
    <w:rsid w:val="0059367D"/>
    <w:rsid w:val="00595FF4"/>
    <w:rsid w:val="005979F3"/>
    <w:rsid w:val="005A1A05"/>
    <w:rsid w:val="005A2453"/>
    <w:rsid w:val="005A2D0F"/>
    <w:rsid w:val="005A3A68"/>
    <w:rsid w:val="005A3BE9"/>
    <w:rsid w:val="005A4D7A"/>
    <w:rsid w:val="005A773A"/>
    <w:rsid w:val="005A7777"/>
    <w:rsid w:val="005A7C36"/>
    <w:rsid w:val="005B09C7"/>
    <w:rsid w:val="005B0E00"/>
    <w:rsid w:val="005B1138"/>
    <w:rsid w:val="005B1A5C"/>
    <w:rsid w:val="005B2D6E"/>
    <w:rsid w:val="005B38A3"/>
    <w:rsid w:val="005B3D28"/>
    <w:rsid w:val="005B66EA"/>
    <w:rsid w:val="005B68B1"/>
    <w:rsid w:val="005B7838"/>
    <w:rsid w:val="005C0034"/>
    <w:rsid w:val="005C1F94"/>
    <w:rsid w:val="005C2042"/>
    <w:rsid w:val="005C4004"/>
    <w:rsid w:val="005C4C0C"/>
    <w:rsid w:val="005C70F6"/>
    <w:rsid w:val="005D06D2"/>
    <w:rsid w:val="005D0CAE"/>
    <w:rsid w:val="005D0DDE"/>
    <w:rsid w:val="005D17DD"/>
    <w:rsid w:val="005D29EF"/>
    <w:rsid w:val="005D37E8"/>
    <w:rsid w:val="005D483A"/>
    <w:rsid w:val="005D5403"/>
    <w:rsid w:val="005D6135"/>
    <w:rsid w:val="005D6CC0"/>
    <w:rsid w:val="005E0B53"/>
    <w:rsid w:val="005E2192"/>
    <w:rsid w:val="005E28E5"/>
    <w:rsid w:val="005E2AFC"/>
    <w:rsid w:val="005E3235"/>
    <w:rsid w:val="005E3DC3"/>
    <w:rsid w:val="005E7591"/>
    <w:rsid w:val="005F3CDC"/>
    <w:rsid w:val="005F3D42"/>
    <w:rsid w:val="005F52D9"/>
    <w:rsid w:val="005F56C2"/>
    <w:rsid w:val="005F5763"/>
    <w:rsid w:val="005F6130"/>
    <w:rsid w:val="005F75AB"/>
    <w:rsid w:val="005F7D49"/>
    <w:rsid w:val="00600B09"/>
    <w:rsid w:val="00602A43"/>
    <w:rsid w:val="006038EE"/>
    <w:rsid w:val="00605024"/>
    <w:rsid w:val="0060657A"/>
    <w:rsid w:val="00606FF6"/>
    <w:rsid w:val="006112DC"/>
    <w:rsid w:val="0061251A"/>
    <w:rsid w:val="00612C96"/>
    <w:rsid w:val="006131EE"/>
    <w:rsid w:val="00614F4B"/>
    <w:rsid w:val="0061557E"/>
    <w:rsid w:val="00617518"/>
    <w:rsid w:val="006212E7"/>
    <w:rsid w:val="00621C6C"/>
    <w:rsid w:val="00624145"/>
    <w:rsid w:val="00625475"/>
    <w:rsid w:val="006312A6"/>
    <w:rsid w:val="00631AFD"/>
    <w:rsid w:val="0063342B"/>
    <w:rsid w:val="00633D2B"/>
    <w:rsid w:val="00635CC0"/>
    <w:rsid w:val="00635D5A"/>
    <w:rsid w:val="006363A1"/>
    <w:rsid w:val="00637247"/>
    <w:rsid w:val="00641461"/>
    <w:rsid w:val="00642D11"/>
    <w:rsid w:val="006438BE"/>
    <w:rsid w:val="00643EFC"/>
    <w:rsid w:val="006444D7"/>
    <w:rsid w:val="00646055"/>
    <w:rsid w:val="0064716A"/>
    <w:rsid w:val="006473F2"/>
    <w:rsid w:val="00647D6A"/>
    <w:rsid w:val="006500FD"/>
    <w:rsid w:val="00650156"/>
    <w:rsid w:val="00650456"/>
    <w:rsid w:val="00651661"/>
    <w:rsid w:val="00651C0C"/>
    <w:rsid w:val="006522CB"/>
    <w:rsid w:val="006524AA"/>
    <w:rsid w:val="00653AEA"/>
    <w:rsid w:val="00654D61"/>
    <w:rsid w:val="006560BE"/>
    <w:rsid w:val="0065777F"/>
    <w:rsid w:val="00660B47"/>
    <w:rsid w:val="006621C8"/>
    <w:rsid w:val="0066397C"/>
    <w:rsid w:val="00664246"/>
    <w:rsid w:val="00664375"/>
    <w:rsid w:val="0066779B"/>
    <w:rsid w:val="00671020"/>
    <w:rsid w:val="00671F28"/>
    <w:rsid w:val="00672516"/>
    <w:rsid w:val="00673BC6"/>
    <w:rsid w:val="00673D3A"/>
    <w:rsid w:val="0067556E"/>
    <w:rsid w:val="00677415"/>
    <w:rsid w:val="00677E31"/>
    <w:rsid w:val="00677F7A"/>
    <w:rsid w:val="006805BA"/>
    <w:rsid w:val="0068294A"/>
    <w:rsid w:val="00684658"/>
    <w:rsid w:val="006846DE"/>
    <w:rsid w:val="0068492A"/>
    <w:rsid w:val="00684BCF"/>
    <w:rsid w:val="006853B5"/>
    <w:rsid w:val="006858FC"/>
    <w:rsid w:val="00686691"/>
    <w:rsid w:val="00686C52"/>
    <w:rsid w:val="00687418"/>
    <w:rsid w:val="00690464"/>
    <w:rsid w:val="00690749"/>
    <w:rsid w:val="0069233F"/>
    <w:rsid w:val="00692503"/>
    <w:rsid w:val="00692BC7"/>
    <w:rsid w:val="00693119"/>
    <w:rsid w:val="00693980"/>
    <w:rsid w:val="006948BC"/>
    <w:rsid w:val="00694EE5"/>
    <w:rsid w:val="0069675E"/>
    <w:rsid w:val="006967A1"/>
    <w:rsid w:val="00697885"/>
    <w:rsid w:val="00697FE6"/>
    <w:rsid w:val="006A02B5"/>
    <w:rsid w:val="006A177F"/>
    <w:rsid w:val="006A1823"/>
    <w:rsid w:val="006A3897"/>
    <w:rsid w:val="006A547D"/>
    <w:rsid w:val="006B0E19"/>
    <w:rsid w:val="006B2068"/>
    <w:rsid w:val="006B30B6"/>
    <w:rsid w:val="006B58E6"/>
    <w:rsid w:val="006B68AF"/>
    <w:rsid w:val="006B6B0E"/>
    <w:rsid w:val="006B73FF"/>
    <w:rsid w:val="006C06E5"/>
    <w:rsid w:val="006C0DE6"/>
    <w:rsid w:val="006C134A"/>
    <w:rsid w:val="006C4C49"/>
    <w:rsid w:val="006C53B8"/>
    <w:rsid w:val="006D1EC9"/>
    <w:rsid w:val="006D2868"/>
    <w:rsid w:val="006D3B87"/>
    <w:rsid w:val="006D3F31"/>
    <w:rsid w:val="006D4692"/>
    <w:rsid w:val="006D6009"/>
    <w:rsid w:val="006D74B7"/>
    <w:rsid w:val="006D7540"/>
    <w:rsid w:val="006D7B81"/>
    <w:rsid w:val="006E3078"/>
    <w:rsid w:val="006E3B9F"/>
    <w:rsid w:val="006E4729"/>
    <w:rsid w:val="006E4C8C"/>
    <w:rsid w:val="006E4F06"/>
    <w:rsid w:val="006E5525"/>
    <w:rsid w:val="006E58AE"/>
    <w:rsid w:val="006E614A"/>
    <w:rsid w:val="006E6319"/>
    <w:rsid w:val="006E65FF"/>
    <w:rsid w:val="006E6695"/>
    <w:rsid w:val="006F02DE"/>
    <w:rsid w:val="006F1C05"/>
    <w:rsid w:val="006F24F3"/>
    <w:rsid w:val="006F4D38"/>
    <w:rsid w:val="006F623A"/>
    <w:rsid w:val="006F76C4"/>
    <w:rsid w:val="006F7A53"/>
    <w:rsid w:val="00701491"/>
    <w:rsid w:val="007015AD"/>
    <w:rsid w:val="007060DC"/>
    <w:rsid w:val="00707C19"/>
    <w:rsid w:val="00711125"/>
    <w:rsid w:val="007124FB"/>
    <w:rsid w:val="007148B8"/>
    <w:rsid w:val="00717EC6"/>
    <w:rsid w:val="007207E3"/>
    <w:rsid w:val="007219B0"/>
    <w:rsid w:val="0072242D"/>
    <w:rsid w:val="00722A27"/>
    <w:rsid w:val="00723C95"/>
    <w:rsid w:val="00725659"/>
    <w:rsid w:val="00726400"/>
    <w:rsid w:val="0073140E"/>
    <w:rsid w:val="00735D94"/>
    <w:rsid w:val="00736395"/>
    <w:rsid w:val="00736990"/>
    <w:rsid w:val="007403C2"/>
    <w:rsid w:val="0074259A"/>
    <w:rsid w:val="00743437"/>
    <w:rsid w:val="00744F95"/>
    <w:rsid w:val="00745A88"/>
    <w:rsid w:val="00745DDE"/>
    <w:rsid w:val="00747E92"/>
    <w:rsid w:val="00751708"/>
    <w:rsid w:val="00751B16"/>
    <w:rsid w:val="00752038"/>
    <w:rsid w:val="00753450"/>
    <w:rsid w:val="0075667E"/>
    <w:rsid w:val="007604BD"/>
    <w:rsid w:val="007615E1"/>
    <w:rsid w:val="00763074"/>
    <w:rsid w:val="007634C6"/>
    <w:rsid w:val="007645BC"/>
    <w:rsid w:val="007654C4"/>
    <w:rsid w:val="0077000E"/>
    <w:rsid w:val="00771BAA"/>
    <w:rsid w:val="007729AE"/>
    <w:rsid w:val="007732FE"/>
    <w:rsid w:val="00773A27"/>
    <w:rsid w:val="007753FB"/>
    <w:rsid w:val="007754BB"/>
    <w:rsid w:val="00782208"/>
    <w:rsid w:val="0078276D"/>
    <w:rsid w:val="00782D5B"/>
    <w:rsid w:val="00782FF2"/>
    <w:rsid w:val="00783003"/>
    <w:rsid w:val="00785369"/>
    <w:rsid w:val="0078604C"/>
    <w:rsid w:val="00787162"/>
    <w:rsid w:val="00787B0E"/>
    <w:rsid w:val="0079062D"/>
    <w:rsid w:val="007908EF"/>
    <w:rsid w:val="00791A49"/>
    <w:rsid w:val="00792080"/>
    <w:rsid w:val="00792895"/>
    <w:rsid w:val="00792D71"/>
    <w:rsid w:val="00796B5D"/>
    <w:rsid w:val="00797CDD"/>
    <w:rsid w:val="007A035C"/>
    <w:rsid w:val="007A07DB"/>
    <w:rsid w:val="007A1F57"/>
    <w:rsid w:val="007A25F2"/>
    <w:rsid w:val="007A43BD"/>
    <w:rsid w:val="007A4D77"/>
    <w:rsid w:val="007A5121"/>
    <w:rsid w:val="007A7354"/>
    <w:rsid w:val="007B1719"/>
    <w:rsid w:val="007B1F62"/>
    <w:rsid w:val="007B285E"/>
    <w:rsid w:val="007B2FED"/>
    <w:rsid w:val="007B38B3"/>
    <w:rsid w:val="007B3EB3"/>
    <w:rsid w:val="007B45C8"/>
    <w:rsid w:val="007B5173"/>
    <w:rsid w:val="007C0DB4"/>
    <w:rsid w:val="007C2965"/>
    <w:rsid w:val="007C2BA0"/>
    <w:rsid w:val="007C5075"/>
    <w:rsid w:val="007C5FC8"/>
    <w:rsid w:val="007C6ADB"/>
    <w:rsid w:val="007C6E35"/>
    <w:rsid w:val="007C6F09"/>
    <w:rsid w:val="007C7407"/>
    <w:rsid w:val="007D2806"/>
    <w:rsid w:val="007D59E2"/>
    <w:rsid w:val="007D60FA"/>
    <w:rsid w:val="007D6A05"/>
    <w:rsid w:val="007D6B1C"/>
    <w:rsid w:val="007E09A5"/>
    <w:rsid w:val="007E0D90"/>
    <w:rsid w:val="007E13E5"/>
    <w:rsid w:val="007E16B7"/>
    <w:rsid w:val="007E2071"/>
    <w:rsid w:val="007E3576"/>
    <w:rsid w:val="007E4A9B"/>
    <w:rsid w:val="007E5166"/>
    <w:rsid w:val="007E531D"/>
    <w:rsid w:val="007E61CA"/>
    <w:rsid w:val="007E6A65"/>
    <w:rsid w:val="007E745E"/>
    <w:rsid w:val="007F13A7"/>
    <w:rsid w:val="007F17BF"/>
    <w:rsid w:val="007F2E14"/>
    <w:rsid w:val="007F4521"/>
    <w:rsid w:val="007F5164"/>
    <w:rsid w:val="007F548B"/>
    <w:rsid w:val="007F6386"/>
    <w:rsid w:val="007F6C87"/>
    <w:rsid w:val="007F70FB"/>
    <w:rsid w:val="007F7C5C"/>
    <w:rsid w:val="00800949"/>
    <w:rsid w:val="00800AA5"/>
    <w:rsid w:val="008011DC"/>
    <w:rsid w:val="0080163F"/>
    <w:rsid w:val="008029BE"/>
    <w:rsid w:val="00802A3F"/>
    <w:rsid w:val="00803556"/>
    <w:rsid w:val="00803A1D"/>
    <w:rsid w:val="008048BF"/>
    <w:rsid w:val="00804E6A"/>
    <w:rsid w:val="008059A6"/>
    <w:rsid w:val="00806DA7"/>
    <w:rsid w:val="0081551A"/>
    <w:rsid w:val="0081575F"/>
    <w:rsid w:val="0082157B"/>
    <w:rsid w:val="0082392E"/>
    <w:rsid w:val="00827BC7"/>
    <w:rsid w:val="008314A2"/>
    <w:rsid w:val="00831794"/>
    <w:rsid w:val="00831F79"/>
    <w:rsid w:val="008352B8"/>
    <w:rsid w:val="0083564F"/>
    <w:rsid w:val="008363DA"/>
    <w:rsid w:val="00836955"/>
    <w:rsid w:val="00837273"/>
    <w:rsid w:val="0083793C"/>
    <w:rsid w:val="0084029F"/>
    <w:rsid w:val="00840A21"/>
    <w:rsid w:val="00840E3F"/>
    <w:rsid w:val="008449C4"/>
    <w:rsid w:val="00844A18"/>
    <w:rsid w:val="00846563"/>
    <w:rsid w:val="008472CE"/>
    <w:rsid w:val="00851677"/>
    <w:rsid w:val="00855D2D"/>
    <w:rsid w:val="00855FF1"/>
    <w:rsid w:val="008612EE"/>
    <w:rsid w:val="008612F1"/>
    <w:rsid w:val="00862F08"/>
    <w:rsid w:val="0086444D"/>
    <w:rsid w:val="00865299"/>
    <w:rsid w:val="00865937"/>
    <w:rsid w:val="00866CC9"/>
    <w:rsid w:val="008676DE"/>
    <w:rsid w:val="00870ED5"/>
    <w:rsid w:val="0087129D"/>
    <w:rsid w:val="008720F3"/>
    <w:rsid w:val="00873708"/>
    <w:rsid w:val="00873DF1"/>
    <w:rsid w:val="00877431"/>
    <w:rsid w:val="00877EB4"/>
    <w:rsid w:val="00880747"/>
    <w:rsid w:val="008824C1"/>
    <w:rsid w:val="0088278B"/>
    <w:rsid w:val="00884471"/>
    <w:rsid w:val="008844BA"/>
    <w:rsid w:val="00884749"/>
    <w:rsid w:val="008848B5"/>
    <w:rsid w:val="008852A1"/>
    <w:rsid w:val="00893190"/>
    <w:rsid w:val="0089437C"/>
    <w:rsid w:val="0089449D"/>
    <w:rsid w:val="008973A4"/>
    <w:rsid w:val="008978E6"/>
    <w:rsid w:val="00897BCA"/>
    <w:rsid w:val="008A05EE"/>
    <w:rsid w:val="008A0B77"/>
    <w:rsid w:val="008A4817"/>
    <w:rsid w:val="008A4BC4"/>
    <w:rsid w:val="008A6497"/>
    <w:rsid w:val="008A69F5"/>
    <w:rsid w:val="008A6B97"/>
    <w:rsid w:val="008A77A6"/>
    <w:rsid w:val="008B3568"/>
    <w:rsid w:val="008B3997"/>
    <w:rsid w:val="008B3DEA"/>
    <w:rsid w:val="008B4D31"/>
    <w:rsid w:val="008B77B1"/>
    <w:rsid w:val="008C085A"/>
    <w:rsid w:val="008C16F3"/>
    <w:rsid w:val="008C362C"/>
    <w:rsid w:val="008C4671"/>
    <w:rsid w:val="008D21D1"/>
    <w:rsid w:val="008D2B39"/>
    <w:rsid w:val="008D38FE"/>
    <w:rsid w:val="008D5B89"/>
    <w:rsid w:val="008E0205"/>
    <w:rsid w:val="008E05A8"/>
    <w:rsid w:val="008E21B0"/>
    <w:rsid w:val="008E2267"/>
    <w:rsid w:val="008E44D8"/>
    <w:rsid w:val="008E58CC"/>
    <w:rsid w:val="008E5E64"/>
    <w:rsid w:val="008E5F4B"/>
    <w:rsid w:val="008E672A"/>
    <w:rsid w:val="008E7622"/>
    <w:rsid w:val="008F01F6"/>
    <w:rsid w:val="008F555E"/>
    <w:rsid w:val="008F598E"/>
    <w:rsid w:val="009000AB"/>
    <w:rsid w:val="009003F9"/>
    <w:rsid w:val="009009F5"/>
    <w:rsid w:val="00903ED7"/>
    <w:rsid w:val="0090407F"/>
    <w:rsid w:val="0090436C"/>
    <w:rsid w:val="00905402"/>
    <w:rsid w:val="0090588D"/>
    <w:rsid w:val="009060BD"/>
    <w:rsid w:val="00906769"/>
    <w:rsid w:val="00906E48"/>
    <w:rsid w:val="00907C1C"/>
    <w:rsid w:val="00911648"/>
    <w:rsid w:val="00914288"/>
    <w:rsid w:val="009149ED"/>
    <w:rsid w:val="009158A9"/>
    <w:rsid w:val="00916FBE"/>
    <w:rsid w:val="009170A5"/>
    <w:rsid w:val="00921314"/>
    <w:rsid w:val="00922FBB"/>
    <w:rsid w:val="00923C91"/>
    <w:rsid w:val="00924D99"/>
    <w:rsid w:val="00926330"/>
    <w:rsid w:val="00926845"/>
    <w:rsid w:val="00926C40"/>
    <w:rsid w:val="009307FD"/>
    <w:rsid w:val="00931020"/>
    <w:rsid w:val="009371D8"/>
    <w:rsid w:val="009372E6"/>
    <w:rsid w:val="00940446"/>
    <w:rsid w:val="00941C66"/>
    <w:rsid w:val="0094369D"/>
    <w:rsid w:val="00944BCD"/>
    <w:rsid w:val="00944FD8"/>
    <w:rsid w:val="009510A4"/>
    <w:rsid w:val="009537B3"/>
    <w:rsid w:val="00954879"/>
    <w:rsid w:val="00954977"/>
    <w:rsid w:val="00955031"/>
    <w:rsid w:val="00955404"/>
    <w:rsid w:val="00955762"/>
    <w:rsid w:val="00956603"/>
    <w:rsid w:val="00960AF4"/>
    <w:rsid w:val="00964012"/>
    <w:rsid w:val="009662AB"/>
    <w:rsid w:val="00966EBC"/>
    <w:rsid w:val="00967B59"/>
    <w:rsid w:val="00970CB3"/>
    <w:rsid w:val="0097103F"/>
    <w:rsid w:val="0097151E"/>
    <w:rsid w:val="00973351"/>
    <w:rsid w:val="009735E9"/>
    <w:rsid w:val="00974ED3"/>
    <w:rsid w:val="00975505"/>
    <w:rsid w:val="009771F7"/>
    <w:rsid w:val="00977336"/>
    <w:rsid w:val="009777D9"/>
    <w:rsid w:val="00980CB3"/>
    <w:rsid w:val="0098105B"/>
    <w:rsid w:val="009810F2"/>
    <w:rsid w:val="009826EF"/>
    <w:rsid w:val="00982E2E"/>
    <w:rsid w:val="009846E5"/>
    <w:rsid w:val="009850E9"/>
    <w:rsid w:val="009856EF"/>
    <w:rsid w:val="00986040"/>
    <w:rsid w:val="00990198"/>
    <w:rsid w:val="009904ED"/>
    <w:rsid w:val="009917E8"/>
    <w:rsid w:val="00991923"/>
    <w:rsid w:val="00992083"/>
    <w:rsid w:val="00992969"/>
    <w:rsid w:val="00993D09"/>
    <w:rsid w:val="00994144"/>
    <w:rsid w:val="009965F1"/>
    <w:rsid w:val="009A23A1"/>
    <w:rsid w:val="009A2800"/>
    <w:rsid w:val="009A2995"/>
    <w:rsid w:val="009A304E"/>
    <w:rsid w:val="009A35C7"/>
    <w:rsid w:val="009A3715"/>
    <w:rsid w:val="009A3D40"/>
    <w:rsid w:val="009A4282"/>
    <w:rsid w:val="009A5E66"/>
    <w:rsid w:val="009A7838"/>
    <w:rsid w:val="009A78C5"/>
    <w:rsid w:val="009B12DF"/>
    <w:rsid w:val="009B1F57"/>
    <w:rsid w:val="009B2188"/>
    <w:rsid w:val="009B3348"/>
    <w:rsid w:val="009B77C1"/>
    <w:rsid w:val="009C0AD8"/>
    <w:rsid w:val="009C18C8"/>
    <w:rsid w:val="009C315A"/>
    <w:rsid w:val="009C532E"/>
    <w:rsid w:val="009C5D22"/>
    <w:rsid w:val="009C653E"/>
    <w:rsid w:val="009C76E8"/>
    <w:rsid w:val="009D029D"/>
    <w:rsid w:val="009D25EF"/>
    <w:rsid w:val="009D4C6C"/>
    <w:rsid w:val="009D5C79"/>
    <w:rsid w:val="009D731B"/>
    <w:rsid w:val="009D731D"/>
    <w:rsid w:val="009E057B"/>
    <w:rsid w:val="009E066C"/>
    <w:rsid w:val="009E0ABA"/>
    <w:rsid w:val="009E136D"/>
    <w:rsid w:val="009E2AD8"/>
    <w:rsid w:val="009E2C74"/>
    <w:rsid w:val="009E2D4D"/>
    <w:rsid w:val="009E3E8E"/>
    <w:rsid w:val="009E41AC"/>
    <w:rsid w:val="009E42B9"/>
    <w:rsid w:val="009E4440"/>
    <w:rsid w:val="009F1254"/>
    <w:rsid w:val="009F1EE6"/>
    <w:rsid w:val="009F2625"/>
    <w:rsid w:val="009F549C"/>
    <w:rsid w:val="009F5882"/>
    <w:rsid w:val="009F6E8E"/>
    <w:rsid w:val="00A0072A"/>
    <w:rsid w:val="00A008BB"/>
    <w:rsid w:val="00A021BC"/>
    <w:rsid w:val="00A04998"/>
    <w:rsid w:val="00A07BDF"/>
    <w:rsid w:val="00A07E61"/>
    <w:rsid w:val="00A113D8"/>
    <w:rsid w:val="00A123B3"/>
    <w:rsid w:val="00A14FC8"/>
    <w:rsid w:val="00A15259"/>
    <w:rsid w:val="00A15916"/>
    <w:rsid w:val="00A16835"/>
    <w:rsid w:val="00A17652"/>
    <w:rsid w:val="00A17A9E"/>
    <w:rsid w:val="00A17C5F"/>
    <w:rsid w:val="00A17F44"/>
    <w:rsid w:val="00A21F4A"/>
    <w:rsid w:val="00A22475"/>
    <w:rsid w:val="00A2421C"/>
    <w:rsid w:val="00A2428F"/>
    <w:rsid w:val="00A24D2B"/>
    <w:rsid w:val="00A264C8"/>
    <w:rsid w:val="00A26DC8"/>
    <w:rsid w:val="00A309D6"/>
    <w:rsid w:val="00A30CE9"/>
    <w:rsid w:val="00A32859"/>
    <w:rsid w:val="00A34C5A"/>
    <w:rsid w:val="00A42ED2"/>
    <w:rsid w:val="00A43366"/>
    <w:rsid w:val="00A44951"/>
    <w:rsid w:val="00A45679"/>
    <w:rsid w:val="00A46275"/>
    <w:rsid w:val="00A51299"/>
    <w:rsid w:val="00A55D96"/>
    <w:rsid w:val="00A57123"/>
    <w:rsid w:val="00A6197C"/>
    <w:rsid w:val="00A623F9"/>
    <w:rsid w:val="00A6307D"/>
    <w:rsid w:val="00A64666"/>
    <w:rsid w:val="00A64671"/>
    <w:rsid w:val="00A646E5"/>
    <w:rsid w:val="00A648DF"/>
    <w:rsid w:val="00A70062"/>
    <w:rsid w:val="00A70A94"/>
    <w:rsid w:val="00A7192D"/>
    <w:rsid w:val="00A72B47"/>
    <w:rsid w:val="00A74871"/>
    <w:rsid w:val="00A754AC"/>
    <w:rsid w:val="00A77393"/>
    <w:rsid w:val="00A778AE"/>
    <w:rsid w:val="00A77D68"/>
    <w:rsid w:val="00A800BF"/>
    <w:rsid w:val="00A81FE3"/>
    <w:rsid w:val="00A8207F"/>
    <w:rsid w:val="00A82F20"/>
    <w:rsid w:val="00A831D8"/>
    <w:rsid w:val="00A83860"/>
    <w:rsid w:val="00A83ECD"/>
    <w:rsid w:val="00A8476F"/>
    <w:rsid w:val="00A857D2"/>
    <w:rsid w:val="00A8595C"/>
    <w:rsid w:val="00A87511"/>
    <w:rsid w:val="00A87A1B"/>
    <w:rsid w:val="00A87CA1"/>
    <w:rsid w:val="00A91562"/>
    <w:rsid w:val="00A924CC"/>
    <w:rsid w:val="00A93396"/>
    <w:rsid w:val="00A93B26"/>
    <w:rsid w:val="00A942B9"/>
    <w:rsid w:val="00AA15C6"/>
    <w:rsid w:val="00AA2003"/>
    <w:rsid w:val="00AA243F"/>
    <w:rsid w:val="00AA30A6"/>
    <w:rsid w:val="00AA597F"/>
    <w:rsid w:val="00AB0A06"/>
    <w:rsid w:val="00AB1245"/>
    <w:rsid w:val="00AB2952"/>
    <w:rsid w:val="00AB66E0"/>
    <w:rsid w:val="00AB6AAC"/>
    <w:rsid w:val="00AC05B1"/>
    <w:rsid w:val="00AC06FB"/>
    <w:rsid w:val="00AC1FE7"/>
    <w:rsid w:val="00AC2423"/>
    <w:rsid w:val="00AC30A0"/>
    <w:rsid w:val="00AC3DD2"/>
    <w:rsid w:val="00AC4DA6"/>
    <w:rsid w:val="00AC615E"/>
    <w:rsid w:val="00AC6CF4"/>
    <w:rsid w:val="00AD0AEA"/>
    <w:rsid w:val="00AD233D"/>
    <w:rsid w:val="00AD2684"/>
    <w:rsid w:val="00AD2F06"/>
    <w:rsid w:val="00AD2F6B"/>
    <w:rsid w:val="00AD4C7B"/>
    <w:rsid w:val="00AD5383"/>
    <w:rsid w:val="00AD5601"/>
    <w:rsid w:val="00AD681C"/>
    <w:rsid w:val="00AE1292"/>
    <w:rsid w:val="00AE18B3"/>
    <w:rsid w:val="00AE24E7"/>
    <w:rsid w:val="00AE2D98"/>
    <w:rsid w:val="00AE480F"/>
    <w:rsid w:val="00AE4AD6"/>
    <w:rsid w:val="00AE7A15"/>
    <w:rsid w:val="00AF231B"/>
    <w:rsid w:val="00AF37BD"/>
    <w:rsid w:val="00AF3894"/>
    <w:rsid w:val="00AF3D0A"/>
    <w:rsid w:val="00AF44E1"/>
    <w:rsid w:val="00AF4BE7"/>
    <w:rsid w:val="00AF4DB5"/>
    <w:rsid w:val="00B001E7"/>
    <w:rsid w:val="00B00C2E"/>
    <w:rsid w:val="00B01F42"/>
    <w:rsid w:val="00B03919"/>
    <w:rsid w:val="00B0403A"/>
    <w:rsid w:val="00B0411A"/>
    <w:rsid w:val="00B068F6"/>
    <w:rsid w:val="00B07426"/>
    <w:rsid w:val="00B10050"/>
    <w:rsid w:val="00B1049C"/>
    <w:rsid w:val="00B11A35"/>
    <w:rsid w:val="00B11FF9"/>
    <w:rsid w:val="00B1216B"/>
    <w:rsid w:val="00B137C6"/>
    <w:rsid w:val="00B14287"/>
    <w:rsid w:val="00B14A67"/>
    <w:rsid w:val="00B16D5A"/>
    <w:rsid w:val="00B17B13"/>
    <w:rsid w:val="00B20D01"/>
    <w:rsid w:val="00B223FE"/>
    <w:rsid w:val="00B22850"/>
    <w:rsid w:val="00B22F3F"/>
    <w:rsid w:val="00B2319D"/>
    <w:rsid w:val="00B23941"/>
    <w:rsid w:val="00B23EC6"/>
    <w:rsid w:val="00B267D6"/>
    <w:rsid w:val="00B26C18"/>
    <w:rsid w:val="00B26EBC"/>
    <w:rsid w:val="00B27090"/>
    <w:rsid w:val="00B2733D"/>
    <w:rsid w:val="00B310DD"/>
    <w:rsid w:val="00B344DA"/>
    <w:rsid w:val="00B34E45"/>
    <w:rsid w:val="00B34F20"/>
    <w:rsid w:val="00B34F98"/>
    <w:rsid w:val="00B36D46"/>
    <w:rsid w:val="00B401A8"/>
    <w:rsid w:val="00B41DB3"/>
    <w:rsid w:val="00B4346E"/>
    <w:rsid w:val="00B43502"/>
    <w:rsid w:val="00B43B15"/>
    <w:rsid w:val="00B442BC"/>
    <w:rsid w:val="00B44BAA"/>
    <w:rsid w:val="00B45F49"/>
    <w:rsid w:val="00B46627"/>
    <w:rsid w:val="00B52494"/>
    <w:rsid w:val="00B524E0"/>
    <w:rsid w:val="00B53516"/>
    <w:rsid w:val="00B53CCA"/>
    <w:rsid w:val="00B553DF"/>
    <w:rsid w:val="00B575D3"/>
    <w:rsid w:val="00B57BE2"/>
    <w:rsid w:val="00B602F2"/>
    <w:rsid w:val="00B607A4"/>
    <w:rsid w:val="00B6191D"/>
    <w:rsid w:val="00B61E1C"/>
    <w:rsid w:val="00B626F0"/>
    <w:rsid w:val="00B628A5"/>
    <w:rsid w:val="00B631EE"/>
    <w:rsid w:val="00B6330D"/>
    <w:rsid w:val="00B65351"/>
    <w:rsid w:val="00B70230"/>
    <w:rsid w:val="00B706B3"/>
    <w:rsid w:val="00B73469"/>
    <w:rsid w:val="00B75093"/>
    <w:rsid w:val="00B75ED4"/>
    <w:rsid w:val="00B802E2"/>
    <w:rsid w:val="00B80E31"/>
    <w:rsid w:val="00B8322C"/>
    <w:rsid w:val="00B847C1"/>
    <w:rsid w:val="00B849F9"/>
    <w:rsid w:val="00B84A30"/>
    <w:rsid w:val="00B84FF2"/>
    <w:rsid w:val="00B8536B"/>
    <w:rsid w:val="00B85EB3"/>
    <w:rsid w:val="00B869D8"/>
    <w:rsid w:val="00B87B13"/>
    <w:rsid w:val="00B900DE"/>
    <w:rsid w:val="00B90284"/>
    <w:rsid w:val="00B911B1"/>
    <w:rsid w:val="00B91F7A"/>
    <w:rsid w:val="00B92705"/>
    <w:rsid w:val="00B9380E"/>
    <w:rsid w:val="00B93F71"/>
    <w:rsid w:val="00B97224"/>
    <w:rsid w:val="00BA0AC5"/>
    <w:rsid w:val="00BA4BB4"/>
    <w:rsid w:val="00BA4FF1"/>
    <w:rsid w:val="00BA582C"/>
    <w:rsid w:val="00BA7E11"/>
    <w:rsid w:val="00BB1889"/>
    <w:rsid w:val="00BB2F8F"/>
    <w:rsid w:val="00BC1321"/>
    <w:rsid w:val="00BC275B"/>
    <w:rsid w:val="00BC31F3"/>
    <w:rsid w:val="00BC3934"/>
    <w:rsid w:val="00BC42A5"/>
    <w:rsid w:val="00BC4B20"/>
    <w:rsid w:val="00BC5352"/>
    <w:rsid w:val="00BC57D5"/>
    <w:rsid w:val="00BC5E57"/>
    <w:rsid w:val="00BC7AAF"/>
    <w:rsid w:val="00BC7C0C"/>
    <w:rsid w:val="00BD006B"/>
    <w:rsid w:val="00BD02E3"/>
    <w:rsid w:val="00BD152F"/>
    <w:rsid w:val="00BD2658"/>
    <w:rsid w:val="00BD6B87"/>
    <w:rsid w:val="00BD6DD9"/>
    <w:rsid w:val="00BE06F7"/>
    <w:rsid w:val="00BE09C2"/>
    <w:rsid w:val="00BE36FF"/>
    <w:rsid w:val="00BE7791"/>
    <w:rsid w:val="00BF108F"/>
    <w:rsid w:val="00BF149A"/>
    <w:rsid w:val="00BF2527"/>
    <w:rsid w:val="00BF2C88"/>
    <w:rsid w:val="00BF3595"/>
    <w:rsid w:val="00BF43C2"/>
    <w:rsid w:val="00BF444A"/>
    <w:rsid w:val="00BF46FE"/>
    <w:rsid w:val="00BF47F3"/>
    <w:rsid w:val="00BF7184"/>
    <w:rsid w:val="00BF781B"/>
    <w:rsid w:val="00BF7893"/>
    <w:rsid w:val="00BF7BFC"/>
    <w:rsid w:val="00C00E06"/>
    <w:rsid w:val="00C02F98"/>
    <w:rsid w:val="00C03223"/>
    <w:rsid w:val="00C038F5"/>
    <w:rsid w:val="00C03FF2"/>
    <w:rsid w:val="00C050F9"/>
    <w:rsid w:val="00C05BA3"/>
    <w:rsid w:val="00C05D26"/>
    <w:rsid w:val="00C06227"/>
    <w:rsid w:val="00C06CD9"/>
    <w:rsid w:val="00C06DF5"/>
    <w:rsid w:val="00C103C2"/>
    <w:rsid w:val="00C10A7C"/>
    <w:rsid w:val="00C127F7"/>
    <w:rsid w:val="00C1322C"/>
    <w:rsid w:val="00C13DF8"/>
    <w:rsid w:val="00C14F18"/>
    <w:rsid w:val="00C16101"/>
    <w:rsid w:val="00C16E9B"/>
    <w:rsid w:val="00C17B39"/>
    <w:rsid w:val="00C207C6"/>
    <w:rsid w:val="00C301FD"/>
    <w:rsid w:val="00C30995"/>
    <w:rsid w:val="00C32203"/>
    <w:rsid w:val="00C3620A"/>
    <w:rsid w:val="00C363DD"/>
    <w:rsid w:val="00C40B6C"/>
    <w:rsid w:val="00C41056"/>
    <w:rsid w:val="00C43E66"/>
    <w:rsid w:val="00C43E83"/>
    <w:rsid w:val="00C45974"/>
    <w:rsid w:val="00C45AE5"/>
    <w:rsid w:val="00C46CEA"/>
    <w:rsid w:val="00C51C95"/>
    <w:rsid w:val="00C52288"/>
    <w:rsid w:val="00C527EF"/>
    <w:rsid w:val="00C5303B"/>
    <w:rsid w:val="00C54615"/>
    <w:rsid w:val="00C55E3B"/>
    <w:rsid w:val="00C57737"/>
    <w:rsid w:val="00C60504"/>
    <w:rsid w:val="00C61F58"/>
    <w:rsid w:val="00C62A45"/>
    <w:rsid w:val="00C62D9E"/>
    <w:rsid w:val="00C63D1E"/>
    <w:rsid w:val="00C659C4"/>
    <w:rsid w:val="00C6788C"/>
    <w:rsid w:val="00C67A3F"/>
    <w:rsid w:val="00C704A0"/>
    <w:rsid w:val="00C7435D"/>
    <w:rsid w:val="00C745CB"/>
    <w:rsid w:val="00C74B25"/>
    <w:rsid w:val="00C76CE7"/>
    <w:rsid w:val="00C77627"/>
    <w:rsid w:val="00C77795"/>
    <w:rsid w:val="00C80EB0"/>
    <w:rsid w:val="00C821E4"/>
    <w:rsid w:val="00C824D0"/>
    <w:rsid w:val="00C82738"/>
    <w:rsid w:val="00C82F09"/>
    <w:rsid w:val="00C83510"/>
    <w:rsid w:val="00C835A5"/>
    <w:rsid w:val="00C83C44"/>
    <w:rsid w:val="00C84164"/>
    <w:rsid w:val="00C85734"/>
    <w:rsid w:val="00C87ABC"/>
    <w:rsid w:val="00C87CDA"/>
    <w:rsid w:val="00C91487"/>
    <w:rsid w:val="00C9237D"/>
    <w:rsid w:val="00C92771"/>
    <w:rsid w:val="00C92821"/>
    <w:rsid w:val="00C94602"/>
    <w:rsid w:val="00C9581B"/>
    <w:rsid w:val="00C96FB2"/>
    <w:rsid w:val="00CA111B"/>
    <w:rsid w:val="00CA2648"/>
    <w:rsid w:val="00CA26DB"/>
    <w:rsid w:val="00CA322A"/>
    <w:rsid w:val="00CA3F68"/>
    <w:rsid w:val="00CA55BE"/>
    <w:rsid w:val="00CA5853"/>
    <w:rsid w:val="00CA5C44"/>
    <w:rsid w:val="00CA68DA"/>
    <w:rsid w:val="00CB01F4"/>
    <w:rsid w:val="00CB1DE1"/>
    <w:rsid w:val="00CB3803"/>
    <w:rsid w:val="00CB3B65"/>
    <w:rsid w:val="00CB5A33"/>
    <w:rsid w:val="00CC074F"/>
    <w:rsid w:val="00CC3CCE"/>
    <w:rsid w:val="00CC5C2A"/>
    <w:rsid w:val="00CC6363"/>
    <w:rsid w:val="00CC6B19"/>
    <w:rsid w:val="00CC7B33"/>
    <w:rsid w:val="00CD1DCF"/>
    <w:rsid w:val="00CD205D"/>
    <w:rsid w:val="00CD2266"/>
    <w:rsid w:val="00CD37B5"/>
    <w:rsid w:val="00CD4716"/>
    <w:rsid w:val="00CD4A0B"/>
    <w:rsid w:val="00CD4D49"/>
    <w:rsid w:val="00CD551B"/>
    <w:rsid w:val="00CD5543"/>
    <w:rsid w:val="00CD67B2"/>
    <w:rsid w:val="00CE26A3"/>
    <w:rsid w:val="00CE3194"/>
    <w:rsid w:val="00CE37B8"/>
    <w:rsid w:val="00CE3BD6"/>
    <w:rsid w:val="00CE42F4"/>
    <w:rsid w:val="00CE71F7"/>
    <w:rsid w:val="00CF03B8"/>
    <w:rsid w:val="00CF1CE6"/>
    <w:rsid w:val="00CF1EE9"/>
    <w:rsid w:val="00CF2C19"/>
    <w:rsid w:val="00CF3048"/>
    <w:rsid w:val="00CF3683"/>
    <w:rsid w:val="00CF3ED4"/>
    <w:rsid w:val="00CF476C"/>
    <w:rsid w:val="00CF514A"/>
    <w:rsid w:val="00CF5DAB"/>
    <w:rsid w:val="00D0031B"/>
    <w:rsid w:val="00D0128D"/>
    <w:rsid w:val="00D03DA6"/>
    <w:rsid w:val="00D0505F"/>
    <w:rsid w:val="00D109F3"/>
    <w:rsid w:val="00D11D6C"/>
    <w:rsid w:val="00D14EAC"/>
    <w:rsid w:val="00D15499"/>
    <w:rsid w:val="00D17074"/>
    <w:rsid w:val="00D1730B"/>
    <w:rsid w:val="00D229F7"/>
    <w:rsid w:val="00D233F5"/>
    <w:rsid w:val="00D27152"/>
    <w:rsid w:val="00D27A4B"/>
    <w:rsid w:val="00D30BC4"/>
    <w:rsid w:val="00D31839"/>
    <w:rsid w:val="00D32F5A"/>
    <w:rsid w:val="00D34EB7"/>
    <w:rsid w:val="00D3556F"/>
    <w:rsid w:val="00D36C5A"/>
    <w:rsid w:val="00D373CF"/>
    <w:rsid w:val="00D375C6"/>
    <w:rsid w:val="00D37BA5"/>
    <w:rsid w:val="00D402A4"/>
    <w:rsid w:val="00D43F61"/>
    <w:rsid w:val="00D442D8"/>
    <w:rsid w:val="00D4619C"/>
    <w:rsid w:val="00D463E8"/>
    <w:rsid w:val="00D46F42"/>
    <w:rsid w:val="00D47D22"/>
    <w:rsid w:val="00D50D83"/>
    <w:rsid w:val="00D50DAF"/>
    <w:rsid w:val="00D51209"/>
    <w:rsid w:val="00D52A1E"/>
    <w:rsid w:val="00D52FF4"/>
    <w:rsid w:val="00D546E2"/>
    <w:rsid w:val="00D5556E"/>
    <w:rsid w:val="00D556C9"/>
    <w:rsid w:val="00D56456"/>
    <w:rsid w:val="00D572E4"/>
    <w:rsid w:val="00D60692"/>
    <w:rsid w:val="00D610A0"/>
    <w:rsid w:val="00D63163"/>
    <w:rsid w:val="00D63916"/>
    <w:rsid w:val="00D63B22"/>
    <w:rsid w:val="00D6417B"/>
    <w:rsid w:val="00D64994"/>
    <w:rsid w:val="00D654B8"/>
    <w:rsid w:val="00D65582"/>
    <w:rsid w:val="00D65D6A"/>
    <w:rsid w:val="00D67CA0"/>
    <w:rsid w:val="00D704E5"/>
    <w:rsid w:val="00D7118C"/>
    <w:rsid w:val="00D73EBD"/>
    <w:rsid w:val="00D74022"/>
    <w:rsid w:val="00D75D88"/>
    <w:rsid w:val="00D802E8"/>
    <w:rsid w:val="00D80646"/>
    <w:rsid w:val="00D8078C"/>
    <w:rsid w:val="00D8336B"/>
    <w:rsid w:val="00D83476"/>
    <w:rsid w:val="00D84A2B"/>
    <w:rsid w:val="00D84C97"/>
    <w:rsid w:val="00D85FA4"/>
    <w:rsid w:val="00D868C9"/>
    <w:rsid w:val="00D87729"/>
    <w:rsid w:val="00D87C8C"/>
    <w:rsid w:val="00D9002E"/>
    <w:rsid w:val="00D90F1A"/>
    <w:rsid w:val="00D90FC4"/>
    <w:rsid w:val="00D91253"/>
    <w:rsid w:val="00D91C42"/>
    <w:rsid w:val="00D93514"/>
    <w:rsid w:val="00D94006"/>
    <w:rsid w:val="00D943DE"/>
    <w:rsid w:val="00D944B4"/>
    <w:rsid w:val="00D94F83"/>
    <w:rsid w:val="00D952FF"/>
    <w:rsid w:val="00D9603F"/>
    <w:rsid w:val="00D96C7F"/>
    <w:rsid w:val="00DA0930"/>
    <w:rsid w:val="00DA1CE5"/>
    <w:rsid w:val="00DA2480"/>
    <w:rsid w:val="00DA26D1"/>
    <w:rsid w:val="00DA2EEC"/>
    <w:rsid w:val="00DA3D80"/>
    <w:rsid w:val="00DA459B"/>
    <w:rsid w:val="00DA4947"/>
    <w:rsid w:val="00DA67EF"/>
    <w:rsid w:val="00DA68EE"/>
    <w:rsid w:val="00DB26F4"/>
    <w:rsid w:val="00DB38A5"/>
    <w:rsid w:val="00DB3F3F"/>
    <w:rsid w:val="00DC02B4"/>
    <w:rsid w:val="00DC1994"/>
    <w:rsid w:val="00DC31A1"/>
    <w:rsid w:val="00DC45D1"/>
    <w:rsid w:val="00DC4C62"/>
    <w:rsid w:val="00DC65F7"/>
    <w:rsid w:val="00DC67DE"/>
    <w:rsid w:val="00DD10C2"/>
    <w:rsid w:val="00DD1472"/>
    <w:rsid w:val="00DD452F"/>
    <w:rsid w:val="00DD5F5C"/>
    <w:rsid w:val="00DD6155"/>
    <w:rsid w:val="00DD6289"/>
    <w:rsid w:val="00DD6400"/>
    <w:rsid w:val="00DD6761"/>
    <w:rsid w:val="00DD67B1"/>
    <w:rsid w:val="00DD7ABA"/>
    <w:rsid w:val="00DE07AE"/>
    <w:rsid w:val="00DE0E4F"/>
    <w:rsid w:val="00DE3712"/>
    <w:rsid w:val="00DE3D39"/>
    <w:rsid w:val="00DE4B06"/>
    <w:rsid w:val="00DE5C4E"/>
    <w:rsid w:val="00DE6F48"/>
    <w:rsid w:val="00DF0BEC"/>
    <w:rsid w:val="00DF1C6B"/>
    <w:rsid w:val="00DF38FD"/>
    <w:rsid w:val="00DF3E21"/>
    <w:rsid w:val="00DF665B"/>
    <w:rsid w:val="00DF6A1C"/>
    <w:rsid w:val="00E00E80"/>
    <w:rsid w:val="00E0104F"/>
    <w:rsid w:val="00E01A34"/>
    <w:rsid w:val="00E0205A"/>
    <w:rsid w:val="00E0317A"/>
    <w:rsid w:val="00E031B7"/>
    <w:rsid w:val="00E03336"/>
    <w:rsid w:val="00E034E8"/>
    <w:rsid w:val="00E05A18"/>
    <w:rsid w:val="00E0619B"/>
    <w:rsid w:val="00E06D1E"/>
    <w:rsid w:val="00E06FF8"/>
    <w:rsid w:val="00E07E28"/>
    <w:rsid w:val="00E120FB"/>
    <w:rsid w:val="00E1243D"/>
    <w:rsid w:val="00E13D2B"/>
    <w:rsid w:val="00E169E5"/>
    <w:rsid w:val="00E16EED"/>
    <w:rsid w:val="00E2024D"/>
    <w:rsid w:val="00E20746"/>
    <w:rsid w:val="00E20A21"/>
    <w:rsid w:val="00E2223D"/>
    <w:rsid w:val="00E23506"/>
    <w:rsid w:val="00E23D22"/>
    <w:rsid w:val="00E241E5"/>
    <w:rsid w:val="00E24E67"/>
    <w:rsid w:val="00E25B6C"/>
    <w:rsid w:val="00E265C2"/>
    <w:rsid w:val="00E26870"/>
    <w:rsid w:val="00E27CD3"/>
    <w:rsid w:val="00E310ED"/>
    <w:rsid w:val="00E32D33"/>
    <w:rsid w:val="00E345E2"/>
    <w:rsid w:val="00E35C83"/>
    <w:rsid w:val="00E36119"/>
    <w:rsid w:val="00E36A04"/>
    <w:rsid w:val="00E37368"/>
    <w:rsid w:val="00E4273C"/>
    <w:rsid w:val="00E42BF8"/>
    <w:rsid w:val="00E43CF6"/>
    <w:rsid w:val="00E44377"/>
    <w:rsid w:val="00E44C2B"/>
    <w:rsid w:val="00E45171"/>
    <w:rsid w:val="00E468F7"/>
    <w:rsid w:val="00E47DF4"/>
    <w:rsid w:val="00E53F18"/>
    <w:rsid w:val="00E55463"/>
    <w:rsid w:val="00E56569"/>
    <w:rsid w:val="00E60184"/>
    <w:rsid w:val="00E615A5"/>
    <w:rsid w:val="00E63094"/>
    <w:rsid w:val="00E631D6"/>
    <w:rsid w:val="00E6468D"/>
    <w:rsid w:val="00E65C65"/>
    <w:rsid w:val="00E667B8"/>
    <w:rsid w:val="00E66ADE"/>
    <w:rsid w:val="00E66B93"/>
    <w:rsid w:val="00E70F2B"/>
    <w:rsid w:val="00E72B5C"/>
    <w:rsid w:val="00E73BD9"/>
    <w:rsid w:val="00E7504A"/>
    <w:rsid w:val="00E75DCB"/>
    <w:rsid w:val="00E76A2A"/>
    <w:rsid w:val="00E771D6"/>
    <w:rsid w:val="00E7721E"/>
    <w:rsid w:val="00E809B8"/>
    <w:rsid w:val="00E8133B"/>
    <w:rsid w:val="00E8221E"/>
    <w:rsid w:val="00E84888"/>
    <w:rsid w:val="00E850F8"/>
    <w:rsid w:val="00E85328"/>
    <w:rsid w:val="00E85449"/>
    <w:rsid w:val="00E85474"/>
    <w:rsid w:val="00E86990"/>
    <w:rsid w:val="00E91972"/>
    <w:rsid w:val="00E91E91"/>
    <w:rsid w:val="00E925A5"/>
    <w:rsid w:val="00E92E31"/>
    <w:rsid w:val="00E94F98"/>
    <w:rsid w:val="00E951B7"/>
    <w:rsid w:val="00EA07AA"/>
    <w:rsid w:val="00EA0C06"/>
    <w:rsid w:val="00EA233F"/>
    <w:rsid w:val="00EA2E43"/>
    <w:rsid w:val="00EA4301"/>
    <w:rsid w:val="00EA4B21"/>
    <w:rsid w:val="00EA54ED"/>
    <w:rsid w:val="00EA6B9F"/>
    <w:rsid w:val="00EA7FAF"/>
    <w:rsid w:val="00EB09DB"/>
    <w:rsid w:val="00EB17A0"/>
    <w:rsid w:val="00EB1F7C"/>
    <w:rsid w:val="00EB28E5"/>
    <w:rsid w:val="00EB38DA"/>
    <w:rsid w:val="00EB3A33"/>
    <w:rsid w:val="00EB45F4"/>
    <w:rsid w:val="00EB7B71"/>
    <w:rsid w:val="00EB7F34"/>
    <w:rsid w:val="00EC2011"/>
    <w:rsid w:val="00EC704D"/>
    <w:rsid w:val="00EC7085"/>
    <w:rsid w:val="00EC79FF"/>
    <w:rsid w:val="00ED1097"/>
    <w:rsid w:val="00ED26DD"/>
    <w:rsid w:val="00ED3A10"/>
    <w:rsid w:val="00ED46AD"/>
    <w:rsid w:val="00ED4F11"/>
    <w:rsid w:val="00ED58E6"/>
    <w:rsid w:val="00ED64EC"/>
    <w:rsid w:val="00ED717E"/>
    <w:rsid w:val="00EE045F"/>
    <w:rsid w:val="00EE0F93"/>
    <w:rsid w:val="00EE11FB"/>
    <w:rsid w:val="00EE7F03"/>
    <w:rsid w:val="00EF1260"/>
    <w:rsid w:val="00EF1459"/>
    <w:rsid w:val="00EF4577"/>
    <w:rsid w:val="00EF542B"/>
    <w:rsid w:val="00EF7D2F"/>
    <w:rsid w:val="00F0084D"/>
    <w:rsid w:val="00F05724"/>
    <w:rsid w:val="00F05D94"/>
    <w:rsid w:val="00F06042"/>
    <w:rsid w:val="00F0666F"/>
    <w:rsid w:val="00F06BDD"/>
    <w:rsid w:val="00F06D69"/>
    <w:rsid w:val="00F06DCA"/>
    <w:rsid w:val="00F10661"/>
    <w:rsid w:val="00F116E5"/>
    <w:rsid w:val="00F118C4"/>
    <w:rsid w:val="00F11BC1"/>
    <w:rsid w:val="00F11DD4"/>
    <w:rsid w:val="00F128EE"/>
    <w:rsid w:val="00F12BF1"/>
    <w:rsid w:val="00F131A4"/>
    <w:rsid w:val="00F14FD6"/>
    <w:rsid w:val="00F218E9"/>
    <w:rsid w:val="00F22FAB"/>
    <w:rsid w:val="00F233CB"/>
    <w:rsid w:val="00F25D82"/>
    <w:rsid w:val="00F315D1"/>
    <w:rsid w:val="00F32BA5"/>
    <w:rsid w:val="00F340C6"/>
    <w:rsid w:val="00F35810"/>
    <w:rsid w:val="00F36A86"/>
    <w:rsid w:val="00F378C5"/>
    <w:rsid w:val="00F42E41"/>
    <w:rsid w:val="00F43344"/>
    <w:rsid w:val="00F45A8B"/>
    <w:rsid w:val="00F51D75"/>
    <w:rsid w:val="00F527CD"/>
    <w:rsid w:val="00F52C0B"/>
    <w:rsid w:val="00F569B2"/>
    <w:rsid w:val="00F60FCA"/>
    <w:rsid w:val="00F632E0"/>
    <w:rsid w:val="00F63BB8"/>
    <w:rsid w:val="00F63D1E"/>
    <w:rsid w:val="00F65E3B"/>
    <w:rsid w:val="00F707A7"/>
    <w:rsid w:val="00F71B07"/>
    <w:rsid w:val="00F7406A"/>
    <w:rsid w:val="00F7408D"/>
    <w:rsid w:val="00F7648F"/>
    <w:rsid w:val="00F76D7F"/>
    <w:rsid w:val="00F77170"/>
    <w:rsid w:val="00F77CA1"/>
    <w:rsid w:val="00F8101B"/>
    <w:rsid w:val="00F861CF"/>
    <w:rsid w:val="00F8757D"/>
    <w:rsid w:val="00F90608"/>
    <w:rsid w:val="00F9127B"/>
    <w:rsid w:val="00F926A8"/>
    <w:rsid w:val="00F93239"/>
    <w:rsid w:val="00F94BAA"/>
    <w:rsid w:val="00F959D2"/>
    <w:rsid w:val="00FA0B96"/>
    <w:rsid w:val="00FA1B57"/>
    <w:rsid w:val="00FA3BF8"/>
    <w:rsid w:val="00FB2BEE"/>
    <w:rsid w:val="00FB3EEB"/>
    <w:rsid w:val="00FB4552"/>
    <w:rsid w:val="00FB762D"/>
    <w:rsid w:val="00FC1BDB"/>
    <w:rsid w:val="00FC1FC9"/>
    <w:rsid w:val="00FC2AF6"/>
    <w:rsid w:val="00FC30B9"/>
    <w:rsid w:val="00FC3D61"/>
    <w:rsid w:val="00FC4A91"/>
    <w:rsid w:val="00FC70A6"/>
    <w:rsid w:val="00FC7AFD"/>
    <w:rsid w:val="00FD00F3"/>
    <w:rsid w:val="00FD1BB0"/>
    <w:rsid w:val="00FD1D71"/>
    <w:rsid w:val="00FD281E"/>
    <w:rsid w:val="00FD2DAE"/>
    <w:rsid w:val="00FD5C04"/>
    <w:rsid w:val="00FD5E8E"/>
    <w:rsid w:val="00FD5FDC"/>
    <w:rsid w:val="00FD641C"/>
    <w:rsid w:val="00FD7537"/>
    <w:rsid w:val="00FE0D64"/>
    <w:rsid w:val="00FE23F2"/>
    <w:rsid w:val="00FE2D6C"/>
    <w:rsid w:val="00FE5758"/>
    <w:rsid w:val="00FE7701"/>
    <w:rsid w:val="00FF03AA"/>
    <w:rsid w:val="00FF083C"/>
    <w:rsid w:val="00FF17A2"/>
    <w:rsid w:val="00FF17EF"/>
    <w:rsid w:val="00FF1928"/>
    <w:rsid w:val="00FF27C7"/>
    <w:rsid w:val="00FF2DDE"/>
    <w:rsid w:val="00FF50D1"/>
    <w:rsid w:val="00FF5F0E"/>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9BEE3-2E01-422E-BEBC-02DCACAF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7A"/>
    <w:pPr>
      <w:tabs>
        <w:tab w:val="center" w:pos="4680"/>
        <w:tab w:val="right" w:pos="9360"/>
      </w:tabs>
    </w:pPr>
  </w:style>
  <w:style w:type="character" w:customStyle="1" w:styleId="HeaderChar">
    <w:name w:val="Header Char"/>
    <w:basedOn w:val="DefaultParagraphFont"/>
    <w:link w:val="Header"/>
    <w:uiPriority w:val="99"/>
    <w:rsid w:val="005A4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D7A"/>
    <w:pPr>
      <w:tabs>
        <w:tab w:val="center" w:pos="4680"/>
        <w:tab w:val="right" w:pos="9360"/>
      </w:tabs>
    </w:pPr>
  </w:style>
  <w:style w:type="character" w:customStyle="1" w:styleId="FooterChar">
    <w:name w:val="Footer Char"/>
    <w:basedOn w:val="DefaultParagraphFont"/>
    <w:link w:val="Footer"/>
    <w:uiPriority w:val="99"/>
    <w:rsid w:val="005A4D7A"/>
    <w:rPr>
      <w:rFonts w:ascii="Times New Roman" w:eastAsia="Times New Roman" w:hAnsi="Times New Roman" w:cs="Times New Roman"/>
      <w:sz w:val="24"/>
      <w:szCs w:val="24"/>
    </w:rPr>
  </w:style>
  <w:style w:type="paragraph" w:styleId="ListParagraph">
    <w:name w:val="List Paragraph"/>
    <w:basedOn w:val="Normal"/>
    <w:uiPriority w:val="34"/>
    <w:qFormat/>
    <w:rsid w:val="004A61A8"/>
    <w:pPr>
      <w:ind w:left="720"/>
      <w:contextualSpacing/>
    </w:pPr>
  </w:style>
  <w:style w:type="paragraph" w:styleId="BalloonText">
    <w:name w:val="Balloon Text"/>
    <w:basedOn w:val="Normal"/>
    <w:link w:val="BalloonTextChar"/>
    <w:uiPriority w:val="99"/>
    <w:semiHidden/>
    <w:unhideWhenUsed/>
    <w:rsid w:val="00B12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6B"/>
    <w:rPr>
      <w:rFonts w:ascii="Segoe UI" w:eastAsia="Times New Roman" w:hAnsi="Segoe UI" w:cs="Segoe UI"/>
      <w:sz w:val="18"/>
      <w:szCs w:val="18"/>
    </w:rPr>
  </w:style>
  <w:style w:type="paragraph" w:customStyle="1" w:styleId="lrsection">
    <w:name w:val="lr section"/>
    <w:basedOn w:val="Normal"/>
    <w:rsid w:val="0027320D"/>
    <w:pPr>
      <w:tabs>
        <w:tab w:val="left" w:pos="369"/>
      </w:tabs>
      <w:overflowPunct w:val="0"/>
      <w:autoSpaceDE w:val="0"/>
      <w:autoSpaceDN w:val="0"/>
      <w:adjustRightInd w:val="0"/>
      <w:spacing w:after="80" w:line="300" w:lineRule="exact"/>
      <w:ind w:firstLine="369"/>
      <w:jc w:val="both"/>
      <w:textAlignment w:val="baseline"/>
    </w:pPr>
    <w:rPr>
      <w:sz w:val="22"/>
      <w:szCs w:val="20"/>
      <w:lang w:val="en-GB"/>
    </w:rPr>
  </w:style>
  <w:style w:type="paragraph" w:customStyle="1" w:styleId="heading">
    <w:name w:val="heading"/>
    <w:basedOn w:val="Normal"/>
    <w:rsid w:val="00CF3ED4"/>
    <w:pPr>
      <w:spacing w:after="125"/>
      <w:jc w:val="center"/>
    </w:pPr>
    <w:rPr>
      <w:b/>
      <w:bCs/>
      <w:color w:val="000080"/>
      <w:sz w:val="28"/>
      <w:szCs w:val="28"/>
      <w:lang w:val="en-ZW" w:eastAsia="en-ZW"/>
    </w:rPr>
  </w:style>
  <w:style w:type="paragraph" w:styleId="NormalWeb">
    <w:name w:val="Normal (Web)"/>
    <w:basedOn w:val="Normal"/>
    <w:uiPriority w:val="99"/>
    <w:semiHidden/>
    <w:unhideWhenUsed/>
    <w:rsid w:val="00484333"/>
    <w:pPr>
      <w:spacing w:before="100" w:beforeAutospacing="1" w:after="100" w:afterAutospacing="1"/>
    </w:pPr>
    <w:rPr>
      <w:lang w:val="en-ZW" w:eastAsia="en-ZW"/>
    </w:rPr>
  </w:style>
  <w:style w:type="character" w:styleId="Emphasis">
    <w:name w:val="Emphasis"/>
    <w:basedOn w:val="DefaultParagraphFont"/>
    <w:uiPriority w:val="20"/>
    <w:qFormat/>
    <w:rsid w:val="004843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4379</Words>
  <Characters>24963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3</cp:revision>
  <cp:lastPrinted>2021-09-03T10:40:00Z</cp:lastPrinted>
  <dcterms:created xsi:type="dcterms:W3CDTF">2022-11-11T09:30:00Z</dcterms:created>
  <dcterms:modified xsi:type="dcterms:W3CDTF">2022-11-11T09:30:00Z</dcterms:modified>
</cp:coreProperties>
</file>