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0F" w:rsidRPr="005F3F3F" w:rsidRDefault="005F3F3F" w:rsidP="005A116F">
      <w:pPr>
        <w:spacing w:after="0" w:afterAutospacing="0"/>
        <w:jc w:val="both"/>
        <w:rPr>
          <w:rFonts w:cs="Times New Roman"/>
          <w:b/>
        </w:rPr>
      </w:pPr>
      <w:r>
        <w:rPr>
          <w:rFonts w:cs="Times New Roman"/>
          <w:b/>
          <w:u w:val="single"/>
        </w:rPr>
        <w:t>REPORTABLE</w:t>
      </w:r>
      <w:r>
        <w:rPr>
          <w:rFonts w:cs="Times New Roman"/>
          <w:b/>
        </w:rPr>
        <w:tab/>
        <w:t>(110)</w:t>
      </w:r>
    </w:p>
    <w:p w:rsidR="007A680F" w:rsidRPr="00C95A0C" w:rsidRDefault="007A680F" w:rsidP="005A116F">
      <w:pPr>
        <w:spacing w:after="0" w:afterAutospacing="0"/>
        <w:jc w:val="both"/>
        <w:rPr>
          <w:rFonts w:cs="Times New Roman"/>
          <w:b/>
        </w:rPr>
      </w:pPr>
    </w:p>
    <w:p w:rsidR="00CD721A" w:rsidRPr="00C95A0C" w:rsidRDefault="00CD721A" w:rsidP="00C95A0C">
      <w:pPr>
        <w:spacing w:before="0" w:beforeAutospacing="0" w:after="0" w:afterAutospacing="0" w:line="240" w:lineRule="auto"/>
        <w:jc w:val="center"/>
        <w:rPr>
          <w:rFonts w:cs="Times New Roman"/>
          <w:b/>
        </w:rPr>
      </w:pPr>
      <w:r w:rsidRPr="00C95A0C">
        <w:rPr>
          <w:rFonts w:cs="Times New Roman"/>
          <w:b/>
        </w:rPr>
        <w:t xml:space="preserve">TURNALL </w:t>
      </w:r>
      <w:r w:rsidR="007A680F" w:rsidRPr="00C95A0C">
        <w:rPr>
          <w:rFonts w:cs="Times New Roman"/>
          <w:b/>
        </w:rPr>
        <w:t xml:space="preserve">    </w:t>
      </w:r>
      <w:r w:rsidRPr="00C95A0C">
        <w:rPr>
          <w:rFonts w:cs="Times New Roman"/>
          <w:b/>
        </w:rPr>
        <w:t xml:space="preserve">HOLDINGS </w:t>
      </w:r>
      <w:r w:rsidR="007A680F" w:rsidRPr="00C95A0C">
        <w:rPr>
          <w:rFonts w:cs="Times New Roman"/>
          <w:b/>
        </w:rPr>
        <w:t xml:space="preserve">    LIMITED</w:t>
      </w:r>
    </w:p>
    <w:p w:rsidR="00CD721A" w:rsidRPr="00C95A0C" w:rsidRDefault="007A680F" w:rsidP="00C95A0C">
      <w:pPr>
        <w:spacing w:before="0" w:beforeAutospacing="0" w:after="0" w:afterAutospacing="0" w:line="240" w:lineRule="auto"/>
        <w:jc w:val="center"/>
        <w:rPr>
          <w:rFonts w:cs="Times New Roman"/>
          <w:b/>
        </w:rPr>
      </w:pPr>
      <w:r w:rsidRPr="00C95A0C">
        <w:rPr>
          <w:rFonts w:cs="Times New Roman"/>
          <w:b/>
        </w:rPr>
        <w:t>v</w:t>
      </w:r>
    </w:p>
    <w:p w:rsidR="00CD721A" w:rsidRPr="00C95A0C" w:rsidRDefault="007A680F" w:rsidP="00C95A0C">
      <w:pPr>
        <w:pStyle w:val="ListParagraph"/>
        <w:numPr>
          <w:ilvl w:val="0"/>
          <w:numId w:val="1"/>
        </w:numPr>
        <w:spacing w:before="0" w:beforeAutospacing="0" w:after="0" w:afterAutospacing="0" w:line="240" w:lineRule="auto"/>
        <w:ind w:left="0" w:firstLine="0"/>
        <w:jc w:val="center"/>
        <w:rPr>
          <w:rFonts w:cs="Times New Roman"/>
          <w:b/>
        </w:rPr>
      </w:pPr>
      <w:r w:rsidRPr="00C95A0C">
        <w:rPr>
          <w:rFonts w:cs="Times New Roman"/>
          <w:b/>
        </w:rPr>
        <w:t xml:space="preserve">    </w:t>
      </w:r>
      <w:r w:rsidR="00CD721A" w:rsidRPr="00C95A0C">
        <w:rPr>
          <w:rFonts w:cs="Times New Roman"/>
          <w:b/>
        </w:rPr>
        <w:t xml:space="preserve">VERUKAI </w:t>
      </w:r>
      <w:r w:rsidRPr="00C95A0C">
        <w:rPr>
          <w:rFonts w:cs="Times New Roman"/>
          <w:b/>
        </w:rPr>
        <w:t xml:space="preserve">    </w:t>
      </w:r>
      <w:r w:rsidR="00CD721A" w:rsidRPr="00C95A0C">
        <w:rPr>
          <w:rFonts w:cs="Times New Roman"/>
          <w:b/>
        </w:rPr>
        <w:t>EMILTON</w:t>
      </w:r>
      <w:r w:rsidRPr="00C95A0C">
        <w:rPr>
          <w:rFonts w:cs="Times New Roman"/>
          <w:b/>
        </w:rPr>
        <w:t xml:space="preserve">    </w:t>
      </w:r>
      <w:r w:rsidR="00CD721A" w:rsidRPr="00C95A0C">
        <w:rPr>
          <w:rFonts w:cs="Times New Roman"/>
          <w:b/>
        </w:rPr>
        <w:t xml:space="preserve"> N.O.</w:t>
      </w:r>
      <w:r w:rsidRPr="00C95A0C">
        <w:rPr>
          <w:rFonts w:cs="Times New Roman"/>
          <w:b/>
        </w:rPr>
        <w:t xml:space="preserve">     (2)     </w:t>
      </w:r>
      <w:r w:rsidR="00CD721A" w:rsidRPr="00C95A0C">
        <w:rPr>
          <w:rFonts w:cs="Times New Roman"/>
          <w:b/>
        </w:rPr>
        <w:t xml:space="preserve">NQOBILE </w:t>
      </w:r>
      <w:r w:rsidRPr="00C95A0C">
        <w:rPr>
          <w:rFonts w:cs="Times New Roman"/>
          <w:b/>
        </w:rPr>
        <w:t xml:space="preserve">    </w:t>
      </w:r>
      <w:r w:rsidR="00CD721A" w:rsidRPr="00C95A0C">
        <w:rPr>
          <w:rFonts w:cs="Times New Roman"/>
          <w:b/>
        </w:rPr>
        <w:t>NDLOVU</w:t>
      </w:r>
      <w:r w:rsidRPr="00C95A0C">
        <w:rPr>
          <w:rFonts w:cs="Times New Roman"/>
          <w:b/>
        </w:rPr>
        <w:t xml:space="preserve">     (3)     </w:t>
      </w:r>
      <w:r w:rsidR="00CD721A" w:rsidRPr="00C95A0C">
        <w:rPr>
          <w:rFonts w:cs="Times New Roman"/>
          <w:b/>
        </w:rPr>
        <w:t>PHATHISIWE</w:t>
      </w:r>
      <w:r w:rsidRPr="00C95A0C">
        <w:rPr>
          <w:rFonts w:cs="Times New Roman"/>
          <w:b/>
        </w:rPr>
        <w:t xml:space="preserve">    </w:t>
      </w:r>
      <w:r w:rsidR="00CD721A" w:rsidRPr="00C95A0C">
        <w:rPr>
          <w:rFonts w:cs="Times New Roman"/>
          <w:b/>
        </w:rPr>
        <w:t xml:space="preserve"> MACHANGU</w:t>
      </w:r>
    </w:p>
    <w:p w:rsidR="007A680F" w:rsidRPr="00C95A0C" w:rsidRDefault="001A1ECB" w:rsidP="001A1ECB">
      <w:pPr>
        <w:tabs>
          <w:tab w:val="left" w:pos="6180"/>
        </w:tabs>
        <w:spacing w:after="0" w:afterAutospacing="0" w:line="240" w:lineRule="auto"/>
        <w:rPr>
          <w:rFonts w:cs="Times New Roman"/>
          <w:b/>
        </w:rPr>
      </w:pPr>
      <w:r>
        <w:rPr>
          <w:rFonts w:cs="Times New Roman"/>
          <w:b/>
        </w:rPr>
        <w:tab/>
      </w:r>
    </w:p>
    <w:p w:rsidR="00CD721A" w:rsidRPr="00C95A0C" w:rsidRDefault="00CD721A" w:rsidP="005A116F">
      <w:pPr>
        <w:pStyle w:val="NoSpacing"/>
        <w:spacing w:after="0" w:afterAutospacing="0"/>
        <w:jc w:val="both"/>
        <w:rPr>
          <w:rFonts w:cs="Times New Roman"/>
          <w:b/>
        </w:rPr>
      </w:pPr>
      <w:r w:rsidRPr="00C95A0C">
        <w:rPr>
          <w:rFonts w:cs="Times New Roman"/>
          <w:b/>
        </w:rPr>
        <w:t>SUPREME COURT</w:t>
      </w:r>
      <w:bookmarkStart w:id="0" w:name="_GoBack"/>
      <w:bookmarkEnd w:id="0"/>
      <w:r w:rsidRPr="00C95A0C">
        <w:rPr>
          <w:rFonts w:cs="Times New Roman"/>
          <w:b/>
        </w:rPr>
        <w:t xml:space="preserve"> OF ZIMBABWE</w:t>
      </w:r>
    </w:p>
    <w:p w:rsidR="00CD721A" w:rsidRPr="00C95A0C" w:rsidRDefault="009849D6" w:rsidP="005A116F">
      <w:pPr>
        <w:pStyle w:val="NoSpacing"/>
        <w:spacing w:after="0" w:afterAutospacing="0"/>
        <w:jc w:val="both"/>
        <w:rPr>
          <w:rFonts w:cs="Times New Roman"/>
          <w:b/>
        </w:rPr>
      </w:pPr>
      <w:r w:rsidRPr="00C95A0C">
        <w:rPr>
          <w:rFonts w:cs="Times New Roman"/>
          <w:b/>
        </w:rPr>
        <w:t>GUVAVA JA; MATHONSI JA &amp; KUDYA AJA</w:t>
      </w:r>
    </w:p>
    <w:p w:rsidR="00CD721A" w:rsidRPr="00C95A0C" w:rsidRDefault="00CD721A" w:rsidP="005A116F">
      <w:pPr>
        <w:pStyle w:val="NoSpacing"/>
        <w:spacing w:after="0" w:afterAutospacing="0"/>
        <w:jc w:val="both"/>
        <w:rPr>
          <w:rFonts w:cs="Times New Roman"/>
          <w:b/>
        </w:rPr>
      </w:pPr>
      <w:r w:rsidRPr="00C95A0C">
        <w:rPr>
          <w:rFonts w:cs="Times New Roman"/>
          <w:b/>
        </w:rPr>
        <w:t>BULAWAYO</w:t>
      </w:r>
      <w:r w:rsidR="007A680F" w:rsidRPr="00C95A0C">
        <w:rPr>
          <w:rFonts w:cs="Times New Roman"/>
          <w:b/>
        </w:rPr>
        <w:t>:</w:t>
      </w:r>
      <w:r w:rsidR="007A680F" w:rsidRPr="00C95A0C">
        <w:rPr>
          <w:rFonts w:cs="Times New Roman"/>
          <w:b/>
        </w:rPr>
        <w:tab/>
      </w:r>
      <w:r w:rsidRPr="00C95A0C">
        <w:rPr>
          <w:rFonts w:cs="Times New Roman"/>
          <w:b/>
        </w:rPr>
        <w:t xml:space="preserve">20 </w:t>
      </w:r>
      <w:r w:rsidR="006C5ABD" w:rsidRPr="00C95A0C">
        <w:rPr>
          <w:rFonts w:cs="Times New Roman"/>
          <w:b/>
        </w:rPr>
        <w:t xml:space="preserve">&amp; 21 </w:t>
      </w:r>
      <w:r w:rsidRPr="00C95A0C">
        <w:rPr>
          <w:rFonts w:cs="Times New Roman"/>
          <w:b/>
        </w:rPr>
        <w:t>JULY 2020</w:t>
      </w:r>
    </w:p>
    <w:p w:rsidR="00CD721A" w:rsidRPr="00C95A0C" w:rsidRDefault="00CD721A" w:rsidP="005A116F">
      <w:pPr>
        <w:pStyle w:val="NoSpacing"/>
        <w:spacing w:after="0" w:afterAutospacing="0"/>
        <w:jc w:val="both"/>
        <w:rPr>
          <w:rFonts w:cs="Times New Roman"/>
          <w:b/>
        </w:rPr>
      </w:pPr>
    </w:p>
    <w:p w:rsidR="007A680F" w:rsidRPr="00C95A0C" w:rsidRDefault="007A680F" w:rsidP="005A116F">
      <w:pPr>
        <w:pStyle w:val="NoSpacing"/>
        <w:spacing w:after="0" w:afterAutospacing="0"/>
        <w:jc w:val="both"/>
        <w:rPr>
          <w:rFonts w:cs="Times New Roman"/>
          <w:b/>
        </w:rPr>
      </w:pPr>
    </w:p>
    <w:p w:rsidR="007A680F" w:rsidRPr="00C95A0C" w:rsidRDefault="007A680F" w:rsidP="005A116F">
      <w:pPr>
        <w:pStyle w:val="NoSpacing"/>
        <w:spacing w:after="0" w:afterAutospacing="0"/>
        <w:jc w:val="both"/>
        <w:rPr>
          <w:rFonts w:cs="Times New Roman"/>
          <w:b/>
        </w:rPr>
      </w:pPr>
    </w:p>
    <w:p w:rsidR="007A680F" w:rsidRPr="00C95A0C" w:rsidRDefault="007A680F" w:rsidP="005A116F">
      <w:pPr>
        <w:pStyle w:val="NoSpacing"/>
        <w:spacing w:after="0" w:afterAutospacing="0"/>
        <w:jc w:val="both"/>
        <w:rPr>
          <w:rFonts w:cs="Times New Roman"/>
          <w:b/>
        </w:rPr>
      </w:pPr>
    </w:p>
    <w:p w:rsidR="00CD721A" w:rsidRPr="00C95A0C" w:rsidRDefault="00CD721A" w:rsidP="005A116F">
      <w:pPr>
        <w:pStyle w:val="NoSpacing"/>
        <w:spacing w:after="0" w:afterAutospacing="0" w:line="480" w:lineRule="auto"/>
        <w:jc w:val="both"/>
        <w:rPr>
          <w:rFonts w:cs="Times New Roman"/>
        </w:rPr>
      </w:pPr>
      <w:r w:rsidRPr="00C95A0C">
        <w:rPr>
          <w:rFonts w:cs="Times New Roman"/>
          <w:i/>
        </w:rPr>
        <w:t>L. Nkomo</w:t>
      </w:r>
      <w:r w:rsidRPr="00C95A0C">
        <w:rPr>
          <w:rFonts w:cs="Times New Roman"/>
        </w:rPr>
        <w:t>, for the appellant</w:t>
      </w:r>
    </w:p>
    <w:p w:rsidR="00CD721A" w:rsidRPr="00C95A0C" w:rsidRDefault="007A680F" w:rsidP="005A116F">
      <w:pPr>
        <w:pStyle w:val="NoSpacing"/>
        <w:spacing w:after="0" w:afterAutospacing="0" w:line="480" w:lineRule="auto"/>
        <w:jc w:val="both"/>
        <w:rPr>
          <w:rFonts w:cs="Times New Roman"/>
        </w:rPr>
      </w:pPr>
      <w:r w:rsidRPr="00C95A0C">
        <w:rPr>
          <w:rFonts w:cs="Times New Roman"/>
        </w:rPr>
        <w:t xml:space="preserve">First </w:t>
      </w:r>
      <w:r w:rsidR="00CD721A" w:rsidRPr="00C95A0C">
        <w:rPr>
          <w:rFonts w:cs="Times New Roman"/>
        </w:rPr>
        <w:t>respondent in default</w:t>
      </w:r>
    </w:p>
    <w:p w:rsidR="00CD721A" w:rsidRPr="00C95A0C" w:rsidRDefault="007A680F" w:rsidP="005A116F">
      <w:pPr>
        <w:pStyle w:val="NoSpacing"/>
        <w:spacing w:after="0" w:afterAutospacing="0" w:line="480" w:lineRule="auto"/>
        <w:jc w:val="both"/>
        <w:rPr>
          <w:rFonts w:cs="Times New Roman"/>
        </w:rPr>
      </w:pPr>
      <w:r w:rsidRPr="00C95A0C">
        <w:rPr>
          <w:rFonts w:cs="Times New Roman"/>
        </w:rPr>
        <w:t xml:space="preserve">Second </w:t>
      </w:r>
      <w:r w:rsidR="00CD721A" w:rsidRPr="00C95A0C">
        <w:rPr>
          <w:rFonts w:cs="Times New Roman"/>
        </w:rPr>
        <w:t>respondent in person</w:t>
      </w:r>
    </w:p>
    <w:p w:rsidR="00CD721A" w:rsidRPr="00C95A0C" w:rsidRDefault="007A680F" w:rsidP="005A116F">
      <w:pPr>
        <w:pStyle w:val="NoSpacing"/>
        <w:spacing w:after="0" w:afterAutospacing="0"/>
        <w:jc w:val="both"/>
        <w:rPr>
          <w:rFonts w:cs="Times New Roman"/>
        </w:rPr>
      </w:pPr>
      <w:r w:rsidRPr="00C95A0C">
        <w:rPr>
          <w:rFonts w:cs="Times New Roman"/>
        </w:rPr>
        <w:t xml:space="preserve">Third </w:t>
      </w:r>
      <w:r w:rsidR="00CD721A" w:rsidRPr="00C95A0C">
        <w:rPr>
          <w:rFonts w:cs="Times New Roman"/>
        </w:rPr>
        <w:t>respondent in person</w:t>
      </w:r>
    </w:p>
    <w:p w:rsidR="007A680F" w:rsidRPr="00C95A0C" w:rsidRDefault="007A680F" w:rsidP="005A116F">
      <w:pPr>
        <w:pStyle w:val="NoSpacing"/>
        <w:spacing w:after="0" w:afterAutospacing="0"/>
        <w:jc w:val="both"/>
        <w:rPr>
          <w:rFonts w:cs="Times New Roman"/>
        </w:rPr>
      </w:pPr>
    </w:p>
    <w:p w:rsidR="007A680F" w:rsidRPr="00C95A0C" w:rsidRDefault="007A680F" w:rsidP="005A116F">
      <w:pPr>
        <w:pStyle w:val="NoSpacing"/>
        <w:spacing w:after="0" w:afterAutospacing="0"/>
        <w:jc w:val="both"/>
        <w:rPr>
          <w:rFonts w:cs="Times New Roman"/>
        </w:rPr>
      </w:pPr>
    </w:p>
    <w:p w:rsidR="007A680F" w:rsidRPr="00C95A0C" w:rsidRDefault="007A680F" w:rsidP="005A116F">
      <w:pPr>
        <w:pStyle w:val="NoSpacing"/>
        <w:spacing w:after="0" w:afterAutospacing="0"/>
        <w:jc w:val="both"/>
        <w:rPr>
          <w:rFonts w:cs="Times New Roman"/>
        </w:rPr>
      </w:pPr>
    </w:p>
    <w:p w:rsidR="00CD721A" w:rsidRDefault="00CD721A" w:rsidP="005A116F">
      <w:pPr>
        <w:spacing w:after="0" w:afterAutospacing="0" w:line="480" w:lineRule="auto"/>
        <w:ind w:firstLine="1134"/>
        <w:jc w:val="both"/>
        <w:rPr>
          <w:rFonts w:cs="Times New Roman"/>
          <w:szCs w:val="24"/>
        </w:rPr>
      </w:pPr>
      <w:r w:rsidRPr="00C95A0C">
        <w:rPr>
          <w:rFonts w:cs="Times New Roman"/>
          <w:b/>
          <w:szCs w:val="24"/>
        </w:rPr>
        <w:t>MATHONSI JA:</w:t>
      </w:r>
      <w:r w:rsidR="007A680F" w:rsidRPr="00C95A0C">
        <w:rPr>
          <w:rFonts w:cs="Times New Roman"/>
          <w:b/>
          <w:szCs w:val="24"/>
        </w:rPr>
        <w:tab/>
      </w:r>
      <w:r w:rsidRPr="00C95A0C">
        <w:rPr>
          <w:rFonts w:cs="Times New Roman"/>
          <w:szCs w:val="24"/>
        </w:rPr>
        <w:t>This is an appeal against the whole judgment of the Labour Court handed down on 21 June 2019 in which it partially confirmed a draft ruling of a Labour Officer.  The Labour Court remitted the matter to the Labour Officer for a determination of the issue of reinstatement</w:t>
      </w:r>
      <w:r w:rsidR="00F54C4B" w:rsidRPr="00C95A0C">
        <w:rPr>
          <w:rFonts w:cs="Times New Roman"/>
          <w:szCs w:val="24"/>
        </w:rPr>
        <w:t>,</w:t>
      </w:r>
      <w:r w:rsidRPr="00C95A0C">
        <w:rPr>
          <w:rFonts w:cs="Times New Roman"/>
          <w:szCs w:val="24"/>
        </w:rPr>
        <w:t xml:space="preserve"> alternatively damages </w:t>
      </w:r>
      <w:r w:rsidRPr="00C95A0C">
        <w:rPr>
          <w:rFonts w:cs="Times New Roman"/>
          <w:i/>
          <w:szCs w:val="24"/>
        </w:rPr>
        <w:t>in lieu</w:t>
      </w:r>
      <w:r w:rsidRPr="00C95A0C">
        <w:rPr>
          <w:rFonts w:cs="Times New Roman"/>
          <w:szCs w:val="24"/>
        </w:rPr>
        <w:t xml:space="preserve"> thereof and their quantification.</w:t>
      </w:r>
    </w:p>
    <w:p w:rsidR="00C95A0C" w:rsidRDefault="00C95A0C" w:rsidP="00150281">
      <w:pPr>
        <w:spacing w:before="0" w:beforeAutospacing="0" w:after="0" w:afterAutospacing="0" w:line="240" w:lineRule="auto"/>
        <w:ind w:firstLine="1134"/>
        <w:jc w:val="both"/>
        <w:rPr>
          <w:rFonts w:cs="Times New Roman"/>
          <w:szCs w:val="24"/>
        </w:rPr>
      </w:pPr>
    </w:p>
    <w:p w:rsidR="00CD721A" w:rsidRPr="00C95A0C" w:rsidRDefault="00CD721A" w:rsidP="005A116F">
      <w:pPr>
        <w:spacing w:after="0" w:afterAutospacing="0" w:line="480" w:lineRule="auto"/>
        <w:jc w:val="both"/>
        <w:rPr>
          <w:rFonts w:cs="Times New Roman"/>
          <w:b/>
          <w:szCs w:val="24"/>
        </w:rPr>
      </w:pPr>
      <w:r w:rsidRPr="00C95A0C">
        <w:rPr>
          <w:rFonts w:cs="Times New Roman"/>
          <w:b/>
          <w:szCs w:val="24"/>
        </w:rPr>
        <w:t>Background facts</w:t>
      </w:r>
    </w:p>
    <w:p w:rsidR="0054317D" w:rsidRPr="00C95A0C" w:rsidRDefault="00CD721A" w:rsidP="005A116F">
      <w:pPr>
        <w:spacing w:after="0" w:afterAutospacing="0" w:line="480" w:lineRule="auto"/>
        <w:ind w:firstLine="1134"/>
        <w:jc w:val="both"/>
        <w:rPr>
          <w:rFonts w:cs="Times New Roman"/>
          <w:szCs w:val="24"/>
        </w:rPr>
      </w:pPr>
      <w:r w:rsidRPr="00C95A0C">
        <w:rPr>
          <w:rFonts w:cs="Times New Roman"/>
          <w:szCs w:val="24"/>
        </w:rPr>
        <w:t>The facts of this matt</w:t>
      </w:r>
      <w:r w:rsidR="008D114A" w:rsidRPr="00C95A0C">
        <w:rPr>
          <w:rFonts w:cs="Times New Roman"/>
          <w:szCs w:val="24"/>
        </w:rPr>
        <w:t xml:space="preserve">er are generally common cause. </w:t>
      </w:r>
      <w:r w:rsidRPr="00C95A0C">
        <w:rPr>
          <w:rFonts w:cs="Times New Roman"/>
          <w:szCs w:val="24"/>
        </w:rPr>
        <w:t xml:space="preserve">The appellant employed the </w:t>
      </w:r>
      <w:r w:rsidR="007A680F" w:rsidRPr="00C95A0C">
        <w:rPr>
          <w:rFonts w:cs="Times New Roman"/>
          <w:szCs w:val="24"/>
        </w:rPr>
        <w:t>second</w:t>
      </w:r>
      <w:r w:rsidRPr="00C95A0C">
        <w:rPr>
          <w:rFonts w:cs="Times New Roman"/>
          <w:szCs w:val="24"/>
        </w:rPr>
        <w:t xml:space="preserve"> and </w:t>
      </w:r>
      <w:r w:rsidR="007A680F" w:rsidRPr="00C95A0C">
        <w:rPr>
          <w:rFonts w:cs="Times New Roman"/>
          <w:szCs w:val="24"/>
        </w:rPr>
        <w:t>third</w:t>
      </w:r>
      <w:r w:rsidRPr="00C95A0C">
        <w:rPr>
          <w:rFonts w:cs="Times New Roman"/>
          <w:szCs w:val="24"/>
        </w:rPr>
        <w:t xml:space="preserve"> respondents as Human Resources Officer and Stores Controller respectively. </w:t>
      </w:r>
      <w:r w:rsidRPr="00C95A0C">
        <w:rPr>
          <w:rFonts w:cs="Times New Roman"/>
          <w:szCs w:val="24"/>
        </w:rPr>
        <w:lastRenderedPageBreak/>
        <w:t xml:space="preserve">Between 2015 and 2016 the appellant faced financial challenges and embarked on a number of measures designed to contain the financial </w:t>
      </w:r>
      <w:r w:rsidR="007A680F" w:rsidRPr="00C95A0C">
        <w:rPr>
          <w:rFonts w:cs="Times New Roman"/>
          <w:szCs w:val="24"/>
        </w:rPr>
        <w:t>incongruence</w:t>
      </w:r>
      <w:r w:rsidR="008D114A" w:rsidRPr="00C95A0C">
        <w:rPr>
          <w:rFonts w:cs="Times New Roman"/>
          <w:szCs w:val="24"/>
        </w:rPr>
        <w:t xml:space="preserve">. </w:t>
      </w:r>
      <w:r w:rsidRPr="00C95A0C">
        <w:rPr>
          <w:rFonts w:cs="Times New Roman"/>
          <w:szCs w:val="24"/>
        </w:rPr>
        <w:t xml:space="preserve">It put some employees on retrenchment in 2016 but the </w:t>
      </w:r>
      <w:r w:rsidR="007A680F" w:rsidRPr="00C95A0C">
        <w:rPr>
          <w:rFonts w:cs="Times New Roman"/>
          <w:szCs w:val="24"/>
        </w:rPr>
        <w:t>second</w:t>
      </w:r>
      <w:r w:rsidRPr="00C95A0C">
        <w:rPr>
          <w:rFonts w:cs="Times New Roman"/>
          <w:szCs w:val="24"/>
        </w:rPr>
        <w:t xml:space="preserve"> and </w:t>
      </w:r>
      <w:r w:rsidR="007A680F" w:rsidRPr="00C95A0C">
        <w:rPr>
          <w:rFonts w:cs="Times New Roman"/>
          <w:szCs w:val="24"/>
        </w:rPr>
        <w:t>third</w:t>
      </w:r>
      <w:r w:rsidRPr="00C95A0C">
        <w:rPr>
          <w:rFonts w:cs="Times New Roman"/>
          <w:szCs w:val="24"/>
        </w:rPr>
        <w:t xml:space="preserve"> respondents were not among those employees identified for retrenchment.</w:t>
      </w:r>
    </w:p>
    <w:p w:rsidR="007A680F" w:rsidRPr="00C95A0C" w:rsidRDefault="007A680F" w:rsidP="00136FAF">
      <w:pPr>
        <w:spacing w:before="0" w:beforeAutospacing="0" w:after="0" w:afterAutospacing="0" w:line="240" w:lineRule="auto"/>
        <w:ind w:firstLine="1134"/>
        <w:jc w:val="both"/>
        <w:rPr>
          <w:rFonts w:cs="Times New Roman"/>
          <w:szCs w:val="24"/>
        </w:rPr>
      </w:pPr>
    </w:p>
    <w:p w:rsidR="00CD721A" w:rsidRPr="00C95A0C" w:rsidRDefault="00CD721A" w:rsidP="005A116F">
      <w:pPr>
        <w:spacing w:after="0" w:afterAutospacing="0" w:line="480" w:lineRule="auto"/>
        <w:ind w:firstLine="1134"/>
        <w:jc w:val="both"/>
        <w:rPr>
          <w:rFonts w:cs="Times New Roman"/>
          <w:szCs w:val="24"/>
        </w:rPr>
      </w:pPr>
      <w:r w:rsidRPr="00C95A0C">
        <w:rPr>
          <w:rFonts w:cs="Times New Roman"/>
          <w:szCs w:val="24"/>
        </w:rPr>
        <w:t xml:space="preserve">As a result of the financial difficulties the appellant ran a three </w:t>
      </w:r>
      <w:r w:rsidR="008D114A" w:rsidRPr="00C95A0C">
        <w:rPr>
          <w:rFonts w:cs="Times New Roman"/>
          <w:szCs w:val="24"/>
        </w:rPr>
        <w:t>months’</w:t>
      </w:r>
      <w:r w:rsidRPr="00C95A0C">
        <w:rPr>
          <w:rFonts w:cs="Times New Roman"/>
          <w:szCs w:val="24"/>
        </w:rPr>
        <w:t xml:space="preserve"> salary backlog. It then unilaterally imposed a salary cut of 50</w:t>
      </w:r>
      <w:r w:rsidR="007A680F" w:rsidRPr="00C95A0C">
        <w:rPr>
          <w:rFonts w:cs="Times New Roman"/>
          <w:szCs w:val="24"/>
        </w:rPr>
        <w:t xml:space="preserve"> percent</w:t>
      </w:r>
      <w:r w:rsidRPr="00C95A0C">
        <w:rPr>
          <w:rFonts w:cs="Times New Roman"/>
          <w:szCs w:val="24"/>
        </w:rPr>
        <w:t xml:space="preserve">. This was resisted by the </w:t>
      </w:r>
      <w:r w:rsidR="007A680F" w:rsidRPr="00C95A0C">
        <w:rPr>
          <w:rFonts w:cs="Times New Roman"/>
          <w:szCs w:val="24"/>
        </w:rPr>
        <w:t>second</w:t>
      </w:r>
      <w:r w:rsidRPr="00C95A0C">
        <w:rPr>
          <w:rFonts w:cs="Times New Roman"/>
          <w:szCs w:val="24"/>
        </w:rPr>
        <w:t xml:space="preserve"> and </w:t>
      </w:r>
      <w:r w:rsidR="007A680F" w:rsidRPr="00C95A0C">
        <w:rPr>
          <w:rFonts w:cs="Times New Roman"/>
          <w:szCs w:val="24"/>
        </w:rPr>
        <w:t>third</w:t>
      </w:r>
      <w:r w:rsidRPr="00C95A0C">
        <w:rPr>
          <w:rFonts w:cs="Times New Roman"/>
          <w:szCs w:val="24"/>
        </w:rPr>
        <w:t xml:space="preserve"> respondents who instead proposed a 20</w:t>
      </w:r>
      <w:r w:rsidR="007A680F" w:rsidRPr="00C95A0C">
        <w:rPr>
          <w:rFonts w:cs="Times New Roman"/>
          <w:szCs w:val="24"/>
        </w:rPr>
        <w:t xml:space="preserve"> percent</w:t>
      </w:r>
      <w:r w:rsidRPr="00C95A0C">
        <w:rPr>
          <w:rFonts w:cs="Times New Roman"/>
          <w:szCs w:val="24"/>
        </w:rPr>
        <w:t xml:space="preserve"> salary cut.  A labour dispute</w:t>
      </w:r>
      <w:r w:rsidR="00437F23" w:rsidRPr="00C95A0C">
        <w:rPr>
          <w:rFonts w:cs="Times New Roman"/>
          <w:szCs w:val="24"/>
        </w:rPr>
        <w:t xml:space="preserve"> then arose as a result of the 50</w:t>
      </w:r>
      <w:r w:rsidR="007A680F" w:rsidRPr="00C95A0C">
        <w:rPr>
          <w:rFonts w:cs="Times New Roman"/>
          <w:szCs w:val="24"/>
        </w:rPr>
        <w:t xml:space="preserve"> percent</w:t>
      </w:r>
      <w:r w:rsidR="00437F23" w:rsidRPr="00C95A0C">
        <w:rPr>
          <w:rFonts w:cs="Times New Roman"/>
          <w:szCs w:val="24"/>
        </w:rPr>
        <w:t xml:space="preserve"> salary reduction which was effective from 1 Jul</w:t>
      </w:r>
      <w:r w:rsidR="00F52EE1" w:rsidRPr="00C95A0C">
        <w:rPr>
          <w:rFonts w:cs="Times New Roman"/>
          <w:szCs w:val="24"/>
        </w:rPr>
        <w:t>y</w:t>
      </w:r>
      <w:r w:rsidR="00437F23" w:rsidRPr="00C95A0C">
        <w:rPr>
          <w:rFonts w:cs="Times New Roman"/>
          <w:szCs w:val="24"/>
        </w:rPr>
        <w:t xml:space="preserve"> 2016.  The dispute was referred to a Labour Office</w:t>
      </w:r>
      <w:r w:rsidR="00F52EE1" w:rsidRPr="00C95A0C">
        <w:rPr>
          <w:rFonts w:cs="Times New Roman"/>
          <w:szCs w:val="24"/>
        </w:rPr>
        <w:t>r</w:t>
      </w:r>
      <w:r w:rsidR="00437F23" w:rsidRPr="00C95A0C">
        <w:rPr>
          <w:rFonts w:cs="Times New Roman"/>
          <w:szCs w:val="24"/>
        </w:rPr>
        <w:t xml:space="preserve"> for conciliation.</w:t>
      </w:r>
    </w:p>
    <w:p w:rsidR="007A680F" w:rsidRPr="00C95A0C" w:rsidRDefault="007A680F" w:rsidP="00136FAF">
      <w:pPr>
        <w:spacing w:before="0" w:beforeAutospacing="0" w:after="0" w:afterAutospacing="0" w:line="240" w:lineRule="auto"/>
        <w:ind w:firstLine="1134"/>
        <w:jc w:val="both"/>
        <w:rPr>
          <w:rFonts w:cs="Times New Roman"/>
          <w:szCs w:val="24"/>
        </w:rPr>
      </w:pPr>
    </w:p>
    <w:p w:rsidR="00437F23" w:rsidRPr="00C95A0C" w:rsidRDefault="00437F23" w:rsidP="005A116F">
      <w:pPr>
        <w:spacing w:after="0" w:afterAutospacing="0" w:line="480" w:lineRule="auto"/>
        <w:ind w:firstLine="1134"/>
        <w:jc w:val="both"/>
        <w:rPr>
          <w:rFonts w:cs="Times New Roman"/>
          <w:szCs w:val="24"/>
        </w:rPr>
      </w:pPr>
      <w:r w:rsidRPr="00C95A0C">
        <w:rPr>
          <w:rFonts w:cs="Times New Roman"/>
          <w:szCs w:val="24"/>
        </w:rPr>
        <w:t xml:space="preserve">The Labour </w:t>
      </w:r>
      <w:r w:rsidR="00F52EE1" w:rsidRPr="00C95A0C">
        <w:rPr>
          <w:rFonts w:cs="Times New Roman"/>
          <w:szCs w:val="24"/>
        </w:rPr>
        <w:t>O</w:t>
      </w:r>
      <w:r w:rsidRPr="00C95A0C">
        <w:rPr>
          <w:rFonts w:cs="Times New Roman"/>
          <w:szCs w:val="24"/>
        </w:rPr>
        <w:t>fficer was unable to unlock the impasse between the parties and was about to issue a certificate of no settlement on 7 March 2018 when the appellant requested that the matter be briefly stood down to enable the parties to explore an out of court settlem</w:t>
      </w:r>
      <w:r w:rsidR="00F52EE1" w:rsidRPr="00C95A0C">
        <w:rPr>
          <w:rFonts w:cs="Times New Roman"/>
          <w:szCs w:val="24"/>
        </w:rPr>
        <w:t>e</w:t>
      </w:r>
      <w:r w:rsidRPr="00C95A0C">
        <w:rPr>
          <w:rFonts w:cs="Times New Roman"/>
          <w:szCs w:val="24"/>
        </w:rPr>
        <w:t xml:space="preserve">nt. The Labour Officer obliged allowing the parties to return to the employer’s offices for that purpose. Upon arrival, the appellant immediately served the </w:t>
      </w:r>
      <w:r w:rsidR="007A680F" w:rsidRPr="00C95A0C">
        <w:rPr>
          <w:rFonts w:cs="Times New Roman"/>
          <w:szCs w:val="24"/>
        </w:rPr>
        <w:t>second</w:t>
      </w:r>
      <w:r w:rsidRPr="00C95A0C">
        <w:rPr>
          <w:rFonts w:cs="Times New Roman"/>
          <w:szCs w:val="24"/>
        </w:rPr>
        <w:t xml:space="preserve"> and </w:t>
      </w:r>
      <w:r w:rsidR="007A680F" w:rsidRPr="00C95A0C">
        <w:rPr>
          <w:rFonts w:cs="Times New Roman"/>
          <w:szCs w:val="24"/>
        </w:rPr>
        <w:t>third</w:t>
      </w:r>
      <w:r w:rsidRPr="00C95A0C">
        <w:rPr>
          <w:rFonts w:cs="Times New Roman"/>
          <w:szCs w:val="24"/>
        </w:rPr>
        <w:t xml:space="preserve"> respondents with retrenchment letters.</w:t>
      </w:r>
    </w:p>
    <w:p w:rsidR="007A680F" w:rsidRPr="00C95A0C" w:rsidRDefault="007A680F" w:rsidP="00136FAF">
      <w:pPr>
        <w:spacing w:before="0" w:beforeAutospacing="0" w:after="0" w:afterAutospacing="0" w:line="240" w:lineRule="auto"/>
        <w:ind w:firstLine="1134"/>
        <w:jc w:val="both"/>
        <w:rPr>
          <w:rFonts w:cs="Times New Roman"/>
          <w:szCs w:val="24"/>
        </w:rPr>
      </w:pPr>
    </w:p>
    <w:p w:rsidR="00437F23" w:rsidRPr="00C95A0C" w:rsidRDefault="00437F23" w:rsidP="005A116F">
      <w:pPr>
        <w:spacing w:after="0" w:afterAutospacing="0" w:line="480" w:lineRule="auto"/>
        <w:ind w:firstLine="1134"/>
        <w:jc w:val="both"/>
        <w:rPr>
          <w:rFonts w:cs="Times New Roman"/>
          <w:szCs w:val="24"/>
        </w:rPr>
      </w:pPr>
      <w:r w:rsidRPr="00C95A0C">
        <w:rPr>
          <w:rFonts w:cs="Times New Roman"/>
          <w:szCs w:val="24"/>
        </w:rPr>
        <w:t>In those letter</w:t>
      </w:r>
      <w:r w:rsidR="00B46045" w:rsidRPr="00C95A0C">
        <w:rPr>
          <w:rFonts w:cs="Times New Roman"/>
          <w:szCs w:val="24"/>
        </w:rPr>
        <w:t>s</w:t>
      </w:r>
      <w:r w:rsidRPr="00C95A0C">
        <w:rPr>
          <w:rFonts w:cs="Times New Roman"/>
          <w:szCs w:val="24"/>
        </w:rPr>
        <w:t xml:space="preserve"> dated 7 </w:t>
      </w:r>
      <w:r w:rsidR="00B46045" w:rsidRPr="00C95A0C">
        <w:rPr>
          <w:rFonts w:cs="Times New Roman"/>
          <w:szCs w:val="24"/>
        </w:rPr>
        <w:t>M</w:t>
      </w:r>
      <w:r w:rsidRPr="00C95A0C">
        <w:rPr>
          <w:rFonts w:cs="Times New Roman"/>
          <w:szCs w:val="24"/>
        </w:rPr>
        <w:t>arch 20</w:t>
      </w:r>
      <w:r w:rsidR="00B46045" w:rsidRPr="00C95A0C">
        <w:rPr>
          <w:rFonts w:cs="Times New Roman"/>
          <w:szCs w:val="24"/>
        </w:rPr>
        <w:t>18, the appellant made it clear</w:t>
      </w:r>
      <w:r w:rsidRPr="00C95A0C">
        <w:rPr>
          <w:rFonts w:cs="Times New Roman"/>
          <w:szCs w:val="24"/>
        </w:rPr>
        <w:t xml:space="preserve"> that it was unable to meet the employees’ demands and that it had no option “but to terminate (the) contracts of employment”.  The letters also set out that the termination was in accordance with s</w:t>
      </w:r>
      <w:r w:rsidR="005A116F" w:rsidRPr="00C95A0C">
        <w:rPr>
          <w:rFonts w:cs="Times New Roman"/>
          <w:szCs w:val="24"/>
        </w:rPr>
        <w:t xml:space="preserve"> </w:t>
      </w:r>
      <w:r w:rsidRPr="00C95A0C">
        <w:rPr>
          <w:rFonts w:cs="Times New Roman"/>
          <w:szCs w:val="24"/>
        </w:rPr>
        <w:t>12C of the Labour Amendment Act No. 5 of 2015.  They also set out the terminal benefits and severa</w:t>
      </w:r>
      <w:r w:rsidR="00B46045" w:rsidRPr="00C95A0C">
        <w:rPr>
          <w:rFonts w:cs="Times New Roman"/>
          <w:szCs w:val="24"/>
        </w:rPr>
        <w:t>g</w:t>
      </w:r>
      <w:r w:rsidRPr="00C95A0C">
        <w:rPr>
          <w:rFonts w:cs="Times New Roman"/>
          <w:szCs w:val="24"/>
        </w:rPr>
        <w:t xml:space="preserve">e </w:t>
      </w:r>
      <w:r w:rsidRPr="00C95A0C">
        <w:rPr>
          <w:rFonts w:cs="Times New Roman"/>
          <w:szCs w:val="24"/>
        </w:rPr>
        <w:lastRenderedPageBreak/>
        <w:t>packages to be paid to the</w:t>
      </w:r>
      <w:r w:rsidR="00F54C4B" w:rsidRPr="00C95A0C">
        <w:rPr>
          <w:rFonts w:cs="Times New Roman"/>
          <w:szCs w:val="24"/>
        </w:rPr>
        <w:t xml:space="preserve"> employees</w:t>
      </w:r>
      <w:r w:rsidRPr="00C95A0C">
        <w:rPr>
          <w:rFonts w:cs="Times New Roman"/>
          <w:szCs w:val="24"/>
        </w:rPr>
        <w:t>.  The letter</w:t>
      </w:r>
      <w:r w:rsidR="00F54C4B" w:rsidRPr="00C95A0C">
        <w:rPr>
          <w:rFonts w:cs="Times New Roman"/>
          <w:szCs w:val="24"/>
        </w:rPr>
        <w:t>s,</w:t>
      </w:r>
      <w:r w:rsidRPr="00C95A0C">
        <w:rPr>
          <w:rFonts w:cs="Times New Roman"/>
          <w:szCs w:val="24"/>
        </w:rPr>
        <w:t xml:space="preserve"> concluded by thanking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“for the valued contribution” they had made during the tenure of their employment.</w:t>
      </w:r>
    </w:p>
    <w:p w:rsidR="005A116F" w:rsidRPr="00C95A0C" w:rsidRDefault="005A116F" w:rsidP="005A116F">
      <w:pPr>
        <w:spacing w:after="0" w:afterAutospacing="0" w:line="240" w:lineRule="auto"/>
        <w:jc w:val="both"/>
        <w:rPr>
          <w:rFonts w:cs="Times New Roman"/>
          <w:szCs w:val="24"/>
        </w:rPr>
      </w:pPr>
    </w:p>
    <w:p w:rsidR="00437F23" w:rsidRPr="00C95A0C" w:rsidRDefault="00437F23" w:rsidP="00C95A0C">
      <w:pPr>
        <w:spacing w:before="0" w:beforeAutospacing="0" w:after="0" w:afterAutospacing="0" w:line="480" w:lineRule="auto"/>
        <w:ind w:firstLine="1134"/>
        <w:jc w:val="both"/>
        <w:rPr>
          <w:rFonts w:cs="Times New Roman"/>
          <w:szCs w:val="24"/>
        </w:rPr>
      </w:pPr>
      <w:r w:rsidRPr="00C95A0C">
        <w:rPr>
          <w:rFonts w:cs="Times New Roman"/>
          <w:szCs w:val="24"/>
        </w:rPr>
        <w:t xml:space="preserve">It was not until 14 </w:t>
      </w:r>
      <w:r w:rsidR="00B46045" w:rsidRPr="00C95A0C">
        <w:rPr>
          <w:rFonts w:cs="Times New Roman"/>
          <w:szCs w:val="24"/>
        </w:rPr>
        <w:t>M</w:t>
      </w:r>
      <w:r w:rsidRPr="00C95A0C">
        <w:rPr>
          <w:rFonts w:cs="Times New Roman"/>
          <w:szCs w:val="24"/>
        </w:rPr>
        <w:t>arch 2018 that the appellant wrote a letter to the Retrenchment Board in the following</w:t>
      </w:r>
      <w:r w:rsidR="00F54C4B" w:rsidRPr="00C95A0C">
        <w:rPr>
          <w:rFonts w:cs="Times New Roman"/>
          <w:szCs w:val="24"/>
        </w:rPr>
        <w:t xml:space="preserve"> terms</w:t>
      </w:r>
      <w:r w:rsidRPr="00C95A0C">
        <w:rPr>
          <w:rFonts w:cs="Times New Roman"/>
          <w:szCs w:val="24"/>
        </w:rPr>
        <w:t>:</w:t>
      </w:r>
    </w:p>
    <w:p w:rsidR="00437F23" w:rsidRPr="00C95A0C" w:rsidRDefault="00437F23" w:rsidP="005A116F">
      <w:pPr>
        <w:pStyle w:val="NoSpacing"/>
        <w:spacing w:after="0" w:afterAutospacing="0"/>
        <w:ind w:firstLine="567"/>
        <w:jc w:val="both"/>
        <w:rPr>
          <w:rFonts w:cs="Times New Roman"/>
          <w:szCs w:val="24"/>
          <w:u w:val="single"/>
        </w:rPr>
      </w:pPr>
      <w:r w:rsidRPr="00C95A0C">
        <w:rPr>
          <w:rFonts w:cs="Times New Roman"/>
          <w:szCs w:val="24"/>
          <w:u w:val="single"/>
        </w:rPr>
        <w:t>“RE: NOTICE OF INTENTION TO RETRENCH 4 NON NEC EMPLOYEES</w:t>
      </w:r>
    </w:p>
    <w:p w:rsidR="00437F23" w:rsidRPr="00C95A0C" w:rsidRDefault="00437F23" w:rsidP="005A116F">
      <w:pPr>
        <w:pStyle w:val="NoSpacing"/>
        <w:spacing w:after="0" w:afterAutospacing="0"/>
        <w:jc w:val="both"/>
        <w:rPr>
          <w:rFonts w:cs="Times New Roman"/>
          <w:szCs w:val="24"/>
        </w:rPr>
      </w:pPr>
    </w:p>
    <w:p w:rsidR="00437F23" w:rsidRPr="00C95A0C" w:rsidRDefault="00437F23" w:rsidP="005A116F">
      <w:pPr>
        <w:pStyle w:val="NoSpacing"/>
        <w:spacing w:after="0" w:afterAutospacing="0"/>
        <w:ind w:left="567"/>
        <w:jc w:val="both"/>
        <w:rPr>
          <w:rFonts w:cs="Times New Roman"/>
          <w:szCs w:val="24"/>
        </w:rPr>
      </w:pPr>
      <w:r w:rsidRPr="00C95A0C">
        <w:rPr>
          <w:rFonts w:cs="Times New Roman"/>
          <w:szCs w:val="24"/>
        </w:rPr>
        <w:t>We hereby notify the Retrenchment Board of our intention to retrench 4 (four) employees (find attached annexure 1 with list of employees) with effect from 1 June 2018 in accordance with section 12C (1) of the Labour</w:t>
      </w:r>
      <w:r w:rsidR="002B375E" w:rsidRPr="00C95A0C">
        <w:rPr>
          <w:rFonts w:cs="Times New Roman"/>
          <w:szCs w:val="24"/>
        </w:rPr>
        <w:t xml:space="preserve"> Amendment Act No. 5, to align the business cost with business activity.  Reasons for the retrenchment exercise are contained in Annexure 2 herewith attached.</w:t>
      </w:r>
    </w:p>
    <w:p w:rsidR="002B375E" w:rsidRPr="00C95A0C" w:rsidRDefault="002B375E" w:rsidP="005A116F">
      <w:pPr>
        <w:pStyle w:val="NoSpacing"/>
        <w:spacing w:after="0" w:afterAutospacing="0"/>
        <w:jc w:val="both"/>
        <w:rPr>
          <w:rFonts w:cs="Times New Roman"/>
          <w:szCs w:val="24"/>
        </w:rPr>
      </w:pPr>
    </w:p>
    <w:p w:rsidR="002B375E" w:rsidRPr="00C95A0C" w:rsidRDefault="002B375E" w:rsidP="005A116F">
      <w:pPr>
        <w:pStyle w:val="NoSpacing"/>
        <w:spacing w:after="0" w:afterAutospacing="0"/>
        <w:ind w:left="567"/>
        <w:jc w:val="both"/>
        <w:rPr>
          <w:rFonts w:cs="Times New Roman"/>
          <w:szCs w:val="24"/>
        </w:rPr>
      </w:pPr>
      <w:r w:rsidRPr="00C95A0C">
        <w:rPr>
          <w:rFonts w:cs="Times New Roman"/>
          <w:szCs w:val="24"/>
        </w:rPr>
        <w:t>We have also attached letters of notice to terminate employment contract through retrenchment for the 4 (four) affected employees (Annexure 3).</w:t>
      </w:r>
    </w:p>
    <w:p w:rsidR="002B375E" w:rsidRPr="00C95A0C" w:rsidRDefault="002B375E" w:rsidP="005A116F">
      <w:pPr>
        <w:pStyle w:val="NoSpacing"/>
        <w:spacing w:after="0" w:afterAutospacing="0"/>
        <w:jc w:val="both"/>
        <w:rPr>
          <w:rFonts w:cs="Times New Roman"/>
          <w:szCs w:val="24"/>
        </w:rPr>
      </w:pPr>
    </w:p>
    <w:p w:rsidR="002B375E" w:rsidRPr="00C95A0C" w:rsidRDefault="002B375E" w:rsidP="005A116F">
      <w:pPr>
        <w:pStyle w:val="NoSpacing"/>
        <w:spacing w:after="0" w:afterAutospacing="0"/>
        <w:ind w:left="567"/>
        <w:jc w:val="both"/>
        <w:rPr>
          <w:rFonts w:cs="Times New Roman"/>
          <w:szCs w:val="24"/>
        </w:rPr>
      </w:pPr>
      <w:r w:rsidRPr="00C95A0C">
        <w:rPr>
          <w:rFonts w:cs="Times New Roman"/>
          <w:szCs w:val="24"/>
        </w:rPr>
        <w:t>Should you require any further details please contact the undersigned.”</w:t>
      </w:r>
    </w:p>
    <w:p w:rsidR="005A116F" w:rsidRPr="00C95A0C" w:rsidRDefault="005A116F" w:rsidP="005A116F">
      <w:pPr>
        <w:pStyle w:val="NoSpacing"/>
        <w:spacing w:after="0" w:afterAutospacing="0"/>
        <w:ind w:left="720"/>
        <w:jc w:val="both"/>
        <w:rPr>
          <w:rFonts w:cs="Times New Roman"/>
          <w:szCs w:val="24"/>
        </w:rPr>
      </w:pPr>
    </w:p>
    <w:p w:rsidR="005A116F" w:rsidRPr="00C95A0C" w:rsidRDefault="005A116F" w:rsidP="005A116F">
      <w:pPr>
        <w:pStyle w:val="NoSpacing"/>
        <w:spacing w:after="0" w:afterAutospacing="0"/>
        <w:ind w:left="720"/>
        <w:jc w:val="both"/>
        <w:rPr>
          <w:rFonts w:cs="Times New Roman"/>
          <w:szCs w:val="24"/>
        </w:rPr>
      </w:pPr>
    </w:p>
    <w:p w:rsidR="002B375E" w:rsidRPr="00C95A0C" w:rsidRDefault="002B375E" w:rsidP="005A116F">
      <w:pPr>
        <w:spacing w:after="0" w:afterAutospacing="0" w:line="480" w:lineRule="auto"/>
        <w:ind w:firstLine="1134"/>
        <w:jc w:val="both"/>
        <w:rPr>
          <w:rFonts w:cs="Times New Roman"/>
          <w:szCs w:val="24"/>
        </w:rPr>
      </w:pPr>
      <w:r w:rsidRPr="00C95A0C">
        <w:rPr>
          <w:rFonts w:cs="Times New Roman"/>
          <w:szCs w:val="24"/>
        </w:rPr>
        <w:t xml:space="preserve">Meanwhile,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reported a new case of unfair dismissal to a Labour Officer.  The </w:t>
      </w:r>
      <w:r w:rsidR="005A116F" w:rsidRPr="00C95A0C">
        <w:rPr>
          <w:rFonts w:cs="Times New Roman"/>
          <w:szCs w:val="24"/>
        </w:rPr>
        <w:t>first</w:t>
      </w:r>
      <w:r w:rsidRPr="00C95A0C">
        <w:rPr>
          <w:rFonts w:cs="Times New Roman"/>
          <w:szCs w:val="24"/>
        </w:rPr>
        <w:t xml:space="preserve"> respondent conciliated the dispute and in due course issued a certificate of no settlement. The </w:t>
      </w:r>
      <w:r w:rsidR="005A116F" w:rsidRPr="00C95A0C">
        <w:rPr>
          <w:rFonts w:cs="Times New Roman"/>
          <w:szCs w:val="24"/>
        </w:rPr>
        <w:t>first</w:t>
      </w:r>
      <w:r w:rsidRPr="00C95A0C">
        <w:rPr>
          <w:rFonts w:cs="Times New Roman"/>
          <w:szCs w:val="24"/>
        </w:rPr>
        <w:t xml:space="preserve"> re</w:t>
      </w:r>
      <w:r w:rsidR="00F54C4B" w:rsidRPr="00C95A0C">
        <w:rPr>
          <w:rFonts w:cs="Times New Roman"/>
          <w:szCs w:val="24"/>
        </w:rPr>
        <w:t>spondent made a draft ruling which</w:t>
      </w:r>
      <w:r w:rsidRPr="00C95A0C">
        <w:rPr>
          <w:rFonts w:cs="Times New Roman"/>
          <w:szCs w:val="24"/>
        </w:rPr>
        <w:t xml:space="preserve"> found that the appellant had not followed the mandatory procedure for a lawful retrenchment process. It had failed to serve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with proper retrenchment notices. The </w:t>
      </w:r>
      <w:r w:rsidR="005A116F" w:rsidRPr="00C95A0C">
        <w:rPr>
          <w:rFonts w:cs="Times New Roman"/>
          <w:szCs w:val="24"/>
        </w:rPr>
        <w:t>first</w:t>
      </w:r>
      <w:r w:rsidRPr="00C95A0C">
        <w:rPr>
          <w:rFonts w:cs="Times New Roman"/>
          <w:szCs w:val="24"/>
        </w:rPr>
        <w:t xml:space="preserve"> respondent awarded damages </w:t>
      </w:r>
      <w:r w:rsidRPr="00C95A0C">
        <w:rPr>
          <w:rFonts w:cs="Times New Roman"/>
          <w:i/>
          <w:szCs w:val="24"/>
        </w:rPr>
        <w:t>in lieu</w:t>
      </w:r>
      <w:r w:rsidRPr="00C95A0C">
        <w:rPr>
          <w:rFonts w:cs="Times New Roman"/>
          <w:szCs w:val="24"/>
        </w:rPr>
        <w:t xml:space="preserve"> of reinstatement.</w:t>
      </w:r>
    </w:p>
    <w:p w:rsidR="005A116F" w:rsidRPr="00C95A0C" w:rsidRDefault="005A116F" w:rsidP="00136FAF">
      <w:pPr>
        <w:spacing w:before="0" w:beforeAutospacing="0" w:after="0" w:afterAutospacing="0" w:line="240" w:lineRule="auto"/>
        <w:jc w:val="both"/>
        <w:rPr>
          <w:rFonts w:cs="Times New Roman"/>
          <w:szCs w:val="24"/>
        </w:rPr>
      </w:pPr>
    </w:p>
    <w:p w:rsidR="002B375E" w:rsidRPr="00C95A0C" w:rsidRDefault="002B375E" w:rsidP="005A116F">
      <w:pPr>
        <w:spacing w:after="0" w:afterAutospacing="0" w:line="480" w:lineRule="auto"/>
        <w:ind w:firstLine="1134"/>
        <w:jc w:val="both"/>
        <w:rPr>
          <w:rFonts w:cs="Times New Roman"/>
          <w:szCs w:val="24"/>
        </w:rPr>
      </w:pPr>
      <w:r w:rsidRPr="00C95A0C">
        <w:rPr>
          <w:rFonts w:cs="Times New Roman"/>
          <w:szCs w:val="24"/>
        </w:rPr>
        <w:t xml:space="preserve">It is that draft ruling which the </w:t>
      </w:r>
      <w:r w:rsidR="005A116F" w:rsidRPr="00C95A0C">
        <w:rPr>
          <w:rFonts w:cs="Times New Roman"/>
          <w:szCs w:val="24"/>
        </w:rPr>
        <w:t>first</w:t>
      </w:r>
      <w:r w:rsidRPr="00C95A0C">
        <w:rPr>
          <w:rFonts w:cs="Times New Roman"/>
          <w:szCs w:val="24"/>
        </w:rPr>
        <w:t xml:space="preserve"> respondent applied in terms of s</w:t>
      </w:r>
      <w:r w:rsidR="005A116F" w:rsidRPr="00C95A0C">
        <w:rPr>
          <w:rFonts w:cs="Times New Roman"/>
          <w:szCs w:val="24"/>
        </w:rPr>
        <w:t xml:space="preserve"> </w:t>
      </w:r>
      <w:r w:rsidRPr="00C95A0C">
        <w:rPr>
          <w:rFonts w:cs="Times New Roman"/>
          <w:szCs w:val="24"/>
        </w:rPr>
        <w:t>93 (5</w:t>
      </w:r>
      <w:r w:rsidR="00F54C4B" w:rsidRPr="00C95A0C">
        <w:rPr>
          <w:rFonts w:cs="Times New Roman"/>
          <w:szCs w:val="24"/>
        </w:rPr>
        <w:t>a</w:t>
      </w:r>
      <w:r w:rsidRPr="00C95A0C">
        <w:rPr>
          <w:rFonts w:cs="Times New Roman"/>
          <w:szCs w:val="24"/>
        </w:rPr>
        <w:t xml:space="preserve">) (a) and (b) of the Act to have it confirmed.  The application was </w:t>
      </w:r>
      <w:r w:rsidR="00F52EE1" w:rsidRPr="00C95A0C">
        <w:rPr>
          <w:rFonts w:cs="Times New Roman"/>
          <w:szCs w:val="24"/>
        </w:rPr>
        <w:t xml:space="preserve">opposed by the appellant on the basis that </w:t>
      </w:r>
      <w:r w:rsidR="00F52EE1" w:rsidRPr="00C95A0C">
        <w:rPr>
          <w:rFonts w:cs="Times New Roman"/>
          <w:szCs w:val="24"/>
        </w:rPr>
        <w:lastRenderedPageBreak/>
        <w:t xml:space="preserve">the </w:t>
      </w:r>
      <w:r w:rsidR="005A116F" w:rsidRPr="00C95A0C">
        <w:rPr>
          <w:rFonts w:cs="Times New Roman"/>
          <w:szCs w:val="24"/>
        </w:rPr>
        <w:t>first</w:t>
      </w:r>
      <w:r w:rsidR="00F52EE1" w:rsidRPr="00C95A0C">
        <w:rPr>
          <w:rFonts w:cs="Times New Roman"/>
          <w:szCs w:val="24"/>
        </w:rPr>
        <w:t xml:space="preserve"> respondent had no jurisdiction to entertain the complaint as at the time the employees had ceased to be employees owing to the retrenchment.</w:t>
      </w:r>
    </w:p>
    <w:p w:rsidR="005A116F" w:rsidRPr="00C95A0C" w:rsidRDefault="005A116F" w:rsidP="00136FAF">
      <w:pPr>
        <w:spacing w:before="0" w:beforeAutospacing="0" w:after="0" w:afterAutospacing="0" w:line="240" w:lineRule="auto"/>
        <w:jc w:val="both"/>
        <w:rPr>
          <w:rFonts w:cs="Times New Roman"/>
          <w:szCs w:val="24"/>
        </w:rPr>
      </w:pPr>
    </w:p>
    <w:p w:rsidR="00F52EE1" w:rsidRPr="00C95A0C" w:rsidRDefault="00F52EE1" w:rsidP="005A116F">
      <w:pPr>
        <w:spacing w:after="0" w:afterAutospacing="0" w:line="480" w:lineRule="auto"/>
        <w:ind w:firstLine="1134"/>
        <w:jc w:val="both"/>
        <w:rPr>
          <w:rFonts w:cs="Times New Roman"/>
          <w:szCs w:val="24"/>
        </w:rPr>
      </w:pPr>
      <w:r w:rsidRPr="00C95A0C">
        <w:rPr>
          <w:rFonts w:cs="Times New Roman"/>
          <w:szCs w:val="24"/>
        </w:rPr>
        <w:t xml:space="preserve">The court </w:t>
      </w:r>
      <w:r w:rsidRPr="00C95A0C">
        <w:rPr>
          <w:rFonts w:cs="Times New Roman"/>
          <w:i/>
          <w:szCs w:val="24"/>
        </w:rPr>
        <w:t>a quo</w:t>
      </w:r>
      <w:r w:rsidRPr="00C95A0C">
        <w:rPr>
          <w:rFonts w:cs="Times New Roman"/>
          <w:szCs w:val="24"/>
        </w:rPr>
        <w:t xml:space="preserve"> found that there was no valid retrenchment</w:t>
      </w:r>
      <w:r w:rsidR="00F54C4B" w:rsidRPr="00C95A0C">
        <w:rPr>
          <w:rFonts w:cs="Times New Roman"/>
          <w:szCs w:val="24"/>
        </w:rPr>
        <w:t>,</w:t>
      </w:r>
      <w:r w:rsidRPr="00C95A0C">
        <w:rPr>
          <w:rFonts w:cs="Times New Roman"/>
          <w:szCs w:val="24"/>
        </w:rPr>
        <w:t xml:space="preserve"> the appellant having f</w:t>
      </w:r>
      <w:r w:rsidR="00B46045" w:rsidRPr="00C95A0C">
        <w:rPr>
          <w:rFonts w:cs="Times New Roman"/>
          <w:szCs w:val="24"/>
        </w:rPr>
        <w:t>a</w:t>
      </w:r>
      <w:r w:rsidRPr="00C95A0C">
        <w:rPr>
          <w:rFonts w:cs="Times New Roman"/>
          <w:szCs w:val="24"/>
        </w:rPr>
        <w:t>iled to give notice of the intended retrenchment. It however found that the Labour Office</w:t>
      </w:r>
      <w:r w:rsidR="00B46045" w:rsidRPr="00C95A0C">
        <w:rPr>
          <w:rFonts w:cs="Times New Roman"/>
          <w:szCs w:val="24"/>
        </w:rPr>
        <w:t>r</w:t>
      </w:r>
      <w:r w:rsidRPr="00C95A0C">
        <w:rPr>
          <w:rFonts w:cs="Times New Roman"/>
          <w:szCs w:val="24"/>
        </w:rPr>
        <w:t xml:space="preserve"> had not heard the parties before quantification of damages </w:t>
      </w:r>
      <w:r w:rsidRPr="00C95A0C">
        <w:rPr>
          <w:rFonts w:cs="Times New Roman"/>
          <w:i/>
          <w:szCs w:val="24"/>
        </w:rPr>
        <w:t>in lieu</w:t>
      </w:r>
      <w:r w:rsidRPr="00C95A0C">
        <w:rPr>
          <w:rFonts w:cs="Times New Roman"/>
          <w:szCs w:val="24"/>
        </w:rPr>
        <w:t xml:space="preserve"> of rei</w:t>
      </w:r>
      <w:r w:rsidR="00B46045" w:rsidRPr="00C95A0C">
        <w:rPr>
          <w:rFonts w:cs="Times New Roman"/>
          <w:szCs w:val="24"/>
        </w:rPr>
        <w:t>n</w:t>
      </w:r>
      <w:r w:rsidRPr="00C95A0C">
        <w:rPr>
          <w:rFonts w:cs="Times New Roman"/>
          <w:szCs w:val="24"/>
        </w:rPr>
        <w:t>statement.  It remitted the matter for the purposes of hearing evidence before quantification.</w:t>
      </w:r>
    </w:p>
    <w:p w:rsidR="005A116F" w:rsidRPr="00C95A0C" w:rsidRDefault="005A116F" w:rsidP="00136FAF">
      <w:pPr>
        <w:spacing w:before="0" w:beforeAutospacing="0" w:after="0" w:afterAutospacing="0" w:line="240" w:lineRule="auto"/>
        <w:jc w:val="both"/>
        <w:rPr>
          <w:rFonts w:cs="Times New Roman"/>
          <w:szCs w:val="24"/>
        </w:rPr>
      </w:pPr>
    </w:p>
    <w:p w:rsidR="00F52EE1" w:rsidRPr="00C95A0C" w:rsidRDefault="00F52EE1" w:rsidP="005A116F">
      <w:pPr>
        <w:spacing w:after="0" w:afterAutospacing="0" w:line="480" w:lineRule="auto"/>
        <w:ind w:firstLine="1134"/>
        <w:jc w:val="both"/>
        <w:rPr>
          <w:rFonts w:cs="Times New Roman"/>
          <w:szCs w:val="24"/>
        </w:rPr>
      </w:pPr>
      <w:r w:rsidRPr="00C95A0C">
        <w:rPr>
          <w:rFonts w:cs="Times New Roman"/>
          <w:szCs w:val="24"/>
        </w:rPr>
        <w:t>The appellant was aggriev</w:t>
      </w:r>
      <w:r w:rsidR="005A116F" w:rsidRPr="00C95A0C">
        <w:rPr>
          <w:rFonts w:cs="Times New Roman"/>
          <w:szCs w:val="24"/>
        </w:rPr>
        <w:t>ed and noted an appeal to this C</w:t>
      </w:r>
      <w:r w:rsidRPr="00C95A0C">
        <w:rPr>
          <w:rFonts w:cs="Times New Roman"/>
          <w:szCs w:val="24"/>
        </w:rPr>
        <w:t>ourt on eight grounds of appeal. At the hearing of the appeal Mr</w:t>
      </w:r>
      <w:r w:rsidR="005A116F" w:rsidRPr="00C95A0C">
        <w:rPr>
          <w:rFonts w:cs="Times New Roman"/>
          <w:szCs w:val="24"/>
        </w:rPr>
        <w:t> </w:t>
      </w:r>
      <w:r w:rsidRPr="00C95A0C">
        <w:rPr>
          <w:rFonts w:cs="Times New Roman"/>
          <w:i/>
          <w:szCs w:val="24"/>
        </w:rPr>
        <w:t>Nkomo</w:t>
      </w:r>
      <w:r w:rsidR="00F54C4B" w:rsidRPr="00C95A0C">
        <w:rPr>
          <w:rFonts w:cs="Times New Roman"/>
          <w:i/>
          <w:szCs w:val="24"/>
        </w:rPr>
        <w:t>,</w:t>
      </w:r>
      <w:r w:rsidRPr="00C95A0C">
        <w:rPr>
          <w:rFonts w:cs="Times New Roman"/>
          <w:szCs w:val="24"/>
        </w:rPr>
        <w:t xml:space="preserve"> who appeared for the appellant</w:t>
      </w:r>
      <w:r w:rsidR="00F54C4B" w:rsidRPr="00C95A0C">
        <w:rPr>
          <w:rFonts w:cs="Times New Roman"/>
          <w:szCs w:val="24"/>
        </w:rPr>
        <w:t>,</w:t>
      </w:r>
      <w:r w:rsidRPr="00C95A0C">
        <w:rPr>
          <w:rFonts w:cs="Times New Roman"/>
          <w:szCs w:val="24"/>
        </w:rPr>
        <w:t xml:space="preserve"> conceded that most of them were not valid grounds.  Mr</w:t>
      </w:r>
      <w:r w:rsidRPr="00C95A0C">
        <w:rPr>
          <w:rFonts w:cs="Times New Roman"/>
          <w:i/>
          <w:szCs w:val="24"/>
        </w:rPr>
        <w:t xml:space="preserve"> Nkomo</w:t>
      </w:r>
      <w:r w:rsidRPr="00C95A0C">
        <w:rPr>
          <w:rFonts w:cs="Times New Roman"/>
          <w:szCs w:val="24"/>
        </w:rPr>
        <w:t xml:space="preserve"> abandoned all the grounds </w:t>
      </w:r>
      <w:r w:rsidR="00F54C4B" w:rsidRPr="00C95A0C">
        <w:rPr>
          <w:rFonts w:cs="Times New Roman"/>
          <w:szCs w:val="24"/>
        </w:rPr>
        <w:t>except grounds of appeal 1 and 7</w:t>
      </w:r>
      <w:r w:rsidRPr="00C95A0C">
        <w:rPr>
          <w:rFonts w:cs="Times New Roman"/>
          <w:szCs w:val="24"/>
        </w:rPr>
        <w:t>.</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Only two issues commend themselves for determination in this appeal</w:t>
      </w:r>
      <w:r w:rsidR="00F54C4B" w:rsidRPr="00C95A0C">
        <w:rPr>
          <w:rFonts w:cs="Times New Roman"/>
          <w:szCs w:val="24"/>
        </w:rPr>
        <w:t xml:space="preserve"> from these grounds</w:t>
      </w:r>
      <w:r w:rsidRPr="00C95A0C">
        <w:rPr>
          <w:rFonts w:cs="Times New Roman"/>
          <w:szCs w:val="24"/>
        </w:rPr>
        <w:t>.  They are</w:t>
      </w:r>
      <w:r w:rsidR="00F54C4B" w:rsidRPr="00C95A0C">
        <w:rPr>
          <w:rFonts w:cs="Times New Roman"/>
          <w:szCs w:val="24"/>
        </w:rPr>
        <w:t xml:space="preserve"> the following</w:t>
      </w:r>
      <w:r w:rsidRPr="00C95A0C">
        <w:rPr>
          <w:rFonts w:cs="Times New Roman"/>
          <w:szCs w:val="24"/>
        </w:rPr>
        <w:t>:</w:t>
      </w:r>
    </w:p>
    <w:p w:rsidR="006C5ABD" w:rsidRPr="00C95A0C" w:rsidRDefault="006C5ABD" w:rsidP="008D114A">
      <w:pPr>
        <w:spacing w:after="0" w:afterAutospacing="0" w:line="240" w:lineRule="auto"/>
        <w:jc w:val="both"/>
        <w:rPr>
          <w:rFonts w:cs="Times New Roman"/>
          <w:szCs w:val="24"/>
        </w:rPr>
      </w:pPr>
      <w:r w:rsidRPr="00C95A0C">
        <w:rPr>
          <w:rFonts w:cs="Times New Roman"/>
          <w:szCs w:val="24"/>
        </w:rPr>
        <w:tab/>
        <w:t xml:space="preserve">1. </w:t>
      </w:r>
      <w:r w:rsidRPr="00C95A0C">
        <w:rPr>
          <w:rFonts w:cs="Times New Roman"/>
          <w:szCs w:val="24"/>
        </w:rPr>
        <w:tab/>
        <w:t>Whether the retrenchment was lawful; and</w:t>
      </w:r>
    </w:p>
    <w:p w:rsidR="006C5ABD" w:rsidRPr="00C95A0C" w:rsidRDefault="006C5ABD" w:rsidP="005A116F">
      <w:pPr>
        <w:spacing w:after="0" w:afterAutospacing="0" w:line="480" w:lineRule="auto"/>
        <w:ind w:left="1440" w:hanging="720"/>
        <w:jc w:val="both"/>
        <w:rPr>
          <w:rFonts w:cs="Times New Roman"/>
          <w:szCs w:val="24"/>
        </w:rPr>
      </w:pPr>
      <w:r w:rsidRPr="00C95A0C">
        <w:rPr>
          <w:rFonts w:cs="Times New Roman"/>
          <w:szCs w:val="24"/>
        </w:rPr>
        <w:t xml:space="preserve">2. </w:t>
      </w:r>
      <w:r w:rsidRPr="00C95A0C">
        <w:rPr>
          <w:rFonts w:cs="Times New Roman"/>
          <w:szCs w:val="24"/>
        </w:rPr>
        <w:tab/>
        <w:t xml:space="preserve">Whether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waived their right to challenge the retrenchment</w:t>
      </w:r>
      <w:r w:rsidR="00F54C4B" w:rsidRPr="00C95A0C">
        <w:rPr>
          <w:rFonts w:cs="Times New Roman"/>
          <w:szCs w:val="24"/>
        </w:rPr>
        <w:t>.</w:t>
      </w:r>
    </w:p>
    <w:p w:rsidR="00136FAF" w:rsidRDefault="00136FAF" w:rsidP="00136FAF">
      <w:pPr>
        <w:spacing w:before="0" w:beforeAutospacing="0" w:after="0" w:afterAutospacing="0" w:line="240" w:lineRule="auto"/>
        <w:jc w:val="both"/>
        <w:rPr>
          <w:rFonts w:cs="Times New Roman"/>
          <w:b/>
          <w:szCs w:val="24"/>
        </w:rPr>
      </w:pPr>
    </w:p>
    <w:p w:rsidR="006C5ABD" w:rsidRPr="00C95A0C" w:rsidRDefault="006C5ABD" w:rsidP="005A116F">
      <w:pPr>
        <w:spacing w:after="0" w:afterAutospacing="0" w:line="480" w:lineRule="auto"/>
        <w:jc w:val="both"/>
        <w:rPr>
          <w:rFonts w:cs="Times New Roman"/>
          <w:b/>
          <w:szCs w:val="24"/>
        </w:rPr>
      </w:pPr>
      <w:r w:rsidRPr="00C95A0C">
        <w:rPr>
          <w:rFonts w:cs="Times New Roman"/>
          <w:b/>
          <w:szCs w:val="24"/>
        </w:rPr>
        <w:t>Whether the retrenchment was lawful</w:t>
      </w: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 xml:space="preserve">The process by which an employer may retrench an employee is set out in the Labour Act </w:t>
      </w:r>
      <w:r w:rsidR="005A116F" w:rsidRPr="00C95A0C">
        <w:rPr>
          <w:rFonts w:cs="Times New Roman"/>
          <w:szCs w:val="24"/>
        </w:rPr>
        <w:t>[</w:t>
      </w:r>
      <w:r w:rsidRPr="00C95A0C">
        <w:rPr>
          <w:rFonts w:cs="Times New Roman"/>
          <w:i/>
          <w:szCs w:val="24"/>
        </w:rPr>
        <w:t>Chapter 28:</w:t>
      </w:r>
      <w:r w:rsidR="00F54C4B" w:rsidRPr="00C95A0C">
        <w:rPr>
          <w:rFonts w:cs="Times New Roman"/>
          <w:i/>
          <w:szCs w:val="24"/>
        </w:rPr>
        <w:t>01</w:t>
      </w:r>
      <w:r w:rsidR="005A116F" w:rsidRPr="00C95A0C">
        <w:rPr>
          <w:rFonts w:cs="Times New Roman"/>
          <w:i/>
          <w:szCs w:val="24"/>
        </w:rPr>
        <w:t>]</w:t>
      </w:r>
      <w:r w:rsidR="00F54C4B" w:rsidRPr="00C95A0C">
        <w:rPr>
          <w:rFonts w:cs="Times New Roman"/>
          <w:szCs w:val="24"/>
        </w:rPr>
        <w:t>. In terms of s 12 (4a</w:t>
      </w:r>
      <w:r w:rsidRPr="00C95A0C">
        <w:rPr>
          <w:rFonts w:cs="Times New Roman"/>
          <w:szCs w:val="24"/>
        </w:rPr>
        <w:t xml:space="preserve">) no employer shall terminate a contract of employment </w:t>
      </w:r>
      <w:r w:rsidRPr="00C95A0C">
        <w:rPr>
          <w:rFonts w:cs="Times New Roman"/>
          <w:szCs w:val="24"/>
        </w:rPr>
        <w:lastRenderedPageBreak/>
        <w:t>on notice unless the termination is in terms of an employment code; the employer and employee mutually agree in writing to the termination; the employee was engaged for a period of fixed duration; or pursuant to retrenchment in accordance with s 12</w:t>
      </w:r>
      <w:r w:rsidR="00F54C4B" w:rsidRPr="00C95A0C">
        <w:rPr>
          <w:rFonts w:cs="Times New Roman"/>
          <w:szCs w:val="24"/>
        </w:rPr>
        <w:t>C</w:t>
      </w:r>
      <w:r w:rsidRPr="00C95A0C">
        <w:rPr>
          <w:rFonts w:cs="Times New Roman"/>
          <w:szCs w:val="24"/>
        </w:rPr>
        <w:t>.</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Section 12C (1) sets out the procedure to be followed by an employer who wishes to retrench any one or more employees.  Written notice must be given to the Works Council.  If the there is no Works Council, notice must be given to the Employment Council established for the undertaking or industry. If there is no employment council for the undertaking, notice must be given to the Retrenchment Board.</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In addition, details of every employee to be retrenched and the reasons for the “proposed” retrenchment must be set out.  Subs</w:t>
      </w:r>
      <w:r w:rsidR="005A116F" w:rsidRPr="00C95A0C">
        <w:rPr>
          <w:rFonts w:cs="Times New Roman"/>
          <w:szCs w:val="24"/>
        </w:rPr>
        <w:t>ection</w:t>
      </w:r>
      <w:r w:rsidRPr="00C95A0C">
        <w:rPr>
          <w:rFonts w:cs="Times New Roman"/>
          <w:szCs w:val="24"/>
        </w:rPr>
        <w:t xml:space="preserve"> (2) provides that “unless better terms are agreed between the employer and employees concerned</w:t>
      </w:r>
      <w:r w:rsidR="00F54C4B" w:rsidRPr="00C95A0C">
        <w:rPr>
          <w:rFonts w:cs="Times New Roman"/>
          <w:szCs w:val="24"/>
        </w:rPr>
        <w:t>,</w:t>
      </w:r>
      <w:r w:rsidRPr="00C95A0C">
        <w:rPr>
          <w:rFonts w:cs="Times New Roman"/>
          <w:szCs w:val="24"/>
        </w:rPr>
        <w:t xml:space="preserve"> a minimum retrenchment package set out therein shall be paid.”</w:t>
      </w:r>
    </w:p>
    <w:p w:rsidR="005A116F" w:rsidRPr="00C95A0C" w:rsidRDefault="005A116F" w:rsidP="00136FAF">
      <w:pPr>
        <w:spacing w:before="0" w:beforeAutospacing="0" w:after="0" w:afterAutospacing="0" w:line="240" w:lineRule="auto"/>
        <w:jc w:val="both"/>
        <w:rPr>
          <w:rFonts w:cs="Times New Roman"/>
          <w:i/>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Mr</w:t>
      </w:r>
      <w:r w:rsidRPr="00C95A0C">
        <w:rPr>
          <w:rFonts w:cs="Times New Roman"/>
          <w:i/>
          <w:szCs w:val="24"/>
        </w:rPr>
        <w:t xml:space="preserve"> Nkomo</w:t>
      </w:r>
      <w:r w:rsidRPr="00C95A0C">
        <w:rPr>
          <w:rFonts w:cs="Times New Roman"/>
          <w:szCs w:val="24"/>
        </w:rPr>
        <w:t xml:space="preserve"> for the appellant submitted that the employees are not in the list of those </w:t>
      </w:r>
      <w:r w:rsidR="00F54C4B" w:rsidRPr="00C95A0C">
        <w:rPr>
          <w:rFonts w:cs="Times New Roman"/>
          <w:szCs w:val="24"/>
        </w:rPr>
        <w:t>entities</w:t>
      </w:r>
      <w:r w:rsidRPr="00C95A0C">
        <w:rPr>
          <w:rFonts w:cs="Times New Roman"/>
          <w:szCs w:val="24"/>
        </w:rPr>
        <w:t xml:space="preserve"> required to be given notice of the retre</w:t>
      </w:r>
      <w:r w:rsidR="00F54C4B" w:rsidRPr="00C95A0C">
        <w:rPr>
          <w:rFonts w:cs="Times New Roman"/>
          <w:szCs w:val="24"/>
        </w:rPr>
        <w:t>nchment in terms of s 12(C</w:t>
      </w:r>
      <w:r w:rsidRPr="00C95A0C">
        <w:rPr>
          <w:rFonts w:cs="Times New Roman"/>
          <w:szCs w:val="24"/>
        </w:rPr>
        <w:t xml:space="preserve">)(1)(a) of the Act. He submitted that whatever notice was required was given to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in the termination letters handed to them on 7 March 2018. In other words, so the argument goes, the employer is required to give other people notice of retrenchment but not the concerned employees who can be served only with termination letters as those dated 7 March 2018.</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lastRenderedPageBreak/>
        <w:t>Surely that was never the intention of Amendment Act No. 5 of 2015. The mere fact that s 12</w:t>
      </w:r>
      <w:r w:rsidR="00F54C4B" w:rsidRPr="00C95A0C">
        <w:rPr>
          <w:rFonts w:cs="Times New Roman"/>
          <w:szCs w:val="24"/>
        </w:rPr>
        <w:t>C</w:t>
      </w:r>
      <w:r w:rsidRPr="00C95A0C">
        <w:rPr>
          <w:rFonts w:cs="Times New Roman"/>
          <w:szCs w:val="24"/>
        </w:rPr>
        <w:t xml:space="preserve"> (2) talks of better terms being agreed should be taken to mean that the employees are also entitled to notice of retrenchment.  After receipt of such notice, they are entitled to negotiate with the employer terms of retrenchment better than the minimum retrenchment package spelt out in that provision.</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 xml:space="preserve">What this means is that the giving of notice of retrenchment is imperative in the retrenchment process. It is that notice which triggers the commencement of negotiations which may culminate in </w:t>
      </w:r>
      <w:r w:rsidR="00F54C4B" w:rsidRPr="00C95A0C">
        <w:rPr>
          <w:rFonts w:cs="Times New Roman"/>
          <w:szCs w:val="24"/>
        </w:rPr>
        <w:t>the</w:t>
      </w:r>
      <w:r w:rsidRPr="00C95A0C">
        <w:rPr>
          <w:rFonts w:cs="Times New Roman"/>
          <w:szCs w:val="24"/>
        </w:rPr>
        <w:t xml:space="preserve"> agreement of a package  In the e</w:t>
      </w:r>
      <w:r w:rsidR="00F54C4B" w:rsidRPr="00C95A0C">
        <w:rPr>
          <w:rFonts w:cs="Times New Roman"/>
          <w:szCs w:val="24"/>
        </w:rPr>
        <w:t>ve</w:t>
      </w:r>
      <w:r w:rsidRPr="00C95A0C">
        <w:rPr>
          <w:rFonts w:cs="Times New Roman"/>
          <w:szCs w:val="24"/>
        </w:rPr>
        <w:t>nt that such a package is not agreed, the employer may then fall back on the minimum retrenchment package set out in s 12</w:t>
      </w:r>
      <w:r w:rsidR="00F54C4B" w:rsidRPr="00C95A0C">
        <w:rPr>
          <w:rFonts w:cs="Times New Roman"/>
          <w:szCs w:val="24"/>
        </w:rPr>
        <w:t xml:space="preserve">C </w:t>
      </w:r>
      <w:r w:rsidRPr="00C95A0C">
        <w:rPr>
          <w:rFonts w:cs="Times New Roman"/>
          <w:szCs w:val="24"/>
        </w:rPr>
        <w:t>(2).</w:t>
      </w:r>
    </w:p>
    <w:p w:rsidR="005A116F" w:rsidRPr="00C95A0C" w:rsidRDefault="005A116F" w:rsidP="00136FAF">
      <w:pPr>
        <w:spacing w:before="0" w:beforeAutospacing="0" w:after="0" w:afterAutospacing="0" w:line="240" w:lineRule="auto"/>
        <w:jc w:val="both"/>
        <w:rPr>
          <w:rFonts w:cs="Times New Roman"/>
          <w:szCs w:val="24"/>
        </w:rPr>
      </w:pPr>
    </w:p>
    <w:p w:rsidR="006C5ABD" w:rsidRDefault="006C5ABD" w:rsidP="005A116F">
      <w:pPr>
        <w:spacing w:after="0" w:afterAutospacing="0" w:line="480" w:lineRule="auto"/>
        <w:ind w:firstLine="1134"/>
        <w:jc w:val="both"/>
        <w:rPr>
          <w:rFonts w:cs="Times New Roman"/>
          <w:szCs w:val="24"/>
        </w:rPr>
      </w:pPr>
      <w:r w:rsidRPr="00C95A0C">
        <w:rPr>
          <w:rFonts w:cs="Times New Roman"/>
          <w:szCs w:val="24"/>
        </w:rPr>
        <w:t xml:space="preserve">It is this procedure for retrenchment which was completely ignored by the appellant. While retrenchment was not even the subject of the dispute which was being conciliated at that time and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had never been considered for retrenchment, the appellant surprised them with letters of termination of employment on retrenchment. The appellant must have realised that it had burnt its fingers by terminating the contracts the way it did</w:t>
      </w:r>
      <w:r w:rsidR="0042268C" w:rsidRPr="00C95A0C">
        <w:rPr>
          <w:rFonts w:cs="Times New Roman"/>
          <w:szCs w:val="24"/>
        </w:rPr>
        <w:t>. I</w:t>
      </w:r>
      <w:r w:rsidRPr="00C95A0C">
        <w:rPr>
          <w:rFonts w:cs="Times New Roman"/>
          <w:szCs w:val="24"/>
        </w:rPr>
        <w:t>t then set about trying to correct its mistakes by giving notice of an intended retrenchment to the Retrenchment Board 7 days after the employees had been terminated.</w:t>
      </w:r>
    </w:p>
    <w:p w:rsidR="00136FAF" w:rsidRPr="00C95A0C" w:rsidRDefault="00136FAF" w:rsidP="00136FAF">
      <w:pPr>
        <w:spacing w:before="0" w:beforeAutospacing="0" w:after="0" w:afterAutospacing="0" w:line="240" w:lineRule="auto"/>
        <w:ind w:firstLine="1134"/>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 xml:space="preserve">The appellant also tried to invite the </w:t>
      </w:r>
      <w:r w:rsidR="005A116F" w:rsidRPr="00C95A0C">
        <w:rPr>
          <w:rFonts w:cs="Times New Roman"/>
          <w:szCs w:val="24"/>
        </w:rPr>
        <w:t>second</w:t>
      </w:r>
      <w:r w:rsidRPr="00C95A0C">
        <w:rPr>
          <w:rFonts w:cs="Times New Roman"/>
          <w:szCs w:val="24"/>
        </w:rPr>
        <w:t xml:space="preserve"> and </w:t>
      </w:r>
      <w:r w:rsidR="005A116F" w:rsidRPr="00C95A0C">
        <w:rPr>
          <w:rFonts w:cs="Times New Roman"/>
          <w:szCs w:val="24"/>
        </w:rPr>
        <w:t>third</w:t>
      </w:r>
      <w:r w:rsidRPr="00C95A0C">
        <w:rPr>
          <w:rFonts w:cs="Times New Roman"/>
          <w:szCs w:val="24"/>
        </w:rPr>
        <w:t xml:space="preserve"> respondents for meetings to discuss their retrenchment package long after they had been sent home. This was an exercise in futility.  It could not cloth</w:t>
      </w:r>
      <w:r w:rsidR="0042268C" w:rsidRPr="00C95A0C">
        <w:rPr>
          <w:rFonts w:cs="Times New Roman"/>
          <w:szCs w:val="24"/>
        </w:rPr>
        <w:t>e</w:t>
      </w:r>
      <w:r w:rsidRPr="00C95A0C">
        <w:rPr>
          <w:rFonts w:cs="Times New Roman"/>
          <w:szCs w:val="24"/>
        </w:rPr>
        <w:t xml:space="preserve"> what was done in breach of the law with legality in retrospect. The termination of employment remained unlawful.</w:t>
      </w:r>
    </w:p>
    <w:p w:rsidR="006C5ABD" w:rsidRPr="00C95A0C" w:rsidRDefault="006C5ABD" w:rsidP="005A116F">
      <w:pPr>
        <w:spacing w:after="0" w:afterAutospacing="0" w:line="480" w:lineRule="auto"/>
        <w:jc w:val="both"/>
        <w:rPr>
          <w:rFonts w:cs="Times New Roman"/>
          <w:b/>
          <w:szCs w:val="24"/>
        </w:rPr>
      </w:pPr>
      <w:r w:rsidRPr="00C95A0C">
        <w:rPr>
          <w:rFonts w:cs="Times New Roman"/>
          <w:b/>
          <w:szCs w:val="24"/>
        </w:rPr>
        <w:lastRenderedPageBreak/>
        <w:t>Whether the Employees Waived Their Right To Challenge The Retrenchment</w:t>
      </w:r>
    </w:p>
    <w:p w:rsidR="006C5ABD" w:rsidRPr="00C95A0C" w:rsidRDefault="006C5ABD" w:rsidP="00136FAF">
      <w:pPr>
        <w:spacing w:before="0" w:beforeAutospacing="0" w:after="0" w:afterAutospacing="0" w:line="480" w:lineRule="auto"/>
        <w:ind w:firstLine="1134"/>
        <w:jc w:val="both"/>
        <w:rPr>
          <w:rFonts w:cs="Times New Roman"/>
          <w:szCs w:val="24"/>
        </w:rPr>
      </w:pPr>
      <w:r w:rsidRPr="00C95A0C">
        <w:rPr>
          <w:rFonts w:cs="Times New Roman"/>
          <w:szCs w:val="24"/>
        </w:rPr>
        <w:t>It was submitted on behalf of the appellant that</w:t>
      </w:r>
      <w:r w:rsidR="0042268C" w:rsidRPr="00C95A0C">
        <w:rPr>
          <w:rFonts w:cs="Times New Roman"/>
          <w:szCs w:val="24"/>
        </w:rPr>
        <w:t>,</w:t>
      </w:r>
      <w:r w:rsidRPr="00C95A0C">
        <w:rPr>
          <w:rFonts w:cs="Times New Roman"/>
          <w:szCs w:val="24"/>
        </w:rPr>
        <w:t xml:space="preserve"> by accepting the package paid into their accounts and also vigorously pursuing it through emails sent to the employer, the employees should be taken to have waived their right to challenge the retrenchment. Reliance was placed on the fact that the retrenchment p</w:t>
      </w:r>
      <w:r w:rsidR="0042268C" w:rsidRPr="00C95A0C">
        <w:rPr>
          <w:rFonts w:cs="Times New Roman"/>
          <w:szCs w:val="24"/>
        </w:rPr>
        <w:t>rocess prescribed by s 12C</w:t>
      </w:r>
      <w:r w:rsidRPr="00C95A0C">
        <w:rPr>
          <w:rFonts w:cs="Times New Roman"/>
          <w:szCs w:val="24"/>
        </w:rPr>
        <w:t xml:space="preserve"> of the Act was fully complied with and therefore by accepting the retrenchment package the employees brought the relationship to an end.</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 xml:space="preserve">The difficulty with that argument is </w:t>
      </w:r>
      <w:r w:rsidR="0042268C" w:rsidRPr="00C95A0C">
        <w:rPr>
          <w:rFonts w:cs="Times New Roman"/>
          <w:szCs w:val="24"/>
        </w:rPr>
        <w:t>self-evident</w:t>
      </w:r>
      <w:r w:rsidRPr="00C95A0C">
        <w:rPr>
          <w:rFonts w:cs="Times New Roman"/>
          <w:szCs w:val="24"/>
        </w:rPr>
        <w:t>. We have already found that there was no compliance with the procedure for retrenchment set out in s 12</w:t>
      </w:r>
      <w:r w:rsidR="0042268C" w:rsidRPr="00C95A0C">
        <w:rPr>
          <w:rFonts w:cs="Times New Roman"/>
          <w:szCs w:val="24"/>
        </w:rPr>
        <w:t>C</w:t>
      </w:r>
      <w:r w:rsidRPr="00C95A0C">
        <w:rPr>
          <w:rFonts w:cs="Times New Roman"/>
          <w:szCs w:val="24"/>
        </w:rPr>
        <w:t xml:space="preserve">.  In addition, there is a dispute as to what it is the employees accepted or pursued in the emails.  According to the </w:t>
      </w:r>
      <w:r w:rsidR="005A116F" w:rsidRPr="00C95A0C">
        <w:rPr>
          <w:rFonts w:cs="Times New Roman"/>
          <w:szCs w:val="24"/>
        </w:rPr>
        <w:t>second</w:t>
      </w:r>
      <w:r w:rsidRPr="00C95A0C">
        <w:rPr>
          <w:rFonts w:cs="Times New Roman"/>
          <w:szCs w:val="24"/>
        </w:rPr>
        <w:t xml:space="preserve"> respondent, the cash </w:t>
      </w:r>
      <w:r w:rsidRPr="00C95A0C">
        <w:rPr>
          <w:rFonts w:cs="Times New Roman"/>
          <w:i/>
          <w:szCs w:val="24"/>
        </w:rPr>
        <w:t>in lieu</w:t>
      </w:r>
      <w:r w:rsidR="00020824" w:rsidRPr="00C95A0C">
        <w:rPr>
          <w:rFonts w:cs="Times New Roman"/>
          <w:szCs w:val="24"/>
        </w:rPr>
        <w:t xml:space="preserve"> of notice they</w:t>
      </w:r>
      <w:r w:rsidRPr="00C95A0C">
        <w:rPr>
          <w:rFonts w:cs="Times New Roman"/>
          <w:szCs w:val="24"/>
        </w:rPr>
        <w:t xml:space="preserve"> claimed was only their benefit in respect of notice pay but certainly not part of a retrenchment package. They challenged retrenchment from the very beginning.</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In order for waiver to be sustained, it require</w:t>
      </w:r>
      <w:r w:rsidR="0042268C" w:rsidRPr="00C95A0C">
        <w:rPr>
          <w:rFonts w:cs="Times New Roman"/>
          <w:szCs w:val="24"/>
        </w:rPr>
        <w:t>s</w:t>
      </w:r>
      <w:r w:rsidRPr="00C95A0C">
        <w:rPr>
          <w:rFonts w:cs="Times New Roman"/>
          <w:szCs w:val="24"/>
        </w:rPr>
        <w:t xml:space="preserve"> full knowledge of the legal rights being abandoned. Where the parties are not at </w:t>
      </w:r>
      <w:r w:rsidRPr="00C95A0C">
        <w:rPr>
          <w:rFonts w:cs="Times New Roman"/>
          <w:i/>
          <w:szCs w:val="24"/>
        </w:rPr>
        <w:t>ad idem</w:t>
      </w:r>
      <w:r w:rsidRPr="00C95A0C">
        <w:rPr>
          <w:rFonts w:cs="Times New Roman"/>
          <w:szCs w:val="24"/>
        </w:rPr>
        <w:t xml:space="preserve"> as to what it is they were waiving, there cannot be a valid waiver.  The court </w:t>
      </w:r>
      <w:r w:rsidRPr="00C95A0C">
        <w:rPr>
          <w:rFonts w:cs="Times New Roman"/>
          <w:i/>
          <w:szCs w:val="24"/>
        </w:rPr>
        <w:t>a quo</w:t>
      </w:r>
      <w:r w:rsidRPr="00C95A0C">
        <w:rPr>
          <w:rFonts w:cs="Times New Roman"/>
          <w:szCs w:val="24"/>
        </w:rPr>
        <w:t xml:space="preserve"> can therefore not be faulted for drawing the conclusion that the alleged acceptance did not clothe the process with legality because it was a nullity.</w:t>
      </w:r>
      <w:r w:rsidR="0042268C" w:rsidRPr="00C95A0C">
        <w:rPr>
          <w:rFonts w:cs="Times New Roman"/>
          <w:szCs w:val="24"/>
        </w:rPr>
        <w:t xml:space="preserve"> The facts of the matter are clearly distinguishable from both </w:t>
      </w:r>
      <w:r w:rsidR="0042268C" w:rsidRPr="00C95A0C">
        <w:rPr>
          <w:rFonts w:cs="Times New Roman"/>
          <w:i/>
          <w:szCs w:val="24"/>
        </w:rPr>
        <w:t>Chidziva &amp; Ors</w:t>
      </w:r>
      <w:r w:rsidR="0042268C" w:rsidRPr="00C95A0C">
        <w:rPr>
          <w:rFonts w:cs="Times New Roman"/>
          <w:szCs w:val="24"/>
        </w:rPr>
        <w:t xml:space="preserve"> v </w:t>
      </w:r>
      <w:r w:rsidR="0042268C" w:rsidRPr="00C95A0C">
        <w:rPr>
          <w:rFonts w:cs="Times New Roman"/>
          <w:i/>
          <w:szCs w:val="24"/>
        </w:rPr>
        <w:t xml:space="preserve">Zimbabwe Iron &amp; Steel Company Ltd </w:t>
      </w:r>
      <w:r w:rsidR="0042268C" w:rsidRPr="00C95A0C">
        <w:rPr>
          <w:rFonts w:cs="Times New Roman"/>
          <w:szCs w:val="24"/>
        </w:rPr>
        <w:t xml:space="preserve">1997 (2) ZLR 368 (S) and </w:t>
      </w:r>
      <w:r w:rsidR="0042268C" w:rsidRPr="00C95A0C">
        <w:rPr>
          <w:rFonts w:cs="Times New Roman"/>
          <w:i/>
          <w:szCs w:val="24"/>
        </w:rPr>
        <w:t>Marikanda</w:t>
      </w:r>
      <w:r w:rsidR="0042268C" w:rsidRPr="00C95A0C">
        <w:rPr>
          <w:rFonts w:cs="Times New Roman"/>
          <w:szCs w:val="24"/>
        </w:rPr>
        <w:t xml:space="preserve"> v </w:t>
      </w:r>
      <w:r w:rsidR="0042268C" w:rsidRPr="00C95A0C">
        <w:rPr>
          <w:rFonts w:cs="Times New Roman"/>
          <w:i/>
          <w:szCs w:val="24"/>
        </w:rPr>
        <w:t>Kafu &amp; Ors</w:t>
      </w:r>
      <w:r w:rsidR="0042268C" w:rsidRPr="00C95A0C">
        <w:rPr>
          <w:rFonts w:cs="Times New Roman"/>
          <w:szCs w:val="24"/>
        </w:rPr>
        <w:t xml:space="preserve"> SC </w:t>
      </w:r>
      <w:r w:rsidR="00CF5E83" w:rsidRPr="00C95A0C">
        <w:rPr>
          <w:rFonts w:cs="Times New Roman"/>
          <w:szCs w:val="24"/>
        </w:rPr>
        <w:t>90</w:t>
      </w:r>
      <w:r w:rsidR="0042268C" w:rsidRPr="00C95A0C">
        <w:rPr>
          <w:rFonts w:cs="Times New Roman"/>
          <w:szCs w:val="24"/>
        </w:rPr>
        <w:t>/20.</w:t>
      </w:r>
    </w:p>
    <w:p w:rsidR="005A116F" w:rsidRPr="00C95A0C" w:rsidRDefault="005A116F" w:rsidP="00136FAF">
      <w:pPr>
        <w:spacing w:before="0" w:beforeAutospacing="0" w:after="0" w:afterAutospacing="0" w:line="240" w:lineRule="auto"/>
        <w:jc w:val="both"/>
        <w:rPr>
          <w:rFonts w:cs="Times New Roman"/>
          <w:szCs w:val="24"/>
        </w:rPr>
      </w:pPr>
    </w:p>
    <w:p w:rsidR="006C5ABD" w:rsidRPr="00C95A0C" w:rsidRDefault="006C5ABD" w:rsidP="005A116F">
      <w:pPr>
        <w:spacing w:after="0" w:afterAutospacing="0" w:line="480" w:lineRule="auto"/>
        <w:ind w:firstLine="1134"/>
        <w:jc w:val="both"/>
        <w:rPr>
          <w:rFonts w:cs="Times New Roman"/>
          <w:szCs w:val="24"/>
        </w:rPr>
      </w:pPr>
      <w:r w:rsidRPr="00C95A0C">
        <w:rPr>
          <w:rFonts w:cs="Times New Roman"/>
          <w:szCs w:val="24"/>
        </w:rPr>
        <w:t>The appeal is without merit.  It is accordingly dismissed with costs.</w:t>
      </w:r>
    </w:p>
    <w:p w:rsidR="009849D6" w:rsidRPr="00C95A0C" w:rsidRDefault="009849D6" w:rsidP="005A116F">
      <w:pPr>
        <w:spacing w:after="0" w:afterAutospacing="0" w:line="240" w:lineRule="auto"/>
        <w:jc w:val="both"/>
        <w:rPr>
          <w:rFonts w:cs="Times New Roman"/>
          <w:szCs w:val="24"/>
        </w:rPr>
      </w:pPr>
    </w:p>
    <w:p w:rsidR="0042268C" w:rsidRPr="00C95A0C" w:rsidRDefault="0042268C" w:rsidP="005A116F">
      <w:pPr>
        <w:spacing w:after="0" w:afterAutospacing="0" w:line="480" w:lineRule="auto"/>
        <w:jc w:val="both"/>
        <w:rPr>
          <w:rFonts w:cs="Times New Roman"/>
          <w:szCs w:val="24"/>
        </w:rPr>
      </w:pPr>
      <w:r w:rsidRPr="00C95A0C">
        <w:rPr>
          <w:rFonts w:cs="Times New Roman"/>
          <w:szCs w:val="24"/>
        </w:rPr>
        <w:lastRenderedPageBreak/>
        <w:tab/>
      </w:r>
      <w:r w:rsidRPr="00C95A0C">
        <w:rPr>
          <w:rFonts w:cs="Times New Roman"/>
          <w:szCs w:val="24"/>
        </w:rPr>
        <w:tab/>
      </w:r>
      <w:r w:rsidR="00CF5E83" w:rsidRPr="00C95A0C">
        <w:rPr>
          <w:rFonts w:cs="Times New Roman"/>
          <w:szCs w:val="24"/>
        </w:rPr>
        <w:tab/>
      </w:r>
      <w:r w:rsidR="00CF5E83" w:rsidRPr="00C95A0C">
        <w:rPr>
          <w:rFonts w:cs="Times New Roman"/>
          <w:b/>
          <w:szCs w:val="24"/>
        </w:rPr>
        <w:t>GUVAVA JA</w:t>
      </w:r>
      <w:r w:rsidR="005A116F" w:rsidRPr="00C95A0C">
        <w:rPr>
          <w:rFonts w:cs="Times New Roman"/>
          <w:b/>
          <w:szCs w:val="24"/>
        </w:rPr>
        <w:t>:</w:t>
      </w:r>
      <w:r w:rsidR="00CF5E83" w:rsidRPr="00C95A0C">
        <w:rPr>
          <w:rFonts w:cs="Times New Roman"/>
          <w:szCs w:val="24"/>
        </w:rPr>
        <w:tab/>
      </w:r>
      <w:r w:rsidR="00CF5E83" w:rsidRPr="00C95A0C">
        <w:rPr>
          <w:rFonts w:cs="Times New Roman"/>
          <w:szCs w:val="24"/>
        </w:rPr>
        <w:tab/>
      </w:r>
      <w:r w:rsidR="00CF5E83" w:rsidRPr="00C95A0C">
        <w:rPr>
          <w:rFonts w:cs="Times New Roman"/>
          <w:szCs w:val="24"/>
        </w:rPr>
        <w:tab/>
        <w:t>I agree</w:t>
      </w:r>
    </w:p>
    <w:p w:rsidR="005A116F" w:rsidRPr="00C95A0C" w:rsidRDefault="00CF5E83" w:rsidP="005A116F">
      <w:pPr>
        <w:spacing w:after="0" w:afterAutospacing="0" w:line="480" w:lineRule="auto"/>
        <w:jc w:val="both"/>
        <w:rPr>
          <w:rFonts w:cs="Times New Roman"/>
          <w:szCs w:val="24"/>
        </w:rPr>
      </w:pPr>
      <w:r w:rsidRPr="00C95A0C">
        <w:rPr>
          <w:rFonts w:cs="Times New Roman"/>
          <w:szCs w:val="24"/>
        </w:rPr>
        <w:tab/>
      </w:r>
      <w:r w:rsidRPr="00C95A0C">
        <w:rPr>
          <w:rFonts w:cs="Times New Roman"/>
          <w:szCs w:val="24"/>
        </w:rPr>
        <w:tab/>
      </w:r>
      <w:r w:rsidRPr="00C95A0C">
        <w:rPr>
          <w:rFonts w:cs="Times New Roman"/>
          <w:szCs w:val="24"/>
        </w:rPr>
        <w:tab/>
      </w:r>
    </w:p>
    <w:p w:rsidR="00CF5E83" w:rsidRPr="00C95A0C" w:rsidRDefault="00CF5E83" w:rsidP="005A116F">
      <w:pPr>
        <w:spacing w:after="0" w:afterAutospacing="0" w:line="480" w:lineRule="auto"/>
        <w:ind w:left="1440" w:firstLine="720"/>
        <w:jc w:val="both"/>
        <w:rPr>
          <w:rFonts w:cs="Times New Roman"/>
          <w:szCs w:val="24"/>
        </w:rPr>
      </w:pPr>
      <w:r w:rsidRPr="00C95A0C">
        <w:rPr>
          <w:rFonts w:cs="Times New Roman"/>
          <w:b/>
          <w:szCs w:val="24"/>
        </w:rPr>
        <w:t>KUDYA AJA</w:t>
      </w:r>
      <w:r w:rsidR="005A116F" w:rsidRPr="00C95A0C">
        <w:rPr>
          <w:rFonts w:cs="Times New Roman"/>
          <w:b/>
          <w:szCs w:val="24"/>
        </w:rPr>
        <w:t>:</w:t>
      </w:r>
      <w:r w:rsidRPr="00C95A0C">
        <w:rPr>
          <w:rFonts w:cs="Times New Roman"/>
          <w:szCs w:val="24"/>
        </w:rPr>
        <w:tab/>
      </w:r>
      <w:r w:rsidRPr="00C95A0C">
        <w:rPr>
          <w:rFonts w:cs="Times New Roman"/>
          <w:szCs w:val="24"/>
        </w:rPr>
        <w:tab/>
      </w:r>
      <w:r w:rsidRPr="00C95A0C">
        <w:rPr>
          <w:rFonts w:cs="Times New Roman"/>
          <w:szCs w:val="24"/>
        </w:rPr>
        <w:tab/>
        <w:t>I agree</w:t>
      </w:r>
    </w:p>
    <w:p w:rsidR="00CF5E83" w:rsidRPr="00C95A0C" w:rsidRDefault="00CF5E83" w:rsidP="005A116F">
      <w:pPr>
        <w:pStyle w:val="NoSpacing"/>
        <w:spacing w:after="0" w:afterAutospacing="0" w:line="480" w:lineRule="auto"/>
        <w:jc w:val="both"/>
        <w:rPr>
          <w:rFonts w:cs="Times New Roman"/>
          <w:i/>
        </w:rPr>
      </w:pPr>
    </w:p>
    <w:p w:rsidR="009849D6" w:rsidRPr="00C95A0C" w:rsidRDefault="009849D6" w:rsidP="005A116F">
      <w:pPr>
        <w:pStyle w:val="NoSpacing"/>
        <w:spacing w:after="0" w:afterAutospacing="0" w:line="480" w:lineRule="auto"/>
        <w:jc w:val="both"/>
        <w:rPr>
          <w:rFonts w:cs="Times New Roman"/>
        </w:rPr>
      </w:pPr>
      <w:r w:rsidRPr="00C95A0C">
        <w:rPr>
          <w:rFonts w:cs="Times New Roman"/>
          <w:i/>
        </w:rPr>
        <w:t>Joel Pincus, Konson &amp; Wolhuter</w:t>
      </w:r>
      <w:r w:rsidRPr="00C95A0C">
        <w:rPr>
          <w:rFonts w:cs="Times New Roman"/>
        </w:rPr>
        <w:t>, appellant’s legal practitioners</w:t>
      </w:r>
    </w:p>
    <w:sectPr w:rsidR="009849D6" w:rsidRPr="00C95A0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77" w:rsidRDefault="00753F77" w:rsidP="00CD721A">
      <w:pPr>
        <w:spacing w:before="0" w:after="0" w:line="240" w:lineRule="auto"/>
      </w:pPr>
      <w:r>
        <w:separator/>
      </w:r>
    </w:p>
  </w:endnote>
  <w:endnote w:type="continuationSeparator" w:id="0">
    <w:p w:rsidR="00753F77" w:rsidRDefault="00753F77" w:rsidP="00CD72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77" w:rsidRDefault="00753F77" w:rsidP="00CD721A">
      <w:pPr>
        <w:spacing w:before="0" w:after="0" w:line="240" w:lineRule="auto"/>
      </w:pPr>
      <w:r>
        <w:separator/>
      </w:r>
    </w:p>
  </w:footnote>
  <w:footnote w:type="continuationSeparator" w:id="0">
    <w:p w:rsidR="00753F77" w:rsidRDefault="00753F77" w:rsidP="00CD72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BD" w:rsidRDefault="008F11D3" w:rsidP="008F11D3">
    <w:pPr>
      <w:pStyle w:val="Header"/>
      <w:tabs>
        <w:tab w:val="clear" w:pos="4680"/>
        <w:tab w:val="clear" w:pos="9360"/>
        <w:tab w:val="left" w:pos="1770"/>
      </w:tabs>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1D3" w:rsidRPr="008F11D3" w:rsidRDefault="008F11D3" w:rsidP="008F11D3">
                          <w:pPr>
                            <w:spacing w:after="0" w:afterAutospacing="0" w:line="240" w:lineRule="auto"/>
                            <w:jc w:val="right"/>
                            <w:rPr>
                              <w:b/>
                              <w:noProof/>
                            </w:rPr>
                          </w:pPr>
                          <w:r w:rsidRPr="008F11D3">
                            <w:rPr>
                              <w:b/>
                              <w:noProof/>
                            </w:rPr>
                            <w:t>Judgment No. SC 102/20</w:t>
                          </w:r>
                        </w:p>
                        <w:p w:rsidR="008F11D3" w:rsidRPr="008F11D3" w:rsidRDefault="008F11D3" w:rsidP="0072629B">
                          <w:pPr>
                            <w:spacing w:before="0" w:beforeAutospacing="0" w:line="240" w:lineRule="auto"/>
                            <w:jc w:val="right"/>
                            <w:rPr>
                              <w:b/>
                              <w:noProof/>
                            </w:rPr>
                          </w:pPr>
                          <w:r w:rsidRPr="008F11D3">
                            <w:rPr>
                              <w:b/>
                              <w:noProof/>
                            </w:rPr>
                            <w:t>Civil Appeal No. SC</w:t>
                          </w:r>
                          <w:r w:rsidR="003128DD">
                            <w:rPr>
                              <w:b/>
                              <w:noProof/>
                            </w:rPr>
                            <w:t>B</w:t>
                          </w:r>
                          <w:r w:rsidRPr="008F11D3">
                            <w:rPr>
                              <w:b/>
                              <w:noProof/>
                            </w:rPr>
                            <w:t xml:space="preserve"> </w:t>
                          </w:r>
                          <w:r w:rsidR="003128DD">
                            <w:rPr>
                              <w:b/>
                              <w:noProof/>
                            </w:rPr>
                            <w:t>37</w:t>
                          </w:r>
                          <w:r w:rsidRPr="008F11D3">
                            <w:rPr>
                              <w:b/>
                              <w:noProof/>
                            </w:rPr>
                            <w:t>/</w:t>
                          </w:r>
                          <w:r w:rsidR="003128DD">
                            <w:rPr>
                              <w:b/>
                              <w:noProof/>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F11D3" w:rsidRPr="008F11D3" w:rsidRDefault="008F11D3" w:rsidP="008F11D3">
                    <w:pPr>
                      <w:spacing w:after="0" w:afterAutospacing="0" w:line="240" w:lineRule="auto"/>
                      <w:jc w:val="right"/>
                      <w:rPr>
                        <w:b/>
                        <w:noProof/>
                      </w:rPr>
                    </w:pPr>
                    <w:r w:rsidRPr="008F11D3">
                      <w:rPr>
                        <w:b/>
                        <w:noProof/>
                      </w:rPr>
                      <w:t>Judgment No. SC 102/20</w:t>
                    </w:r>
                  </w:p>
                  <w:p w:rsidR="008F11D3" w:rsidRPr="008F11D3" w:rsidRDefault="008F11D3" w:rsidP="0072629B">
                    <w:pPr>
                      <w:spacing w:before="0" w:beforeAutospacing="0" w:line="240" w:lineRule="auto"/>
                      <w:jc w:val="right"/>
                      <w:rPr>
                        <w:b/>
                        <w:noProof/>
                      </w:rPr>
                    </w:pPr>
                    <w:r w:rsidRPr="008F11D3">
                      <w:rPr>
                        <w:b/>
                        <w:noProof/>
                      </w:rPr>
                      <w:t>Civil Appeal No. SC</w:t>
                    </w:r>
                    <w:r w:rsidR="003128DD">
                      <w:rPr>
                        <w:b/>
                        <w:noProof/>
                      </w:rPr>
                      <w:t>B</w:t>
                    </w:r>
                    <w:r w:rsidRPr="008F11D3">
                      <w:rPr>
                        <w:b/>
                        <w:noProof/>
                      </w:rPr>
                      <w:t xml:space="preserve"> </w:t>
                    </w:r>
                    <w:r w:rsidR="003128DD">
                      <w:rPr>
                        <w:b/>
                        <w:noProof/>
                      </w:rPr>
                      <w:t>37</w:t>
                    </w:r>
                    <w:r w:rsidRPr="008F11D3">
                      <w:rPr>
                        <w:b/>
                        <w:noProof/>
                      </w:rPr>
                      <w:t>/</w:t>
                    </w:r>
                    <w:r w:rsidR="003128DD">
                      <w:rPr>
                        <w:b/>
                        <w:noProof/>
                      </w:rPr>
                      <w:t>19</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F11D3" w:rsidRDefault="008F11D3">
                          <w:pPr>
                            <w:spacing w:after="0" w:line="240" w:lineRule="auto"/>
                            <w:rPr>
                              <w:color w:val="FFFFFF" w:themeColor="background1"/>
                            </w:rPr>
                          </w:pPr>
                          <w:r>
                            <w:fldChar w:fldCharType="begin"/>
                          </w:r>
                          <w:r>
                            <w:instrText xml:space="preserve"> PAGE   \* MERGEFORMAT </w:instrText>
                          </w:r>
                          <w:r>
                            <w:fldChar w:fldCharType="separate"/>
                          </w:r>
                          <w:r w:rsidR="00795B88" w:rsidRPr="00795B8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8F11D3" w:rsidRDefault="008F11D3">
                    <w:pPr>
                      <w:spacing w:after="0" w:line="240" w:lineRule="auto"/>
                      <w:rPr>
                        <w:color w:val="FFFFFF" w:themeColor="background1"/>
                      </w:rPr>
                    </w:pPr>
                    <w:r>
                      <w:fldChar w:fldCharType="begin"/>
                    </w:r>
                    <w:r>
                      <w:instrText xml:space="preserve"> PAGE   \* MERGEFORMAT </w:instrText>
                    </w:r>
                    <w:r>
                      <w:fldChar w:fldCharType="separate"/>
                    </w:r>
                    <w:r w:rsidR="00795B88" w:rsidRPr="00795B8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85310"/>
    <w:multiLevelType w:val="hybridMultilevel"/>
    <w:tmpl w:val="486CE5CC"/>
    <w:lvl w:ilvl="0" w:tplc="2BEC6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1A"/>
    <w:rsid w:val="00020824"/>
    <w:rsid w:val="00136FAF"/>
    <w:rsid w:val="00150281"/>
    <w:rsid w:val="001A1ECB"/>
    <w:rsid w:val="001D126B"/>
    <w:rsid w:val="001F7F98"/>
    <w:rsid w:val="00254CE7"/>
    <w:rsid w:val="002B375E"/>
    <w:rsid w:val="002B49F6"/>
    <w:rsid w:val="002C7F8A"/>
    <w:rsid w:val="003128DD"/>
    <w:rsid w:val="0037765E"/>
    <w:rsid w:val="0038143B"/>
    <w:rsid w:val="003A3365"/>
    <w:rsid w:val="003E5BAA"/>
    <w:rsid w:val="0042268C"/>
    <w:rsid w:val="00437F23"/>
    <w:rsid w:val="00454CA4"/>
    <w:rsid w:val="00477B02"/>
    <w:rsid w:val="0054317D"/>
    <w:rsid w:val="005A116F"/>
    <w:rsid w:val="005F3F3F"/>
    <w:rsid w:val="0068662E"/>
    <w:rsid w:val="006A03C9"/>
    <w:rsid w:val="006A2064"/>
    <w:rsid w:val="006C5ABD"/>
    <w:rsid w:val="00701C30"/>
    <w:rsid w:val="0072629B"/>
    <w:rsid w:val="00753F77"/>
    <w:rsid w:val="00795B88"/>
    <w:rsid w:val="007A680F"/>
    <w:rsid w:val="007B49A6"/>
    <w:rsid w:val="007D0B26"/>
    <w:rsid w:val="007D2790"/>
    <w:rsid w:val="008A7672"/>
    <w:rsid w:val="008C3209"/>
    <w:rsid w:val="008D114A"/>
    <w:rsid w:val="008F11D3"/>
    <w:rsid w:val="0095381E"/>
    <w:rsid w:val="009849D6"/>
    <w:rsid w:val="009C3D39"/>
    <w:rsid w:val="009E5C1A"/>
    <w:rsid w:val="00A0484E"/>
    <w:rsid w:val="00A2762F"/>
    <w:rsid w:val="00A50BC8"/>
    <w:rsid w:val="00A56840"/>
    <w:rsid w:val="00B46045"/>
    <w:rsid w:val="00C61900"/>
    <w:rsid w:val="00C95A0C"/>
    <w:rsid w:val="00CA2912"/>
    <w:rsid w:val="00CD721A"/>
    <w:rsid w:val="00CF5E83"/>
    <w:rsid w:val="00D20B4C"/>
    <w:rsid w:val="00D51D4F"/>
    <w:rsid w:val="00D75E8D"/>
    <w:rsid w:val="00E10C27"/>
    <w:rsid w:val="00E7226A"/>
    <w:rsid w:val="00F4630D"/>
    <w:rsid w:val="00F52EE1"/>
    <w:rsid w:val="00F5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78447B7-3659-4245-AB90-46FB2ECC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1A"/>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D72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721A"/>
    <w:rPr>
      <w:rFonts w:ascii="Times New Roman" w:hAnsi="Times New Roman"/>
      <w:sz w:val="24"/>
    </w:rPr>
  </w:style>
  <w:style w:type="paragraph" w:styleId="Footer">
    <w:name w:val="footer"/>
    <w:basedOn w:val="Normal"/>
    <w:link w:val="FooterChar"/>
    <w:uiPriority w:val="99"/>
    <w:unhideWhenUsed/>
    <w:rsid w:val="00CD72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721A"/>
    <w:rPr>
      <w:rFonts w:ascii="Times New Roman" w:hAnsi="Times New Roman"/>
      <w:sz w:val="24"/>
    </w:rPr>
  </w:style>
  <w:style w:type="paragraph" w:styleId="ListParagraph">
    <w:name w:val="List Paragraph"/>
    <w:basedOn w:val="Normal"/>
    <w:uiPriority w:val="34"/>
    <w:qFormat/>
    <w:rsid w:val="007A6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5025">
      <w:bodyDiv w:val="1"/>
      <w:marLeft w:val="0"/>
      <w:marRight w:val="0"/>
      <w:marTop w:val="0"/>
      <w:marBottom w:val="0"/>
      <w:divBdr>
        <w:top w:val="none" w:sz="0" w:space="0" w:color="auto"/>
        <w:left w:val="none" w:sz="0" w:space="0" w:color="auto"/>
        <w:bottom w:val="none" w:sz="0" w:space="0" w:color="auto"/>
        <w:right w:val="none" w:sz="0" w:space="0" w:color="auto"/>
      </w:divBdr>
    </w:div>
    <w:div w:id="8696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2020-07-21T09:06:00Z</cp:lastPrinted>
  <dcterms:created xsi:type="dcterms:W3CDTF">2021-03-04T09:12:00Z</dcterms:created>
  <dcterms:modified xsi:type="dcterms:W3CDTF">2021-03-04T09:12:00Z</dcterms:modified>
</cp:coreProperties>
</file>